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51" w:lineRule="exact"/>
        <w:rPr>
          <w:sz w:val="24"/>
          <w:szCs w:val="24"/>
          <w:color w:val="auto"/>
        </w:rPr>
      </w:pPr>
    </w:p>
    <w:p>
      <w:pPr>
        <w:ind w:right="340"/>
        <w:spacing w:after="0" w:line="250" w:lineRule="auto"/>
        <w:rPr>
          <w:sz w:val="20"/>
          <w:szCs w:val="20"/>
          <w:color w:val="auto"/>
        </w:rPr>
      </w:pPr>
      <w:r>
        <w:rPr>
          <w:rFonts w:ascii="Arial" w:cs="Arial" w:eastAsia="Arial" w:hAnsi="Arial"/>
          <w:sz w:val="22"/>
          <w:szCs w:val="22"/>
          <w:color w:val="auto"/>
        </w:rPr>
        <w:t xml:space="preserve">QUARTERLY REPORT PURSUANT TO SECTION 13 OR 15(d) OF THE SECURITIES EXCHANGE ACT OF 1934 FOR THE QUARTERLY PERIOD ENDED </w:t>
      </w:r>
      <w:r>
        <w:rPr>
          <w:rFonts w:ascii="Arial" w:cs="Arial" w:eastAsia="Arial" w:hAnsi="Arial"/>
          <w:sz w:val="22"/>
          <w:szCs w:val="22"/>
          <w:u w:val="single" w:color="auto"/>
          <w:color w:val="auto"/>
        </w:rPr>
        <w:t>March 31, 2020</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1369060</wp:posOffset>
            </wp:positionH>
            <wp:positionV relativeFrom="paragraph">
              <wp:posOffset>-17780</wp:posOffset>
            </wp:positionV>
            <wp:extent cx="491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149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20" w:type="dxa"/>
            <w:vAlign w:val="bottom"/>
          </w:tcPr>
          <w:p>
            <w:pPr>
              <w:jc w:val="center"/>
              <w:spacing w:after="0"/>
              <w:rPr>
                <w:sz w:val="20"/>
                <w:szCs w:val="20"/>
                <w:color w:val="auto"/>
              </w:rPr>
            </w:pPr>
            <w:r>
              <w:rPr>
                <w:rFonts w:ascii="Arial" w:cs="Arial" w:eastAsia="Arial" w:hAnsi="Arial"/>
                <w:sz w:val="18"/>
                <w:szCs w:val="18"/>
                <w:color w:val="auto"/>
                <w:w w:val="94"/>
              </w:rPr>
              <w:t>Michigan</w:t>
            </w:r>
          </w:p>
        </w:tc>
        <w:tc>
          <w:tcPr>
            <w:tcW w:w="5720" w:type="dxa"/>
            <w:vAlign w:val="bottom"/>
            <w:gridSpan w:val="2"/>
          </w:tcPr>
          <w:p>
            <w:pPr>
              <w:jc w:val="right"/>
              <w:ind w:right="2230"/>
              <w:spacing w:after="0"/>
              <w:rPr>
                <w:sz w:val="20"/>
                <w:szCs w:val="20"/>
                <w:color w:val="auto"/>
              </w:rPr>
            </w:pPr>
            <w:r>
              <w:rPr>
                <w:rFonts w:ascii="Arial" w:cs="Arial" w:eastAsia="Arial" w:hAnsi="Arial"/>
                <w:sz w:val="18"/>
                <w:szCs w:val="18"/>
                <w:color w:val="auto"/>
              </w:rPr>
              <w:t>38-2032782</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14"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(616) 527-5820</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6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of each exchange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IBCP</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7" w:lineRule="exact"/>
        <w:rPr>
          <w:sz w:val="24"/>
          <w:szCs w:val="24"/>
          <w:color w:val="auto"/>
        </w:rPr>
      </w:pPr>
    </w:p>
    <w:p>
      <w:pPr>
        <w:ind w:right="120"/>
        <w:spacing w:after="0" w:line="266" w:lineRule="exact"/>
        <w:rPr>
          <w:sz w:val="20"/>
          <w:szCs w:val="20"/>
          <w:color w:val="auto"/>
        </w:rPr>
      </w:pPr>
      <w:r>
        <w:rPr>
          <w:rFonts w:ascii="Arial" w:cs="Arial" w:eastAsia="Arial" w:hAnsi="Arial"/>
          <w:sz w:val="19"/>
          <w:szCs w:val="19"/>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88" w:lineRule="exact"/>
        <w:rPr>
          <w:sz w:val="24"/>
          <w:szCs w:val="24"/>
          <w:color w:val="auto"/>
        </w:rPr>
      </w:pPr>
    </w:p>
    <w:p>
      <w:pPr>
        <w:jc w:val="both"/>
        <w:ind w:right="440"/>
        <w:spacing w:after="0" w:line="275"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rFonts w:ascii="Arial" w:cs="Arial" w:eastAsia="Arial" w:hAnsi="Arial"/>
          <w:sz w:val="22"/>
          <w:szCs w:val="22"/>
          <w:color w:val="auto"/>
        </w:rPr>
        <w:t xml:space="preserve"> NO</w:t>
      </w:r>
      <w:r>
        <w:rPr>
          <w:rFonts w:ascii="MS PGothic" w:cs="MS PGothic" w:eastAsia="MS PGothic" w:hAnsi="MS PGothic"/>
          <w:sz w:val="22"/>
          <w:szCs w:val="22"/>
          <w:color w:val="auto"/>
        </w:rPr>
        <w:t>☐</w:t>
      </w:r>
    </w:p>
    <w:p>
      <w:pPr>
        <w:spacing w:after="0" w:line="223" w:lineRule="exact"/>
        <w:rPr>
          <w:sz w:val="24"/>
          <w:szCs w:val="24"/>
          <w:color w:val="auto"/>
        </w:rPr>
      </w:pPr>
    </w:p>
    <w:p>
      <w:pPr>
        <w:ind w:right="580"/>
        <w:spacing w:after="0" w:line="241" w:lineRule="auto"/>
        <w:rPr>
          <w:sz w:val="20"/>
          <w:szCs w:val="20"/>
          <w:color w:val="auto"/>
        </w:rPr>
      </w:pPr>
      <w:r>
        <w:rPr>
          <w:rFonts w:ascii="Arial" w:cs="Arial" w:eastAsia="Arial" w:hAnsi="Arial"/>
          <w:sz w:val="22"/>
          <w:szCs w:val="22"/>
          <w:color w:val="auto"/>
        </w:rPr>
        <w:t>Indicate by check mark whether the Registrant is a large accelerated filer, an accelerated filer, non-accelerated filer, smaller reporting company or an emerging growth company.</w:t>
      </w:r>
    </w:p>
    <w:p>
      <w:pPr>
        <w:spacing w:after="0" w:line="1" w:lineRule="exact"/>
        <w:rPr>
          <w:sz w:val="24"/>
          <w:szCs w:val="24"/>
          <w:color w:val="auto"/>
        </w:rPr>
      </w:pPr>
    </w:p>
    <w:p>
      <w:pPr>
        <w:ind w:right="520"/>
        <w:spacing w:after="0" w:line="272" w:lineRule="exact"/>
        <w:rPr>
          <w:sz w:val="20"/>
          <w:szCs w:val="20"/>
          <w:color w:val="auto"/>
        </w:rPr>
      </w:pPr>
      <w:r>
        <w:rPr>
          <w:rFonts w:ascii="Arial" w:cs="Arial" w:eastAsia="Arial" w:hAnsi="Arial"/>
          <w:sz w:val="22"/>
          <w:szCs w:val="22"/>
          <w:color w:val="auto"/>
        </w:rPr>
        <w:t xml:space="preserve">Large 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Non-accelerated filer </w:t>
      </w:r>
      <w:r>
        <w:rPr>
          <w:rFonts w:ascii="MS PGothic" w:cs="MS PGothic" w:eastAsia="MS PGothic" w:hAnsi="MS PGothic"/>
          <w:sz w:val="22"/>
          <w:szCs w:val="22"/>
          <w:color w:val="auto"/>
        </w:rPr>
        <w:t>☐</w:t>
      </w:r>
      <w:r>
        <w:rPr>
          <w:rFonts w:ascii="Arial" w:cs="Arial" w:eastAsia="Arial" w:hAnsi="Arial"/>
          <w:sz w:val="22"/>
          <w:szCs w:val="22"/>
          <w:color w:val="auto"/>
        </w:rPr>
        <w:t xml:space="preserve"> Smaller reporting company </w:t>
      </w:r>
      <w:r>
        <w:rPr>
          <w:rFonts w:ascii="MS PGothic" w:cs="MS PGothic" w:eastAsia="MS PGothic" w:hAnsi="MS PGothic"/>
          <w:sz w:val="22"/>
          <w:szCs w:val="22"/>
          <w:color w:val="auto"/>
        </w:rPr>
        <w:t>☐</w:t>
      </w:r>
      <w:r>
        <w:rPr>
          <w:rFonts w:ascii="Arial" w:cs="Arial" w:eastAsia="Arial" w:hAnsi="Arial"/>
          <w:sz w:val="22"/>
          <w:szCs w:val="22"/>
          <w:color w:val="auto"/>
        </w:rPr>
        <w:t xml:space="preserve"> Emerging growth company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right="140"/>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ind w:right="1340"/>
        <w:spacing w:after="0" w:line="278" w:lineRule="exact"/>
        <w:rPr>
          <w:sz w:val="20"/>
          <w:szCs w:val="20"/>
          <w:color w:val="auto"/>
        </w:rPr>
      </w:pPr>
      <w:r>
        <w:rPr>
          <w:rFonts w:ascii="Arial" w:cs="Arial" w:eastAsia="Arial" w:hAnsi="Arial"/>
          <w:sz w:val="22"/>
          <w:szCs w:val="22"/>
          <w:color w:val="auto"/>
        </w:rPr>
        <w:t>Indicate by check mark whether the Registrant is a shell company (as defined in Rule 12b-2 of the Exchange Act). YES</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8"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common stock, no par value, 21,892,836 as of May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vMerge w:val="restart"/>
          </w:tcPr>
          <w:p>
            <w:pPr>
              <w:spacing w:after="0"/>
              <w:rPr>
                <w:sz w:val="20"/>
                <w:szCs w:val="20"/>
                <w:color w:val="auto"/>
              </w:rPr>
            </w:pPr>
            <w:r>
              <w:rPr>
                <w:rFonts w:ascii="Arial" w:cs="Arial" w:eastAsia="Arial" w:hAnsi="Arial"/>
                <w:sz w:val="18"/>
                <w:szCs w:val="18"/>
                <w:color w:val="auto"/>
              </w:rPr>
              <w:t>PART I -</w:t>
            </w:r>
          </w:p>
        </w:tc>
        <w:tc>
          <w:tcPr>
            <w:tcW w:w="9140" w:type="dxa"/>
            <w:vAlign w:val="bottom"/>
            <w:gridSpan w:val="3"/>
            <w:vMerge w:val="restart"/>
          </w:tcPr>
          <w:p>
            <w:pPr>
              <w:spacing w:after="0"/>
              <w:rPr>
                <w:sz w:val="20"/>
                <w:szCs w:val="20"/>
                <w:color w:val="auto"/>
              </w:rPr>
            </w:pPr>
            <w:r>
              <w:rPr>
                <w:rFonts w:ascii="Arial" w:cs="Arial" w:eastAsia="Arial" w:hAnsi="Arial"/>
                <w:sz w:val="18"/>
                <w:szCs w:val="18"/>
                <w:color w:val="auto"/>
              </w:rPr>
              <w:t>Financial Information</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Number(s)</w:t>
            </w: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9140" w:type="dxa"/>
            <w:vAlign w:val="bottom"/>
            <w:gridSpan w:val="3"/>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Financial Condition March 31, 2020 and December 31, 2019</w:t>
              </w:r>
            </w:hyperlink>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14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Three-month periods ended March 31, 2020 and 2019</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spacing w:after="0"/>
              <w:rPr>
                <w:rFonts w:ascii="Arial" w:cs="Arial" w:eastAsia="Arial" w:hAnsi="Arial"/>
                <w:sz w:val="18"/>
                <w:szCs w:val="18"/>
                <w:u w:val="single" w:color="auto"/>
                <w:color w:val="0000EE"/>
                <w:w w:val="95"/>
              </w:rPr>
            </w:pPr>
            <w:hyperlink w:anchor="page6">
              <w:r>
                <w:rPr>
                  <w:rFonts w:ascii="Arial" w:cs="Arial" w:eastAsia="Arial" w:hAnsi="Arial"/>
                  <w:sz w:val="18"/>
                  <w:szCs w:val="18"/>
                  <w:u w:val="single" w:color="auto"/>
                  <w:color w:val="0000EE"/>
                  <w:w w:val="95"/>
                </w:rPr>
                <w:t>Condensed Consolidated Statements of Comprehensive Income Three-month periods ended March 31, 2020 and 2019</w:t>
              </w:r>
            </w:hyperlink>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14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Three-month periods ended March 31, 2020 and 2019</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9140" w:type="dxa"/>
            <w:vAlign w:val="bottom"/>
            <w:gridSpan w:val="3"/>
            <w:shd w:val="clear" w:color="auto" w:fill="CCEEFF"/>
          </w:tcPr>
          <w:p>
            <w:pPr>
              <w:spacing w:after="0"/>
              <w:rPr>
                <w:rFonts w:ascii="Arial" w:cs="Arial" w:eastAsia="Arial" w:hAnsi="Arial"/>
                <w:sz w:val="18"/>
                <w:szCs w:val="18"/>
                <w:u w:val="single" w:color="auto"/>
                <w:color w:val="0000EE"/>
                <w:w w:val="98"/>
              </w:rPr>
            </w:pPr>
            <w:hyperlink w:anchor="page8">
              <w:r>
                <w:rPr>
                  <w:rFonts w:ascii="Arial" w:cs="Arial" w:eastAsia="Arial" w:hAnsi="Arial"/>
                  <w:sz w:val="18"/>
                  <w:szCs w:val="18"/>
                  <w:u w:val="single" w:color="auto"/>
                  <w:color w:val="0000EE"/>
                  <w:w w:val="98"/>
                </w:rPr>
                <w:t>Condensed Consolidated Statements of Shareholders' Equity Three-month periods ended March 31, 2020 and 2019</w:t>
              </w:r>
            </w:hyperlink>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914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Interim Condensed Consolidated Financial Statements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3"/>
            <w:shd w:val="clear" w:color="auto" w:fill="CCEEFF"/>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Management's Discussion and Analysis of Financial Condition and Results of Operations</w:t>
              </w:r>
            </w:hyperlink>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140" w:type="dxa"/>
            <w:vAlign w:val="bottom"/>
            <w:gridSpan w:val="3"/>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Quantitative and Qualitative Disclosures about Market Risk</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140" w:type="dxa"/>
            <w:vAlign w:val="bottom"/>
            <w:gridSpan w:val="3"/>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Controls and Procedures</w:t>
              </w:r>
            </w:hyperlink>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II -</w:t>
            </w:r>
          </w:p>
        </w:tc>
        <w:tc>
          <w:tcPr>
            <w:tcW w:w="13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Other Information</w:t>
            </w:r>
          </w:p>
        </w:tc>
        <w:tc>
          <w:tcPr>
            <w:tcW w:w="782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140" w:type="dxa"/>
            <w:vAlign w:val="bottom"/>
            <w:gridSpan w:val="3"/>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Risk Factors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3"/>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Unregistered Sales of Equity Securities and Use of Proceeds</w:t>
              </w:r>
            </w:hyperlink>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140" w:type="dxa"/>
            <w:vAlign w:val="bottom"/>
            <w:gridSpan w:val="3"/>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Exhibits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1140" w:type="dxa"/>
            <w:vAlign w:val="bottom"/>
          </w:tcPr>
          <w:p>
            <w:pPr>
              <w:spacing w:after="0"/>
              <w:rPr>
                <w:sz w:val="24"/>
                <w:szCs w:val="24"/>
                <w:color w:val="auto"/>
              </w:rPr>
            </w:pPr>
          </w:p>
        </w:tc>
        <w:tc>
          <w:tcPr>
            <w:tcW w:w="9140" w:type="dxa"/>
            <w:vAlign w:val="bottom"/>
            <w:gridSpan w:val="3"/>
          </w:tcPr>
          <w:p>
            <w:pPr>
              <w:ind w:left="4440"/>
              <w:spacing w:after="0"/>
              <w:rPr>
                <w:sz w:val="20"/>
                <w:szCs w:val="20"/>
                <w:color w:val="auto"/>
              </w:rPr>
            </w:pPr>
            <w:r>
              <w:rPr>
                <w:rFonts w:ascii="Arial" w:cs="Arial" w:eastAsia="Arial" w:hAnsi="Arial"/>
                <w:sz w:val="14"/>
                <w:szCs w:val="14"/>
                <w:color w:val="auto"/>
              </w:rPr>
              <w:t>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95"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 including the impact of the ongoing COVID-19 pandemic on each of these items;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3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2019,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2"/>
        </w:trPr>
        <w:tc>
          <w:tcPr>
            <w:tcW w:w="3020" w:type="dxa"/>
            <w:vAlign w:val="bottom"/>
          </w:tcPr>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tc>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5"/>
        </w:trPr>
        <w:tc>
          <w:tcPr>
            <w:tcW w:w="3020" w:type="dxa"/>
            <w:vAlign w:val="bottom"/>
          </w:tcPr>
          <w:p>
            <w:pPr>
              <w:spacing w:after="0"/>
              <w:rPr>
                <w:sz w:val="20"/>
                <w:szCs w:val="20"/>
                <w:color w:val="auto"/>
              </w:rPr>
            </w:pPr>
            <w:r>
              <w:rPr>
                <w:rFonts w:ascii="Arial" w:cs="Arial" w:eastAsia="Arial" w:hAnsi="Arial"/>
                <w:sz w:val="18"/>
                <w:szCs w:val="18"/>
                <w:color w:val="auto"/>
              </w:rPr>
              <w:t>Part I - Item 1.</w:t>
            </w:r>
          </w:p>
        </w:tc>
        <w:tc>
          <w:tcPr>
            <w:tcW w:w="20" w:type="dxa"/>
            <w:vAlign w:val="bottom"/>
          </w:tcPr>
          <w:p>
            <w:pPr>
              <w:spacing w:after="0"/>
              <w:rPr>
                <w:sz w:val="24"/>
                <w:szCs w:val="24"/>
                <w:color w:val="auto"/>
              </w:rPr>
            </w:pPr>
          </w:p>
        </w:tc>
        <w:tc>
          <w:tcPr>
            <w:tcW w:w="54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INDEPENDENT BANK CORPORATION AND SUBSIDIARIES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020" w:type="dxa"/>
            <w:vAlign w:val="bottom"/>
          </w:tcPr>
          <w:p>
            <w:pPr>
              <w:spacing w:after="0"/>
              <w:rPr>
                <w:sz w:val="19"/>
                <w:szCs w:val="19"/>
                <w:color w:val="auto"/>
              </w:rPr>
            </w:pPr>
          </w:p>
        </w:tc>
        <w:tc>
          <w:tcPr>
            <w:tcW w:w="5440" w:type="dxa"/>
            <w:vAlign w:val="bottom"/>
            <w:gridSpan w:val="3"/>
          </w:tcPr>
          <w:p>
            <w:pPr>
              <w:jc w:val="right"/>
              <w:ind w:right="260"/>
              <w:spacing w:after="0" w:line="224" w:lineRule="exact"/>
              <w:rPr>
                <w:sz w:val="20"/>
                <w:szCs w:val="20"/>
                <w:color w:val="auto"/>
              </w:rPr>
            </w:pPr>
            <w:r>
              <w:rPr>
                <w:rFonts w:ascii="Arial" w:cs="Arial" w:eastAsia="Arial" w:hAnsi="Arial"/>
                <w:sz w:val="22"/>
                <w:szCs w:val="22"/>
                <w:color w:val="auto"/>
                <w:w w:val="88"/>
              </w:rPr>
              <w:t>Condensed Consolidated Statements of Financial Condition</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March 31,</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20" w:type="dxa"/>
            <w:vAlign w:val="bottom"/>
            <w:gridSpan w:val="5"/>
          </w:tcPr>
          <w:p>
            <w:pPr>
              <w:jc w:val="right"/>
              <w:ind w:right="102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30"/>
        </w:trPr>
        <w:tc>
          <w:tcPr>
            <w:tcW w:w="30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w w:val="88"/>
              </w:rPr>
              <w:t>(In thousands, except share 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53,295</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Interest bearing deposits</w:t>
            </w: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12,009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70,291</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Interest bearing deposits - time</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518,400</w:t>
            </w:r>
          </w:p>
        </w:tc>
        <w:tc>
          <w:tcPr>
            <w:tcW w:w="0" w:type="dxa"/>
            <w:vAlign w:val="bottom"/>
          </w:tcPr>
          <w:p>
            <w:pPr>
              <w:spacing w:after="0"/>
              <w:rPr>
                <w:sz w:val="1"/>
                <w:szCs w:val="1"/>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18,359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18,359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5"/>
              </w:rPr>
              <w:t>Loans held for sale, carried at fair value</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69,800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Loans</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1,166,695</w:t>
            </w: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Mortgage</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1,069,967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1,098,911</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2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466,549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jc w:val="right"/>
              <w:ind w:right="100"/>
              <w:spacing w:after="0"/>
              <w:rPr>
                <w:sz w:val="20"/>
                <w:szCs w:val="20"/>
                <w:color w:val="auto"/>
              </w:rPr>
            </w:pPr>
            <w:r>
              <w:rPr>
                <w:rFonts w:ascii="Arial" w:cs="Arial" w:eastAsia="Arial" w:hAnsi="Arial"/>
                <w:sz w:val="18"/>
                <w:szCs w:val="18"/>
                <w:color w:val="auto"/>
              </w:rPr>
              <w:t>Total Loans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2,718,115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2,725,023</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(32,495)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Net Loans</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2,685,620</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2,698,875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real estate and repossessed assets, net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38,411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55,710</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Capitalized mortgage loan servicing rights, carried at fair value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Other intangibles</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Accrued income and other assets</w:t>
            </w: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42,751</w:t>
            </w: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3,632,387</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3,564,694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 bearing</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852,076</w:t>
            </w: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w w:val="92"/>
              </w:rPr>
              <w:t>Savings and interest-bearing checking</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1,229,999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1,186,745</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Reciprocal</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431,027</w:t>
            </w:r>
          </w:p>
        </w:tc>
        <w:tc>
          <w:tcPr>
            <w:tcW w:w="0" w:type="dxa"/>
            <w:vAlign w:val="bottom"/>
          </w:tcPr>
          <w:p>
            <w:pPr>
              <w:spacing w:after="0"/>
              <w:rPr>
                <w:sz w:val="1"/>
                <w:szCs w:val="1"/>
                <w:color w:val="auto"/>
              </w:rPr>
            </w:pPr>
          </w:p>
        </w:tc>
      </w:tr>
      <w:tr>
        <w:trPr>
          <w:trHeight w:val="216"/>
        </w:trPr>
        <w:tc>
          <w:tcPr>
            <w:tcW w:w="3020" w:type="dxa"/>
            <w:vAlign w:val="bottom"/>
          </w:tcPr>
          <w:p>
            <w:pPr>
              <w:ind w:left="180"/>
              <w:spacing w:after="0"/>
              <w:rPr>
                <w:sz w:val="20"/>
                <w:szCs w:val="20"/>
                <w:color w:val="auto"/>
              </w:rPr>
            </w:pPr>
            <w:r>
              <w:rPr>
                <w:rFonts w:ascii="Arial" w:cs="Arial" w:eastAsia="Arial" w:hAnsi="Arial"/>
                <w:sz w:val="18"/>
                <w:szCs w:val="18"/>
                <w:color w:val="auto"/>
              </w:rPr>
              <w:t>Time</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359,050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376,877</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Brokered time</w:t>
            </w:r>
          </w:p>
        </w:tc>
        <w:tc>
          <w:tcPr>
            <w:tcW w:w="2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155,006</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jc w:val="right"/>
              <w:ind w:right="100"/>
              <w:spacing w:after="0"/>
              <w:rPr>
                <w:sz w:val="20"/>
                <w:szCs w:val="20"/>
                <w:color w:val="auto"/>
              </w:rPr>
            </w:pPr>
            <w:r>
              <w:rPr>
                <w:rFonts w:ascii="Arial" w:cs="Arial" w:eastAsia="Arial" w:hAnsi="Arial"/>
                <w:sz w:val="18"/>
                <w:szCs w:val="18"/>
                <w:color w:val="auto"/>
              </w:rPr>
              <w:t>Total Deposits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3,083,564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3,036,727</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88,646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39,456</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Accrued expenses and other liabilities</w:t>
            </w:r>
          </w:p>
        </w:tc>
        <w:tc>
          <w:tcPr>
            <w:tcW w:w="20" w:type="dxa"/>
            <w:vAlign w:val="bottom"/>
            <w:tcBorders>
              <w:bottom w:val="single" w:sz="8" w:color="CCEEFF"/>
            </w:tcBorders>
            <w:shd w:val="clear" w:color="auto" w:fill="CCEEFF"/>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2"/>
          </w:tcPr>
          <w:p>
            <w:pPr>
              <w:jc w:val="right"/>
              <w:ind w:right="1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3,296,769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3,214,525</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Commitments and contingent liabilities</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460" w:type="dxa"/>
            <w:vAlign w:val="bottom"/>
            <w:gridSpan w:val="4"/>
          </w:tcPr>
          <w:p>
            <w:pPr>
              <w:ind w:left="180"/>
              <w:spacing w:after="0" w:line="201" w:lineRule="exact"/>
              <w:rPr>
                <w:sz w:val="20"/>
                <w:szCs w:val="20"/>
                <w:color w:val="auto"/>
              </w:rPr>
            </w:pPr>
            <w:r>
              <w:rPr>
                <w:rFonts w:ascii="Arial" w:cs="Arial" w:eastAsia="Arial" w:hAnsi="Arial"/>
                <w:sz w:val="18"/>
                <w:szCs w:val="18"/>
                <w:color w:val="auto"/>
                <w:w w:val="95"/>
              </w:rPr>
              <w:t>Common stock, no par value, 500,000,000 shares authorized; issued and outstanding: 21,892,001 shares at</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4"/>
          </w:tcPr>
          <w:p>
            <w:pPr>
              <w:ind w:left="340"/>
              <w:spacing w:after="0"/>
              <w:rPr>
                <w:sz w:val="20"/>
                <w:szCs w:val="20"/>
                <w:color w:val="auto"/>
              </w:rPr>
            </w:pPr>
            <w:r>
              <w:rPr>
                <w:rFonts w:ascii="Arial" w:cs="Arial" w:eastAsia="Arial" w:hAnsi="Arial"/>
                <w:sz w:val="18"/>
                <w:szCs w:val="18"/>
                <w:color w:val="auto"/>
              </w:rPr>
              <w:t>March 31, 2020 and 22,481,643 shares at December 31, 2019</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338,528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352,344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23"/>
        </w:trPr>
        <w:tc>
          <w:tcPr>
            <w:tcW w:w="3020" w:type="dxa"/>
            <w:vAlign w:val="bottom"/>
          </w:tcPr>
          <w:p>
            <w:pPr>
              <w:ind w:left="180"/>
              <w:spacing w:after="0"/>
              <w:rPr>
                <w:sz w:val="20"/>
                <w:szCs w:val="20"/>
                <w:color w:val="auto"/>
              </w:rPr>
            </w:pPr>
            <w:r>
              <w:rPr>
                <w:rFonts w:ascii="Arial" w:cs="Arial" w:eastAsia="Arial" w:hAnsi="Arial"/>
                <w:sz w:val="18"/>
                <w:szCs w:val="18"/>
                <w:color w:val="auto"/>
                <w:w w:val="89"/>
              </w:rPr>
              <w:t>Accumulated other comprehensive loss</w:t>
            </w:r>
          </w:p>
        </w:tc>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335,618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jc w:val="right"/>
              <w:ind w:right="10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3,632,387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3,564,694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Condensed Consolidated Statements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6"/>
          </w:tcPr>
          <w:p>
            <w:pPr>
              <w:jc w:val="center"/>
              <w:ind w:right="380"/>
              <w:spacing w:after="0"/>
              <w:rPr>
                <w:sz w:val="20"/>
                <w:szCs w:val="20"/>
                <w:color w:val="auto"/>
              </w:rPr>
            </w:pPr>
            <w:r>
              <w:rPr>
                <w:rFonts w:ascii="Arial" w:cs="Arial" w:eastAsia="Arial" w:hAnsi="Arial"/>
                <w:sz w:val="18"/>
                <w:szCs w:val="18"/>
                <w:color w:val="auto"/>
                <w:w w:val="87"/>
              </w:rPr>
              <w:t>Three months ended</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4"/>
          </w:tcPr>
          <w:p>
            <w:pPr>
              <w:jc w:val="center"/>
              <w:ind w:left="570"/>
              <w:spacing w:after="0"/>
              <w:rPr>
                <w:sz w:val="20"/>
                <w:szCs w:val="20"/>
                <w:color w:val="auto"/>
              </w:rPr>
            </w:pPr>
            <w:r>
              <w:rPr>
                <w:rFonts w:ascii="Arial" w:cs="Arial" w:eastAsia="Arial" w:hAnsi="Arial"/>
                <w:sz w:val="18"/>
                <w:szCs w:val="18"/>
                <w:color w:val="auto"/>
                <w:w w:val="92"/>
              </w:rPr>
              <w:t>March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color w:val="auto"/>
                <w:w w:val="90"/>
              </w:rPr>
              <w:t>(unaudited)</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900" w:type="dxa"/>
            <w:vAlign w:val="bottom"/>
            <w:gridSpan w:val="6"/>
          </w:tcPr>
          <w:p>
            <w:pPr>
              <w:spacing w:after="0"/>
              <w:rPr>
                <w:sz w:val="20"/>
                <w:szCs w:val="20"/>
                <w:color w:val="auto"/>
              </w:rPr>
            </w:pPr>
            <w:r>
              <w:rPr>
                <w:rFonts w:ascii="Arial" w:cs="Arial" w:eastAsia="Arial" w:hAnsi="Arial"/>
                <w:sz w:val="18"/>
                <w:szCs w:val="18"/>
                <w:color w:val="auto"/>
                <w:w w:val="86"/>
              </w:rPr>
              <w:t>(In thousands, except per share amounts)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fees on loans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31,764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32,681</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Interest on securities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Tax-exempt</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Total Interest Income</w:t>
            </w: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35,579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36,636</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borrowings and subordinated debentures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Total 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Net Interest Income</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30,191</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Net Interest Income After Provision for Loan Losses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Non-interest Income</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Interchange income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Mortgage loans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Mortgage loan servicing, net</w:t>
            </w:r>
          </w:p>
        </w:tc>
        <w:tc>
          <w:tcPr>
            <w:tcW w:w="28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(5,300)</w:t>
            </w:r>
          </w:p>
        </w:tc>
        <w:tc>
          <w:tcPr>
            <w:tcW w:w="4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Total Non-interest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Compensation and employee benefits</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16,509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16,351</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net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Data processing</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Interchange expense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Loan and collection</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Legal and professional</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FDIC deposit insurance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82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Total Non-interest Expense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Income Before Income Tax</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11,548</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right"/>
              <w:ind w:right="1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9,381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Condensed Consolidated Statements of Comprehensive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8"/>
                <w:szCs w:val="18"/>
                <w:color w:val="auto"/>
                <w:w w:val="89"/>
              </w:rPr>
              <w:t>Three months ended</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(unaudited -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Unrealized gains (losses) arising during period</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5,364</w:t>
            </w:r>
          </w:p>
        </w:tc>
      </w:tr>
      <w:tr>
        <w:trPr>
          <w:trHeight w:val="202"/>
        </w:trPr>
        <w:tc>
          <w:tcPr>
            <w:tcW w:w="8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Change in unrealized losses for which a portion of other than temporary impairment has been recognized in</w:t>
            </w: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earnings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Reclassification adjustments for gains included in earnings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Unrealized gains (losses) recognized in other comprehensive income (loss) on securities available for sale</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r>
      <w:tr>
        <w:trPr>
          <w:trHeight w:val="202"/>
        </w:trPr>
        <w:tc>
          <w:tcPr>
            <w:tcW w:w="868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w w:val="94"/>
              </w:rPr>
              <w:t>Unrealized gains (losses) recognized in other comprehensive income (loss) on securities available for sale,</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86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of tax</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4,128</w:t>
            </w: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Unrealized gain (loss) arising during period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Reclassification adjustment for income recognized in earnings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gains (losses) recognized in other comprehensive income (loss) on derivative instruments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w w:val="95"/>
              </w:rPr>
              <w:t>Unrealized gains (losses) recognized in other comprehensive income (loss) on derivative instruments, net of tax</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3,742</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12,672</w:t>
            </w:r>
          </w:p>
        </w:tc>
      </w:tr>
      <w:tr>
        <w:trPr>
          <w:trHeight w:val="21"/>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Condensed Consolidated Statements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200"/>
              <w:spacing w:after="0"/>
              <w:rPr>
                <w:sz w:val="20"/>
                <w:szCs w:val="20"/>
                <w:color w:val="auto"/>
              </w:rPr>
            </w:pPr>
            <w:r>
              <w:rPr>
                <w:rFonts w:ascii="Arial" w:cs="Arial" w:eastAsia="Arial" w:hAnsi="Arial"/>
                <w:sz w:val="18"/>
                <w:szCs w:val="18"/>
                <w:color w:val="auto"/>
                <w:w w:val="89"/>
              </w:rPr>
              <w:t>Three months ended March 31,</w:t>
            </w:r>
          </w:p>
        </w:tc>
      </w:tr>
      <w:tr>
        <w:trPr>
          <w:trHeight w:val="223"/>
        </w:trPr>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jc w:val="right"/>
              <w:ind w:right="380"/>
              <w:spacing w:after="0"/>
              <w:rPr>
                <w:sz w:val="20"/>
                <w:szCs w:val="20"/>
                <w:color w:val="auto"/>
              </w:rPr>
            </w:pPr>
            <w:r>
              <w:rPr>
                <w:rFonts w:ascii="Arial" w:cs="Arial" w:eastAsia="Arial" w:hAnsi="Arial"/>
                <w:sz w:val="18"/>
                <w:szCs w:val="18"/>
                <w:color w:val="auto"/>
                <w:w w:val="98"/>
              </w:rPr>
              <w:t>(unaudited - In thousands)</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equity securities at fair value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sales of loans held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241,856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87,496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Disbursements for loans held for sale</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(227,765)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(82,230)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6,721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loan fees and costs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Net depreciation, amortization of intangible assets and premiums and accretion of discounts on securities, loans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bearing deposits - time</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gains on mortgage loans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(8,840)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(3,611)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on securities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 based compensation</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accrued income and other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accrued expenses and other liabilities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r>
      <w:tr>
        <w:trPr>
          <w:trHeight w:val="223"/>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Total Adjustments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22,282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10,131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 Used in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the sale of securities available for sale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21,743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42,236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securities available for sale</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(103,901)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(71,693)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maturity of interest bearing deposits - time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(22,432)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(65,653)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portfolio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40,630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bank-owned life insurance</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(511)</w:t>
            </w:r>
          </w:p>
        </w:tc>
      </w:tr>
      <w:tr>
        <w:trPr>
          <w:trHeight w:val="223"/>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(58,588)</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total deposits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increase in other borrowings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Federal Home Loan Bank Advances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of Federal Home Loan Bank Advances</w:t>
            </w:r>
          </w:p>
        </w:tc>
        <w:tc>
          <w:tcPr>
            <w:tcW w:w="1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(153,000)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Share based compensation withholding obligation</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(590)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(866)</w:t>
            </w:r>
          </w:p>
        </w:tc>
      </w:tr>
      <w:tr>
        <w:trPr>
          <w:trHeight w:val="223"/>
        </w:trPr>
        <w:tc>
          <w:tcPr>
            <w:tcW w:w="8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Net Cash From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jc w:val="right"/>
              <w:ind w:right="3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70,291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71,623</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5,489</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6,253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10,497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of portfolio loans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7,703</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INDEPENDENT BANK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Condensed Consolidated Statements of Shareholders'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Retained</w:t>
            </w:r>
          </w:p>
        </w:tc>
        <w:tc>
          <w:tcPr>
            <w:tcW w:w="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Earnings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Other</w:t>
            </w:r>
          </w:p>
        </w:tc>
        <w:tc>
          <w:tcPr>
            <w:tcW w:w="3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Common</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1400" w:type="dxa"/>
            <w:vAlign w:val="bottom"/>
            <w:gridSpan w:val="4"/>
          </w:tcPr>
          <w:p>
            <w:pPr>
              <w:ind w:left="60"/>
              <w:spacing w:after="0"/>
              <w:rPr>
                <w:sz w:val="20"/>
                <w:szCs w:val="20"/>
                <w:color w:val="auto"/>
              </w:rPr>
            </w:pPr>
            <w:r>
              <w:rPr>
                <w:rFonts w:ascii="Arial" w:cs="Arial" w:eastAsia="Arial" w:hAnsi="Arial"/>
                <w:sz w:val="18"/>
                <w:szCs w:val="18"/>
                <w:color w:val="auto"/>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Shareholders’</w:t>
            </w: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Stock</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Loss</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10"/>
          </w:tcPr>
          <w:p>
            <w:pPr>
              <w:jc w:val="right"/>
              <w:spacing w:after="0"/>
              <w:rPr>
                <w:sz w:val="20"/>
                <w:szCs w:val="20"/>
                <w:color w:val="auto"/>
              </w:rPr>
            </w:pPr>
            <w:r>
              <w:rPr>
                <w:rFonts w:ascii="Arial" w:cs="Arial" w:eastAsia="Arial" w:hAnsi="Arial"/>
                <w:sz w:val="18"/>
                <w:szCs w:val="18"/>
                <w:color w:val="auto"/>
              </w:rPr>
              <w:t>(Dollars in thousands, except per share amounts)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1,611</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three months ended March 31, 2020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4,810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$.20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678,929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(13,784)</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(13,784)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11,567 shares of common stock</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9"/>
              </w:rPr>
              <w:t>Share based compensation (issuance of 105,894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28,174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(1,068)</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(1,068)</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March 31, 2020</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338,528</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(28,270)</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338,994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three months ended March 31, 2019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9,381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9,381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$.18 per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Repurchase of 115,787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(2,530)</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(2,530)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Issuance of 68,399 shares of common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 based compensation (issuance of 84,128 shares of common stock)</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Share based compensation withholding obligation (withholding of 56,286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common stock)</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3,291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3,291</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March 31, 2019</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374,678</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(23,135)</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344,726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See notes to interim condensed consolidated financial statements (unaudited)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2019 included in our Annual Report on Form 10-K.</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our opinion, the accompanying unaudited condensed consolidated financial statements contain all the adjustments necessary to present fairly our consolidated financial condition as of March 31, 2020 and December 31, 2019, and the results of operations for the three month periods ended March 31, 2020 and 2019. The results of operations for the three month period ended March 31, 2020, are not necessarily indicative of the results to be expected for the full year. Certain reclassifications have been made in the prior period financial statements to conform to the current period presentation. Our critical accounting policies include the determination of the allowance for loan losses and the valuation of capitalized mortgage loan servicing rights. Refer to our 2019 Annual Report on Form 10-K for a disclosure of our accounting policies.</w:t>
      </w:r>
    </w:p>
    <w:p>
      <w:pPr>
        <w:spacing w:after="0" w:line="18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This ASU:</w:t>
      </w:r>
    </w:p>
    <w:p>
      <w:pPr>
        <w:spacing w:after="0" w:line="240"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Requires inclusion of expected recoveries, limited to the cumulative amount of prior write-offs, when estimating the allowance for credit losses for in scope financial assets (including collateral dependent assets).</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requires a cumulative-effect adjustment to retained earnings as of the beginning of the reporting period of adoption.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began evaluating this ASU in 2016 and established a company-wide, cross -discipline governance structure, which provides implementation oversight. We continued to test and refine our current expected credit loss models that satisfied the requirements of this ASU. Oversight and testing, as well as efforts to meet expanded disclosure requirements, extended through the end of 2019. We currently estimate losses over approximately a two year forecast period using the Federal Open Market Committee median economic projections as well as considering other economic forecast sources, and then revert to longer term historical loss experience to estimate losses over more extended periods. We were originally required to adopt this ASU on January 1, 2020 but section 4014 of the Coronavirus Aid, Relief, and Economic Security (“CARES”) Act allows for temporary relief from applying this ASU. Under the CARES Act we may delay the adoption of this ASU until the earlier of the termination of the national emergency that President Trump declared on March 13, 2020, or December 31, 2020. As such, we have chosen to delay the adoption of this ASU and continue to utilize the existing incurred loss impairment methodology to calculate our allowance for loan losses and our provision for loan losses as required under Accounting Standards Codification 310 (Receivables). When we adopt this ASU as required under the CARES act we will do so retrospectively to January 1, 2020.</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expect to recognize a one-time cumulative effect adjustment at January 1, 2020 increasing the allowance for loan losses. We are estimating an increase to the allowance for loan losses at that time to be in the range of $8.0 million to $10.0 million primarily driven by the longer contractual maturities of our mortgage and consumer installment loan segments. In addition, we currently expect this ASU to increase the allowance for losses related to unfunded loan commitments between $1.0 million and $2.0 million. The ultimate impact of adopting this ASU, and at each subsequent reporting period, is highly dependent on credit quality, economic forecasts and conditions, composition of our loan portfolios and securities available for sale, along with other management judgements. The transition adjustment to record the allowance for credit losses may fall outside of our estimated increase based on the finalization of assumptions including qualitative adjustments and the economic forecast used in calculating the allowance for credit losses upon the adoption of CECL.</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We do not expect a material allowance for credit losses to be recorded on securities available for sale upon adoption of this ASU.</w:t>
      </w:r>
    </w:p>
    <w:p>
      <w:pPr>
        <w:spacing w:after="0" w:line="26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August 2018, the FASB issued ASU 2018-13, ‘‘Fair Value Measurement (Topic 820), Disclosure Framework – Changes to the Disclosure Requirements for Fair Value Measurement’’. This new ASU amends disclosure requirements in Topic 820 to eliminate, add and modify certain disclosure requirements for fair value measurements as part of its disclosure framework project. The amended guidance eliminates the requirements to disclose the amount of and reasons for transfers between Level 1 and Level 2 of the fair value hierarchy, the entity’s policy for the timing of transfers between levels of the fair value hierarchy and the entity’s valuation processes for Level 3 fair value measurements. The amended guidance adds the requirements to disclose the changes in unrealized gains and losses for the period included in other comprehensive income (loss) for recurring Level 3 fair value measurements of instruments held at the end of the reporting period and for recurring and nonrecurring Level 3 fair value measurements, the range and weighted average used to develop significant unobservable inputs and how the weighted average was calculated, with certain exceptions. This amended guidance was effective for us on January 1, 2020, and did not have a material impact on our consolidated operating results or financial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 This amended guidance and our ability to elect its temporary optional expedients and exceptions are effective for us as of March 12, 2020 through December 31, 2022.</w:t>
      </w:r>
    </w:p>
    <w:p>
      <w:pPr>
        <w:spacing w:after="0" w:line="19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Securities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Securities available for sale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Amortized</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Cost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12,648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12,828</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agency residential mortgage-backed</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216,436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5,746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221,829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9,665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38,188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37,071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105,971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103,881</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162,805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2,477</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163,941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42,392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42,811</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1,968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590,572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10,051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594,284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2019</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U.S. agency residential mortgage-backed</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226,130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1,910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227,762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10,671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39,248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39,693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94,158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93,886</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94,499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96,102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31,904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33,195</w:t>
            </w:r>
          </w:p>
        </w:tc>
        <w:tc>
          <w:tcPr>
            <w:tcW w:w="0" w:type="dxa"/>
            <w:vAlign w:val="bottom"/>
          </w:tcPr>
          <w:p>
            <w:pPr>
              <w:spacing w:after="0"/>
              <w:rPr>
                <w:sz w:val="1"/>
                <w:szCs w:val="1"/>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1,968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Pr>
          <w:p>
            <w:pPr>
              <w:ind w:left="340"/>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513,668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5,782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518,400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40" w:type="dxa"/>
            <w:vAlign w:val="bottom"/>
            <w:vMerge w:val="restart"/>
          </w:tcPr>
          <w:p>
            <w:pPr>
              <w:jc w:val="right"/>
              <w:ind w:right="194"/>
              <w:spacing w:after="0"/>
              <w:rPr>
                <w:sz w:val="20"/>
                <w:szCs w:val="20"/>
                <w:color w:val="auto"/>
              </w:rPr>
            </w:pPr>
            <w:r>
              <w:rPr>
                <w:rFonts w:ascii="Arial" w:cs="Arial" w:eastAsia="Arial" w:hAnsi="Arial"/>
                <w:sz w:val="14"/>
                <w:szCs w:val="14"/>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5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Our investments’ gross unrealized losses and fair values aggregated by investment type and length of time that individual securities have been at a continuous unrealized loss position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300" w:type="dxa"/>
            <w:vAlign w:val="bottom"/>
            <w:gridSpan w:val="6"/>
          </w:tcPr>
          <w:p>
            <w:pPr>
              <w:ind w:left="80"/>
              <w:spacing w:after="0"/>
              <w:rPr>
                <w:sz w:val="20"/>
                <w:szCs w:val="20"/>
                <w:color w:val="auto"/>
              </w:rPr>
            </w:pPr>
            <w:r>
              <w:rPr>
                <w:rFonts w:ascii="Arial" w:cs="Arial" w:eastAsia="Arial" w:hAnsi="Arial"/>
                <w:sz w:val="18"/>
                <w:szCs w:val="18"/>
                <w:color w:val="auto"/>
              </w:rPr>
              <w:t>Less Than Twelve Months</w:t>
            </w:r>
          </w:p>
        </w:tc>
        <w:tc>
          <w:tcPr>
            <w:tcW w:w="100" w:type="dxa"/>
            <w:vAlign w:val="bottom"/>
          </w:tcPr>
          <w:p>
            <w:pPr>
              <w:spacing w:after="0"/>
              <w:rPr>
                <w:sz w:val="20"/>
                <w:szCs w:val="20"/>
                <w:color w:val="auto"/>
              </w:rPr>
            </w:pPr>
          </w:p>
        </w:tc>
        <w:tc>
          <w:tcPr>
            <w:tcW w:w="2120" w:type="dxa"/>
            <w:vAlign w:val="bottom"/>
            <w:gridSpan w:val="5"/>
          </w:tcPr>
          <w:p>
            <w:pPr>
              <w:ind w:left="20"/>
              <w:spacing w:after="0"/>
              <w:rPr>
                <w:sz w:val="20"/>
                <w:szCs w:val="20"/>
                <w:color w:val="auto"/>
              </w:rPr>
            </w:pPr>
            <w:r>
              <w:rPr>
                <w:rFonts w:ascii="Arial" w:cs="Arial" w:eastAsia="Arial" w:hAnsi="Arial"/>
                <w:sz w:val="18"/>
                <w:szCs w:val="18"/>
                <w:color w:val="auto"/>
              </w:rPr>
              <w:t>Twelve Months or More</w:t>
            </w:r>
          </w:p>
        </w:tc>
        <w:tc>
          <w:tcPr>
            <w:tcW w:w="2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7"/>
              </w:rPr>
              <w:t>Unrealized</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5"/>
              </w:rPr>
              <w:t>Unrealized</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r>
      <w:tr>
        <w:trPr>
          <w:trHeight w:val="237"/>
        </w:trPr>
        <w:tc>
          <w:tcPr>
            <w:tcW w:w="4620" w:type="dxa"/>
            <w:vAlign w:val="bottom"/>
          </w:tcPr>
          <w:p>
            <w:pPr>
              <w:spacing w:after="0"/>
              <w:rPr>
                <w:sz w:val="20"/>
                <w:szCs w:val="20"/>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7"/>
              </w:rPr>
              <w:t>Fair Value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1"/>
              </w:rPr>
              <w:t>Losses</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Losses</w:t>
            </w:r>
          </w:p>
        </w:tc>
        <w:tc>
          <w:tcPr>
            <w:tcW w:w="22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Losses</w:t>
            </w:r>
          </w:p>
        </w:tc>
        <w:tc>
          <w:tcPr>
            <w:tcW w:w="100" w:type="dxa"/>
            <w:vAlign w:val="bottom"/>
          </w:tcPr>
          <w:p>
            <w:pPr>
              <w:spacing w:after="0"/>
              <w:rPr>
                <w:sz w:val="20"/>
                <w:szCs w:val="20"/>
                <w:color w:val="auto"/>
              </w:rPr>
            </w:pPr>
          </w:p>
        </w:tc>
      </w:tr>
      <w:tr>
        <w:trPr>
          <w:trHeight w:val="230"/>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5"/>
          </w:tcPr>
          <w:p>
            <w:pPr>
              <w:ind w:left="3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March 31, 2020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U.S. agency residential mortgage-backed</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37,673</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5,166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42,839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22,232</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22,590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1,458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67,012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18,910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50,643</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52,856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1,341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14,556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1,491</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193,158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U.S. agency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residential mortgage-backed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56,377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69,928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U.S. agency commercial mortgage-backed</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3,943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Private label mortgage-backed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asset backed</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34,027</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13,839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47,866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15,666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2,125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Trust preferred</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7"/>
        </w:trPr>
        <w:tc>
          <w:tcPr>
            <w:tcW w:w="46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130,648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38,343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168,991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1"/>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231F20"/>
        </w:rPr>
        <w:t>U.S. agency, U.S. agency residential mortgage-backed securities and U.S. agency commercial mortgage backed securities — at March 31, 2020, we had 24 U.S. agency, 52 U.S. agency residential mortgage-backed and six U.S. agency commercial mortgage-backed securities whose fair value is less than amortized cost. The unrealized losses are largely attributed to widening spreads to Treasury bonds since acquisition.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231F20"/>
        </w:rPr>
        <w:t>Private label mortgage backed, other asset backed and corporate securities — at March 31, 2020, we had 35 private label mortgage backed, 122 other asset backed and 18 corporate securities whose fair value is less than amortized cost. The unrealized losses are primarily due to credit spread widening since acquisition.</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Two private label mortgage-backed securities (discussed further below) were reviewed for other than temporary impairment (‘‘OTTI’’) utilizing a cash flow projection. The cash flow analysis forecasts cash flow from the underlying loans in each transaction and then applies these cash flows to the bonds in the securitization.</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231F20"/>
        </w:rPr>
        <w:t xml:space="preserve">Obligations of states and political subdivisions — at March 31, 2020, we had 36 municipal securities whose fair value is less than amortized cost. </w:t>
      </w:r>
      <w:r>
        <w:rPr>
          <w:rFonts w:ascii="Arial" w:cs="Arial" w:eastAsia="Arial" w:hAnsi="Arial"/>
          <w:sz w:val="21"/>
          <w:szCs w:val="21"/>
          <w:color w:val="000000"/>
        </w:rPr>
        <w:t>The unrealized losses are primarily due to wider benchmark pricing spreads since acquisition.</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231F20"/>
        </w:rPr>
        <w:t xml:space="preserve">Trust preferred securities — at March 31, 2020, </w:t>
      </w:r>
      <w:r>
        <w:rPr>
          <w:rFonts w:ascii="Arial" w:cs="Arial" w:eastAsia="Arial" w:hAnsi="Arial"/>
          <w:sz w:val="19"/>
          <w:szCs w:val="19"/>
          <w:color w:val="000000"/>
        </w:rPr>
        <w:t>we had two trust preferred securities whose fair value is less than amortized cost.</w:t>
      </w:r>
      <w:r>
        <w:rPr>
          <w:rFonts w:ascii="Arial" w:cs="Arial" w:eastAsia="Arial" w:hAnsi="Arial"/>
          <w:sz w:val="19"/>
          <w:szCs w:val="19"/>
          <w:color w:val="231F20"/>
        </w:rPr>
        <w:t xml:space="preserve"> </w:t>
      </w:r>
      <w:r>
        <w:rPr>
          <w:rFonts w:ascii="Arial" w:cs="Arial" w:eastAsia="Arial" w:hAnsi="Arial"/>
          <w:sz w:val="19"/>
          <w:szCs w:val="19"/>
          <w:color w:val="000000"/>
        </w:rPr>
        <w:t>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$0.65 million as of March 31, 2020, continues to have satisfactory credit metrics and make interest payments.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231F20"/>
        </w:rPr>
        <w:t>As management does not intend to liquidate any of the securities discussed above and it is more likely than not that we will not be required to sell these securities prior to recovery of these unrealized losses, no declines discussed above (other than certain declines related to the two private label mortgage-backed securities currently being reviewed for OTTI) are deemed to be other than temporary.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recorded no credit related OTTI charges in our Condensed Consolidated Statements of Operations related to securities available for sale during the three month periods ended March 31,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At March 31, 2020, two private label mortgage-backed securities had credit related OTTI and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Super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Senior</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Senior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Security</w:t>
            </w:r>
          </w:p>
        </w:tc>
        <w:tc>
          <w:tcPr>
            <w:tcW w:w="18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Security</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30"/>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920" w:type="dxa"/>
            <w:vAlign w:val="bottom"/>
          </w:tcPr>
          <w:p>
            <w:pPr>
              <w:spacing w:after="0"/>
              <w:rPr>
                <w:sz w:val="17"/>
                <w:szCs w:val="17"/>
                <w:color w:val="auto"/>
              </w:rPr>
            </w:pPr>
          </w:p>
        </w:tc>
        <w:tc>
          <w:tcPr>
            <w:tcW w:w="358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3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Amortized cost</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Non-credit unrealized loss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Unrealized gain</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Cumulative credit related OTTI</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r>
      <w:tr>
        <w:trPr>
          <w:trHeight w:val="596"/>
        </w:trPr>
        <w:tc>
          <w:tcPr>
            <w:tcW w:w="3920" w:type="dxa"/>
            <w:vAlign w:val="bottom"/>
          </w:tcPr>
          <w:p>
            <w:pPr>
              <w:spacing w:after="0"/>
              <w:rPr>
                <w:sz w:val="24"/>
                <w:szCs w:val="24"/>
                <w:color w:val="auto"/>
              </w:rPr>
            </w:pPr>
          </w:p>
        </w:tc>
        <w:tc>
          <w:tcPr>
            <w:tcW w:w="3400" w:type="dxa"/>
            <w:vAlign w:val="bottom"/>
          </w:tcPr>
          <w:p>
            <w:pPr>
              <w:jc w:val="right"/>
              <w:ind w:right="1539"/>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9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Both of these securities are receiving principal and interest payments similar to principal reductions in the underlying collateral and have unrealized gains at March 31, 2020. The original amortized cost (current amortized cost excluding cumulative credit related OTTI) for each of these securities has been permanently adjusted downward for previously recorded credit related OTTI. The unrealized loss (based on original amortized cost) for one of these securities is now less than previously recorded credit related OTTI amounts.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A roll forward of credit losses recognized in earnings on securities available for sale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Additions to credit losses on securities for which no previous OTTI was recognized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to credit losses on securities for which OTTI was previously recognized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amortized cost and fair value of securities available for sale at March 31, 2020, by contractual maturity,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16"/>
              <w:spacing w:after="0"/>
              <w:rPr>
                <w:sz w:val="20"/>
                <w:szCs w:val="20"/>
                <w:color w:val="auto"/>
              </w:rPr>
            </w:pPr>
            <w:r>
              <w:rPr>
                <w:rFonts w:ascii="Arial" w:cs="Arial" w:eastAsia="Arial" w:hAnsi="Arial"/>
                <w:sz w:val="18"/>
                <w:szCs w:val="18"/>
                <w:color w:val="auto"/>
                <w:w w:val="96"/>
              </w:rPr>
              <w:t>Amortized</w:t>
            </w:r>
          </w:p>
        </w:tc>
        <w:tc>
          <w:tcPr>
            <w:tcW w:w="22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13,075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61,789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62,393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47,654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48,967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97,794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97,095</w:t>
            </w:r>
          </w:p>
        </w:tc>
      </w:tr>
      <w:tr>
        <w:trPr>
          <w:trHeight w:val="216"/>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221,587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216,436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221,829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38,188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37,071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590,572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594,284</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actual maturity may differ from the contractual maturity because issuers may have the right to call or prepay obligations with or without call or prepayment penalties.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three month periods ending March 31,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Gains</w:t>
            </w:r>
          </w:p>
        </w:tc>
        <w:tc>
          <w:tcPr>
            <w:tcW w:w="260" w:type="dxa"/>
            <w:vAlign w:val="bottom"/>
          </w:tcPr>
          <w:p>
            <w:pPr>
              <w:spacing w:after="0"/>
              <w:rPr>
                <w:sz w:val="19"/>
                <w:szCs w:val="19"/>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6"/>
        </w:trPr>
        <w:tc>
          <w:tcPr>
            <w:tcW w:w="29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w w:val="84"/>
              </w:rPr>
              <w:t>2020</w:t>
            </w:r>
          </w:p>
        </w:tc>
        <w:tc>
          <w:tcPr>
            <w:tcW w:w="4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21,743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jc w:val="right"/>
              <w:ind w:right="2510"/>
              <w:spacing w:after="0"/>
              <w:rPr>
                <w:sz w:val="20"/>
                <w:szCs w:val="20"/>
                <w:color w:val="auto"/>
              </w:rPr>
            </w:pPr>
            <w:r>
              <w:rPr>
                <w:rFonts w:ascii="Arial" w:cs="Arial" w:eastAsia="Arial" w:hAnsi="Arial"/>
                <w:sz w:val="18"/>
                <w:szCs w:val="18"/>
                <w:color w:val="auto"/>
                <w:w w:val="84"/>
              </w:rPr>
              <w:t>2019</w:t>
            </w: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42,236</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581"/>
        </w:trPr>
        <w:tc>
          <w:tcPr>
            <w:tcW w:w="2960" w:type="dxa"/>
            <w:vAlign w:val="bottom"/>
          </w:tcPr>
          <w:p>
            <w:pPr>
              <w:spacing w:after="0"/>
              <w:rPr>
                <w:sz w:val="24"/>
                <w:szCs w:val="24"/>
                <w:color w:val="auto"/>
              </w:rPr>
            </w:pPr>
          </w:p>
        </w:tc>
        <w:tc>
          <w:tcPr>
            <w:tcW w:w="4360" w:type="dxa"/>
            <w:vAlign w:val="bottom"/>
          </w:tcPr>
          <w:p>
            <w:pPr>
              <w:jc w:val="right"/>
              <w:ind w:right="1539"/>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960" w:type="dxa"/>
            <w:vAlign w:val="bottom"/>
            <w:tcBorders>
              <w:bottom w:val="single" w:sz="8" w:color="auto"/>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231F20"/>
        </w:rPr>
        <w:t xml:space="preserve">Certain preferred stocks which were all sold during the first quarter of 2019 had been classified as equity securities at fair value in our Condensed Consolidated Statement of Financial Condition. During the three months ended March 31, 2019 we recognized gains on these preferred stocks of $0.167 million </w:t>
      </w:r>
      <w:r>
        <w:rPr>
          <w:rFonts w:ascii="Arial" w:cs="Arial" w:eastAsia="Arial" w:hAnsi="Arial"/>
          <w:sz w:val="22"/>
          <w:szCs w:val="22"/>
          <w:color w:val="000000"/>
        </w:rPr>
        <w:t>that are included in net gains (losses) on securities in the Condensed</w:t>
      </w:r>
      <w:r>
        <w:rPr>
          <w:rFonts w:ascii="Arial" w:cs="Arial" w:eastAsia="Arial" w:hAnsi="Arial"/>
          <w:sz w:val="22"/>
          <w:szCs w:val="22"/>
          <w:color w:val="231F20"/>
        </w:rPr>
        <w:t xml:space="preserve"> </w:t>
      </w:r>
      <w:r>
        <w:rPr>
          <w:rFonts w:ascii="Arial" w:cs="Arial" w:eastAsia="Arial" w:hAnsi="Arial"/>
          <w:sz w:val="22"/>
          <w:szCs w:val="22"/>
          <w:color w:val="000000"/>
        </w:rPr>
        <w:t>Consolidated Statements of Operations.</w:t>
      </w:r>
    </w:p>
    <w:p>
      <w:pPr>
        <w:spacing w:after="0" w:line="2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4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Our assessment of the allowance for loan losses is based on an evaluation of the loan portfolio, recent and historical loss experience, current economic conditions and other pertinent factors.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An analysis of the allowance for loan losses by portfolio segment for the three months ended March 31,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Commercial</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Mortgage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10,212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7,416</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32,495</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Additions (deductions)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Recoveries credited to the allowance</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charged against the allowance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7,518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8,412</w:t>
            </w:r>
          </w:p>
        </w:tc>
        <w:tc>
          <w:tcPr>
            <w:tcW w:w="14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25,254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Allowance for loan losses and recorded investment in loans by portfolio segment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Installment</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Allocation</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24,357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ending allowance for loan losses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10,212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32,495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2,813</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63,301</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1,164,903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1,030,996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464,633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2,660,532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loans recorded investment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1,184,291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467,757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2,726,051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1,181,599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1,069,967</w:t>
            </w:r>
          </w:p>
        </w:tc>
        <w:tc>
          <w:tcPr>
            <w:tcW w:w="10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466,549</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2,718,115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4,863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19,993</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ending allowance for loan losses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9,393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43,574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2,925</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55,892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457,370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2,675,193</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 recorded investment</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1,169,693</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4,155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1,166,695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459,417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2,725,023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Loans on non-accrual status and past due more than 90 days (“Non-performing Loans”) follow</w:t>
      </w:r>
      <w:r>
        <w:rPr>
          <w:rFonts w:ascii="Arial" w:cs="Arial" w:eastAsia="Arial" w:hAnsi="Arial"/>
          <w:sz w:val="35"/>
          <w:szCs w:val="35"/>
          <w:color w:val="auto"/>
          <w:vertAlign w:val="superscript"/>
        </w:rPr>
        <w:t>(1)</w:t>
      </w:r>
      <w:r>
        <w:rPr>
          <w:rFonts w:ascii="Arial" w:cs="Arial" w:eastAsia="Arial" w:hAnsi="Arial"/>
          <w:sz w:val="22"/>
          <w:szCs w:val="22"/>
          <w:color w:val="auto"/>
        </w:rPr>
        <w: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960" w:type="dxa"/>
            <w:vAlign w:val="bottom"/>
          </w:tcPr>
          <w:p>
            <w:pPr>
              <w:jc w:val="center"/>
              <w:ind w:left="61"/>
              <w:spacing w:after="0"/>
              <w:rPr>
                <w:sz w:val="20"/>
                <w:szCs w:val="20"/>
                <w:color w:val="auto"/>
              </w:rPr>
            </w:pPr>
            <w:r>
              <w:rPr>
                <w:rFonts w:ascii="Arial" w:cs="Arial" w:eastAsia="Arial" w:hAnsi="Arial"/>
                <w:sz w:val="18"/>
                <w:szCs w:val="18"/>
                <w:color w:val="auto"/>
                <w:w w:val="88"/>
              </w:rPr>
              <w:t>90+ and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Non-</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960" w:type="dxa"/>
            <w:vAlign w:val="bottom"/>
          </w:tcPr>
          <w:p>
            <w:pPr>
              <w:jc w:val="center"/>
              <w:ind w:left="61"/>
              <w:spacing w:after="0"/>
              <w:rPr>
                <w:sz w:val="20"/>
                <w:szCs w:val="20"/>
                <w:color w:val="auto"/>
              </w:rPr>
            </w:pPr>
            <w:r>
              <w:rPr>
                <w:rFonts w:ascii="Arial" w:cs="Arial" w:eastAsia="Arial" w:hAnsi="Arial"/>
                <w:sz w:val="18"/>
                <w:szCs w:val="18"/>
                <w:color w:val="auto"/>
              </w:rPr>
              <w:t>Still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Non-</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Performing</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960" w:type="dxa"/>
            <w:vAlign w:val="bottom"/>
          </w:tcPr>
          <w:p>
            <w:pPr>
              <w:jc w:val="center"/>
              <w:ind w:left="41"/>
              <w:spacing w:after="0"/>
              <w:rPr>
                <w:sz w:val="20"/>
                <w:szCs w:val="20"/>
                <w:color w:val="auto"/>
              </w:rPr>
            </w:pPr>
            <w:r>
              <w:rPr>
                <w:rFonts w:ascii="Arial" w:cs="Arial" w:eastAsia="Arial" w:hAnsi="Arial"/>
                <w:sz w:val="18"/>
                <w:szCs w:val="18"/>
                <w:color w:val="auto"/>
                <w:w w:val="97"/>
              </w:rPr>
              <w:t>Accruing</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Accrual</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620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9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 (2)</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7,756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7,756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 (3)</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6200" w:type="dxa"/>
            <w:vAlign w:val="bottom"/>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recorded investment</w:t>
            </w:r>
          </w:p>
        </w:tc>
        <w:tc>
          <w:tcPr>
            <w:tcW w:w="96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December 31, 2019</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Commercial and industrial (2)</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Mortgage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1-4 family owner occupied - non-jumbo (3)</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620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tcPr>
          <w:p>
            <w:pPr>
              <w:ind w:left="500"/>
              <w:spacing w:after="0"/>
              <w:rPr>
                <w:sz w:val="20"/>
                <w:szCs w:val="20"/>
                <w:color w:val="auto"/>
              </w:rPr>
            </w:pPr>
            <w:r>
              <w:rPr>
                <w:rFonts w:ascii="Arial" w:cs="Arial" w:eastAsia="Arial" w:hAnsi="Arial"/>
                <w:sz w:val="18"/>
                <w:szCs w:val="18"/>
                <w:color w:val="auto"/>
              </w:rPr>
              <w:t>Total recorded investment</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9,532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96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loans exclude purchase credit impaired loans.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commercial and industrial loans exclude $0.053 million and $0.077 million of government guaranteed loans at March 31, 2020 and December 31, 2019, respectively.</w:t>
      </w: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Non-performing 1-4 family owner occupied – non jumbo loans exclude $0.623 million and $0.569 million of government guaranteed loans at March 31, 2020 and December 31, 2019,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 aging analysis of loans by class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Loans Past Due</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Loans not</w:t>
            </w: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30-59 days</w:t>
            </w:r>
          </w:p>
        </w:tc>
        <w:tc>
          <w:tcPr>
            <w:tcW w:w="24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w w:val="94"/>
              </w:rPr>
              <w:t>60-89 days</w:t>
            </w:r>
          </w:p>
        </w:tc>
        <w:tc>
          <w:tcPr>
            <w:tcW w:w="10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90+ days</w:t>
            </w: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Past Due</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3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581,613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582,022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602,094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602,269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1,436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3,294</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434,866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438,160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284,956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288,464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2,077</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164,961</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167,038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111,877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114,174</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65,539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66,167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205,019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205,717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158,336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158,674</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102,581</w:t>
            </w: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103,366</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2,711,842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2,726,051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7,824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2019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564,480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564,871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603,910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604,822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Mortgage</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398,759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401,553</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1,387</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4,911</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342,349</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347,260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168,083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169,537</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115,157</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116,542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67,192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68,174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202,750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203,282</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153,184</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153,445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103,884</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ind w:left="500"/>
              <w:spacing w:after="0"/>
              <w:rPr>
                <w:sz w:val="20"/>
                <w:szCs w:val="20"/>
                <w:color w:val="auto"/>
              </w:rPr>
            </w:pPr>
            <w:r>
              <w:rPr>
                <w:rFonts w:ascii="Arial" w:cs="Arial" w:eastAsia="Arial" w:hAnsi="Arial"/>
                <w:sz w:val="18"/>
                <w:szCs w:val="18"/>
                <w:color w:val="auto"/>
              </w:rPr>
              <w:t>Total recorded investment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7,449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14,476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2,718,894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2,733,370</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89"/>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9"/>
              </w:rPr>
              <w:t>17</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Impaired loans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16"/>
              <w:spacing w:after="0"/>
              <w:rPr>
                <w:sz w:val="20"/>
                <w:szCs w:val="20"/>
                <w:color w:val="auto"/>
              </w:rPr>
            </w:pPr>
            <w:r>
              <w:rPr>
                <w:rFonts w:ascii="Arial" w:cs="Arial" w:eastAsia="Arial" w:hAnsi="Arial"/>
                <w:sz w:val="18"/>
                <w:szCs w:val="18"/>
                <w:color w:val="auto"/>
                <w:w w:val="97"/>
              </w:rPr>
              <w:t>March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48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Impaired loans with no allocated allowance for loan losses</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Troubled debt restructurings ("TDR")</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Non - TDR</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allowance for loan losses</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TDR - allowance based on collateral</w:t>
            </w: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1,587</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TDR - allowance based on present value cash flow</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40,769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48,798</w:t>
            </w: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Non - TDR - allowance based on collateral</w:t>
            </w: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3,365</w:t>
            </w:r>
          </w:p>
        </w:tc>
      </w:tr>
      <w:tr>
        <w:trPr>
          <w:trHeight w:val="256"/>
        </w:trPr>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impaired loans</w:t>
            </w:r>
          </w:p>
        </w:tc>
        <w:tc>
          <w:tcPr>
            <w:tcW w:w="3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TDR - allowance based on collateral</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TDR - allowance based on present value cash flow</w:t>
            </w: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w:t>
            </w:r>
          </w:p>
        </w:tc>
      </w:tr>
      <w:tr>
        <w:trPr>
          <w:trHeight w:val="223"/>
        </w:trPr>
        <w:tc>
          <w:tcPr>
            <w:tcW w:w="4880" w:type="dxa"/>
            <w:vAlign w:val="bottom"/>
          </w:tcPr>
          <w:p>
            <w:pPr>
              <w:ind w:left="180"/>
              <w:spacing w:after="0"/>
              <w:rPr>
                <w:sz w:val="20"/>
                <w:szCs w:val="20"/>
                <w:color w:val="auto"/>
              </w:rPr>
            </w:pPr>
            <w:r>
              <w:rPr>
                <w:rFonts w:ascii="Arial" w:cs="Arial" w:eastAsia="Arial" w:hAnsi="Arial"/>
                <w:sz w:val="18"/>
                <w:szCs w:val="18"/>
                <w:color w:val="auto"/>
              </w:rPr>
              <w:t>Non - TDR - allowance based on collateral</w:t>
            </w: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r>
        <w:trPr>
          <w:trHeight w:val="257"/>
        </w:trPr>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amount of allowance for loan losses allocated</w:t>
            </w:r>
          </w:p>
        </w:tc>
        <w:tc>
          <w:tcPr>
            <w:tcW w:w="3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880" w:type="dxa"/>
            <w:vAlign w:val="bottom"/>
          </w:tcPr>
          <w:p>
            <w:pPr>
              <w:spacing w:after="0"/>
              <w:rPr>
                <w:sz w:val="24"/>
                <w:szCs w:val="24"/>
                <w:color w:val="auto"/>
              </w:rPr>
            </w:pPr>
          </w:p>
        </w:tc>
        <w:tc>
          <w:tcPr>
            <w:tcW w:w="3800" w:type="dxa"/>
            <w:vAlign w:val="bottom"/>
          </w:tcPr>
          <w:p>
            <w:pPr>
              <w:jc w:val="right"/>
              <w:ind w:right="2896"/>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88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Impaired loans by class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March 31, 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color w:val="auto"/>
                <w:w w:val="88"/>
              </w:rPr>
              <w:t>December 31, 2019</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6"/>
              </w:rPr>
              <w:t>Related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6"/>
              </w:rPr>
              <w:t>Related</w:t>
            </w: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Unpaid</w:t>
            </w:r>
          </w:p>
        </w:tc>
        <w:tc>
          <w:tcPr>
            <w:tcW w:w="1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Unpaid</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Allowance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87"/>
              </w:rPr>
              <w:t>Recorded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For Loan</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Principal</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Loan</w:t>
            </w:r>
          </w:p>
        </w:tc>
      </w:tr>
      <w:tr>
        <w:trPr>
          <w:trHeight w:val="237"/>
        </w:trPr>
        <w:tc>
          <w:tcPr>
            <w:tcW w:w="4620" w:type="dxa"/>
            <w:vAlign w:val="bottom"/>
          </w:tcPr>
          <w:p>
            <w:pPr>
              <w:spacing w:after="0"/>
              <w:rPr>
                <w:sz w:val="20"/>
                <w:szCs w:val="20"/>
                <w:color w:val="auto"/>
              </w:rPr>
            </w:pPr>
          </w:p>
        </w:tc>
        <w:tc>
          <w:tcPr>
            <w:tcW w:w="9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5"/>
              </w:rPr>
              <w:t>Investment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Losses</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Losses</w:t>
            </w:r>
          </w:p>
        </w:tc>
        <w:tc>
          <w:tcPr>
            <w:tcW w:w="100" w:type="dxa"/>
            <w:vAlign w:val="bottom"/>
          </w:tcPr>
          <w:p>
            <w:pPr>
              <w:spacing w:after="0"/>
              <w:rPr>
                <w:sz w:val="20"/>
                <w:szCs w:val="20"/>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b w:val="1"/>
                <w:bCs w:val="1"/>
                <w:color w:val="auto"/>
              </w:rPr>
              <w:t>With no related allowance for loan losses recorded: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spacing w:after="0" w:line="201" w:lineRule="exact"/>
              <w:rPr>
                <w:sz w:val="20"/>
                <w:szCs w:val="20"/>
                <w:color w:val="auto"/>
              </w:rPr>
            </w:pPr>
            <w:r>
              <w:rPr>
                <w:rFonts w:ascii="Arial" w:cs="Arial" w:eastAsia="Arial" w:hAnsi="Arial"/>
                <w:sz w:val="18"/>
                <w:szCs w:val="18"/>
                <w:color w:val="auto"/>
                <w:w w:val="86"/>
              </w:rPr>
              <w:t>(In 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10,695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14,059</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15,243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1,695</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7"/>
        </w:trPr>
        <w:tc>
          <w:tcPr>
            <w:tcW w:w="4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64,314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54,005</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56,708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6,155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7,481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12,110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12,263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1,474</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r>
      <w:tr>
        <w:trPr>
          <w:trHeight w:val="256"/>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63,301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included in recorded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Average recorded investment in and interest income earned on impaired loans by class for the three month periods ending March 31,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2020</w:t>
            </w: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4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7"/>
                <w:szCs w:val="17"/>
                <w:color w:val="auto"/>
              </w:rPr>
            </w:pPr>
          </w:p>
        </w:tc>
        <w:tc>
          <w:tcPr>
            <w:tcW w:w="100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Interest</w:t>
            </w:r>
          </w:p>
        </w:tc>
        <w:tc>
          <w:tcPr>
            <w:tcW w:w="100" w:type="dxa"/>
            <w:vAlign w:val="bottom"/>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w:t>
            </w:r>
          </w:p>
        </w:tc>
      </w:tr>
      <w:tr>
        <w:trPr>
          <w:trHeight w:val="237"/>
        </w:trPr>
        <w:tc>
          <w:tcPr>
            <w:tcW w:w="4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Investment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Investment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b w:val="1"/>
                <w:bCs w:val="1"/>
                <w:color w:val="auto"/>
              </w:rPr>
              <w:t>With no related allowance for loan losses recorded:</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jc w:val="right"/>
              <w:ind w:right="940"/>
              <w:spacing w:after="0" w:line="201"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b w:val="1"/>
                <w:bCs w:val="1"/>
                <w:color w:val="auto"/>
              </w:rPr>
              <w:t>With an allowance for loan losses recorded: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Mortgage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12,430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18,579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8,802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13,148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Installment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7"/>
        </w:trPr>
        <w:tc>
          <w:tcPr>
            <w:tcW w:w="4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57,880</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57,938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owner occupied - jumbo</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12,507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1-4 family non-owner occupied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13,148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340"/>
              <w:spacing w:after="0"/>
              <w:rPr>
                <w:sz w:val="20"/>
                <w:szCs w:val="20"/>
                <w:color w:val="auto"/>
              </w:rPr>
            </w:pPr>
            <w:r>
              <w:rPr>
                <w:rFonts w:ascii="Arial" w:cs="Arial" w:eastAsia="Arial" w:hAnsi="Arial"/>
                <w:sz w:val="18"/>
                <w:szCs w:val="18"/>
                <w:color w:val="auto"/>
              </w:rPr>
              <w:t>Boat lending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4740" w:type="dxa"/>
            <w:vAlign w:val="bottom"/>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57"/>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740" w:type="dxa"/>
            <w:vAlign w:val="bottom"/>
          </w:tcPr>
          <w:p>
            <w:pPr>
              <w:spacing w:after="0"/>
              <w:rPr>
                <w:sz w:val="24"/>
                <w:szCs w:val="24"/>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7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Cash receipts on impaired loans on non-accrual status are generally applied to the principal balance.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TDRs follow:</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vMerge w:val="restart"/>
          </w:tcPr>
          <w:p>
            <w:pPr>
              <w:jc w:val="center"/>
              <w:ind w:right="240"/>
              <w:spacing w:after="0"/>
              <w:rPr>
                <w:sz w:val="20"/>
                <w:szCs w:val="20"/>
                <w:color w:val="auto"/>
              </w:rPr>
            </w:pPr>
            <w:r>
              <w:rPr>
                <w:rFonts w:ascii="Arial" w:cs="Arial" w:eastAsia="Arial" w:hAnsi="Arial"/>
                <w:sz w:val="18"/>
                <w:szCs w:val="18"/>
                <w:color w:val="auto"/>
                <w:w w:val="92"/>
              </w:rPr>
              <w:t>March 31, 2020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Retail (1)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39,253</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48,177</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Non-performing TDRs(2)</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2,095</w:t>
            </w:r>
            <w:r>
              <w:rPr>
                <w:rFonts w:ascii="Arial" w:cs="Arial" w:eastAsia="Arial" w:hAnsi="Arial"/>
                <w:sz w:val="14"/>
                <w:szCs w:val="14"/>
                <w:color w:val="auto"/>
              </w:rPr>
              <w:t>(3)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56"/>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41,348</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8"/>
              </w:rPr>
              <w:t>December 31, 2019</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3"/>
              </w:rPr>
              <w:t>Commercial</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Retail (1)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39,601</w:t>
            </w: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47,575</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Non-performing TDRs(2)</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line="216" w:lineRule="exact"/>
              <w:rPr>
                <w:sz w:val="20"/>
                <w:szCs w:val="20"/>
                <w:color w:val="auto"/>
              </w:rPr>
            </w:pPr>
            <w:r>
              <w:rPr>
                <w:rFonts w:ascii="Arial" w:cs="Arial" w:eastAsia="Arial" w:hAnsi="Arial"/>
                <w:sz w:val="16"/>
                <w:szCs w:val="16"/>
                <w:color w:val="auto"/>
              </w:rPr>
              <w:t>2,607</w:t>
            </w:r>
            <w:r>
              <w:rPr>
                <w:rFonts w:ascii="Arial" w:cs="Arial" w:eastAsia="Arial" w:hAnsi="Arial"/>
                <w:sz w:val="25"/>
                <w:szCs w:val="25"/>
                <w:color w:val="auto"/>
                <w:vertAlign w:val="superscript"/>
              </w:rPr>
              <w:t>(3)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allocated $5.2 million of specific reserves to customers whose loan terms have been modified in troubled debt restructurings (“TDR”) at both March 31, 2020 and December 31, 2019, respectively.</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three months ended March 31, 2020 and 2019, the terms of certain loans were modified as TDRs. The modification of the terms of such loans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Loans that have been classified as TDRs during the three-month periods ended March 31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540" w:type="dxa"/>
            <w:vAlign w:val="bottom"/>
            <w:gridSpan w:val="4"/>
          </w:tcPr>
          <w:p>
            <w:pPr>
              <w:ind w:left="220"/>
              <w:spacing w:after="0"/>
              <w:rPr>
                <w:sz w:val="20"/>
                <w:szCs w:val="20"/>
                <w:color w:val="auto"/>
              </w:rPr>
            </w:pPr>
            <w:r>
              <w:rPr>
                <w:rFonts w:ascii="Arial" w:cs="Arial" w:eastAsia="Arial" w:hAnsi="Arial"/>
                <w:sz w:val="18"/>
                <w:szCs w:val="18"/>
                <w:color w:val="auto"/>
                <w:w w:val="99"/>
              </w:rPr>
              <w:t>Pre-modification</w:t>
            </w:r>
          </w:p>
        </w:tc>
        <w:tc>
          <w:tcPr>
            <w:tcW w:w="1500" w:type="dxa"/>
            <w:vAlign w:val="bottom"/>
            <w:gridSpan w:val="4"/>
          </w:tcPr>
          <w:p>
            <w:pPr>
              <w:ind w:left="100"/>
              <w:spacing w:after="0"/>
              <w:rPr>
                <w:sz w:val="20"/>
                <w:szCs w:val="20"/>
                <w:color w:val="auto"/>
              </w:rPr>
            </w:pPr>
            <w:r>
              <w:rPr>
                <w:rFonts w:ascii="Arial" w:cs="Arial" w:eastAsia="Arial" w:hAnsi="Arial"/>
                <w:sz w:val="18"/>
                <w:szCs w:val="18"/>
                <w:color w:val="auto"/>
                <w:w w:val="99"/>
              </w:rPr>
              <w:t>Post-modification</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p>
        </w:tc>
        <w:tc>
          <w:tcPr>
            <w:tcW w:w="9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0"/>
              </w:rPr>
              <w:t>Contracts</w:t>
            </w:r>
          </w:p>
        </w:tc>
        <w:tc>
          <w:tcPr>
            <w:tcW w:w="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5"/>
          </w:tcPr>
          <w:p>
            <w:pPr>
              <w:spacing w:after="0"/>
              <w:rPr>
                <w:sz w:val="20"/>
                <w:szCs w:val="20"/>
                <w:color w:val="auto"/>
              </w:rPr>
            </w:pPr>
            <w:r>
              <w:rPr>
                <w:rFonts w:ascii="Arial" w:cs="Arial" w:eastAsia="Arial" w:hAnsi="Arial"/>
                <w:sz w:val="18"/>
                <w:szCs w:val="18"/>
                <w:color w:val="auto"/>
                <w:w w:val="93"/>
              </w:rPr>
              <w:t>(Dollars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owner occupied - non-jumbo</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Boat lending</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6"/>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7100" w:type="dxa"/>
            <w:vAlign w:val="bottom"/>
          </w:tcPr>
          <w:p>
            <w:pPr>
              <w:ind w:left="5560"/>
              <w:spacing w:after="0"/>
              <w:rPr>
                <w:sz w:val="20"/>
                <w:szCs w:val="20"/>
                <w:color w:val="auto"/>
              </w:rPr>
            </w:pPr>
            <w:r>
              <w:rPr>
                <w:rFonts w:ascii="Arial" w:cs="Arial" w:eastAsia="Arial" w:hAnsi="Arial"/>
                <w:sz w:val="14"/>
                <w:szCs w:val="14"/>
                <w:color w:val="auto"/>
              </w:rPr>
              <w:t>22</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TDRs described above for 2020 increased the allowance for loan losses by $0.27 million and resulted in zero charge offs while the TDRs described above for 2019 increased the allowance for loan losses by $0.01 million and resulted in zero charge offs.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There were no TDRs that subsequently defaulted within twelve months following the modification during the three months periods ended March 31, 2020 and 2019.</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A loan is considered to be in payment default generally once it is 90 days contractually past due under the modified terms.</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 xml:space="preserve">Non-TDR Loan Modifications and Paycheck Protection Program (“PPP”) due to COVID-19 - </w:t>
      </w:r>
      <w:r>
        <w:rPr>
          <w:rFonts w:ascii="Arial" w:cs="Arial" w:eastAsia="Arial" w:hAnsi="Arial"/>
          <w:sz w:val="19"/>
          <w:szCs w:val="19"/>
          <w:color w:val="auto"/>
        </w:rPr>
        <w:t>On March 22, 2020, the</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banking agencies issued 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staff that the federal banking agencies conclude that short-term modifications (e.g. six months) made on a good faith basis to borrowers who were current as of the implementation date of a relief program are not TDRs. In addition, on March 27, 2020, President Trump signed the CARES Act. Section 4013 of the CARES Act also addressed COVID-19 related modifications and specified that COVID-19 related modifications on loans that were current as of December 31, 2019 are not TDRs. We are assisting both commercial and retail (mortgage and installment) borrowers with reduced or suspended payments. Commercial loan accommodations are typically a three month interest-only period while retail loan forbearances have primarily been payment suspensions for three months. For loans subject to these forbearance agreements each borrower is required to resume making regularly scheduled loan payments at the end of the forbearance period. The deferred principal and interest will be repaid based upon individualized agreements. Options for repayment include separate repayment plans, extending the term of the loan or re-amortizing the loan based upon the affordability of the payment in relationship to a reduced income. While some borrowers may elect to make a lump sum payment, we anticipate the majority will require some type of repayment plan. During the forbearance period, the loan will not be reported as past due in keeping with the guidance discussed previously. Through March 31, 2020, we had entered into loan modification agreements with 366 customers under this guidance with respect to $86.9 million of portfolio loans outstanding.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CARES Act also included a $349 billion loan program administered through the SBA referred to as the PPP. Under the PPP, small businesses and other entities and individuals can apply for loans from existing SBA lenders and other approved regulated lenders that enroll in the program, subject to numerous limitations and eligibility criteria. We are participating as a lender in the</w:t>
      </w:r>
    </w:p>
    <w:p>
      <w:pPr>
        <w:spacing w:after="0" w:line="1" w:lineRule="exact"/>
        <w:rPr>
          <w:sz w:val="20"/>
          <w:szCs w:val="20"/>
          <w:color w:val="auto"/>
        </w:rPr>
      </w:pPr>
    </w:p>
    <w:p>
      <w:pPr>
        <w:jc w:val="both"/>
        <w:ind w:firstLine="8"/>
        <w:spacing w:after="0" w:line="287" w:lineRule="auto"/>
        <w:tabs>
          <w:tab w:leader="none" w:pos="449"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PPP opened on April 3, 2020; however, because of the short timeframe between the passing of the CARES Act and the opening of the PPP, there is some ambiguity in the laws, rules and guidance regarding the operation of the PPP, which exposes us to potential risks relating to noncompliance with the PPP.</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Credit Quality Indicators </w:t>
      </w:r>
      <w:r>
        <w:rPr>
          <w:rFonts w:ascii="Arial" w:cs="Arial" w:eastAsia="Arial" w:hAnsi="Arial"/>
          <w:sz w:val="19"/>
          <w:szCs w:val="19"/>
          <w:color w:val="auto"/>
        </w:rPr>
        <w:t>– As part of our on-going monitoring of the credit quality of our loan portfolios, we track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credit quality indicators including (a) weighted-average risk grade of commercial loans, (b) the level of classified commercial loans, (c) credit scores of mortgage and installment loan borrowers, and (d) delinquency history and non-performing loans.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For commercial loans, we use a loan rating system that is similar to those employed by state and federal banking regulators.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Loans are graded on a scale of 1 to 12. A description of the general characteristics of the ratings follows:</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color w:val="auto"/>
        </w:rPr>
        <w:t>Rating 1 through 6</w:t>
      </w:r>
      <w:r>
        <w:rPr>
          <w:rFonts w:ascii="Arial" w:cs="Arial" w:eastAsia="Arial" w:hAnsi="Arial"/>
          <w:sz w:val="22"/>
          <w:szCs w:val="22"/>
          <w:color w:val="auto"/>
        </w:rPr>
        <w:t>: These loans are generally referred to as our “non-watch” commercial credits that include very high or</w:t>
      </w:r>
      <w:r>
        <w:rPr>
          <w:rFonts w:ascii="Arial" w:cs="Arial" w:eastAsia="Arial" w:hAnsi="Arial"/>
          <w:sz w:val="22"/>
          <w:szCs w:val="22"/>
          <w:i w:val="1"/>
          <w:iCs w:val="1"/>
          <w:color w:val="auto"/>
        </w:rPr>
        <w:t xml:space="preserve"> </w:t>
      </w:r>
      <w:r>
        <w:rPr>
          <w:rFonts w:ascii="Arial" w:cs="Arial" w:eastAsia="Arial" w:hAnsi="Arial"/>
          <w:sz w:val="22"/>
          <w:szCs w:val="22"/>
          <w:color w:val="auto"/>
        </w:rPr>
        <w:t>exceptional credit fundamentals through acceptable credit fundamentals.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Rating 7 and 8</w:t>
      </w:r>
      <w:r>
        <w:rPr>
          <w:rFonts w:ascii="Arial" w:cs="Arial" w:eastAsia="Arial" w:hAnsi="Arial"/>
          <w:sz w:val="21"/>
          <w:szCs w:val="21"/>
          <w:color w:val="auto"/>
        </w:rPr>
        <w:t>: These loans are generally referred to as our “watch” commercial credits. These ratings include loans to borrowers</w:t>
      </w:r>
      <w:r>
        <w:rPr>
          <w:rFonts w:ascii="Arial" w:cs="Arial" w:eastAsia="Arial" w:hAnsi="Arial"/>
          <w:sz w:val="21"/>
          <w:szCs w:val="21"/>
          <w:i w:val="1"/>
          <w:iCs w:val="1"/>
          <w:color w:val="auto"/>
        </w:rPr>
        <w:t xml:space="preserve"> </w:t>
      </w:r>
      <w:r>
        <w:rPr>
          <w:rFonts w:ascii="Arial" w:cs="Arial" w:eastAsia="Arial" w:hAnsi="Arial"/>
          <w:sz w:val="21"/>
          <w:szCs w:val="21"/>
          <w:color w:val="auto"/>
        </w:rPr>
        <w:t>that exhibit potential credit weakness or downward trends. If not checked or cured these trends could weaken our asset or credit position. While potentially weak, no loss of principal or interest is envisioned with these ratings.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Rating 9</w:t>
      </w:r>
      <w:r>
        <w:rPr>
          <w:rFonts w:ascii="Arial" w:cs="Arial" w:eastAsia="Arial" w:hAnsi="Arial"/>
          <w:sz w:val="22"/>
          <w:szCs w:val="22"/>
          <w:color w:val="auto"/>
        </w:rPr>
        <w:t>: These loans are generally referred to as our “substandard accruing” commercial credits. This rating includes loans to</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Rating 10 and 11</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231F20"/>
        </w:rPr>
        <w:t>These loans are generally referred to as our ‘‘substandard - non-accrual’’ and ‘‘doubtful’’ commercial credits.</w:t>
      </w:r>
      <w:r>
        <w:rPr>
          <w:rFonts w:ascii="Arial" w:cs="Arial" w:eastAsia="Arial" w:hAnsi="Arial"/>
          <w:sz w:val="19"/>
          <w:szCs w:val="19"/>
          <w:i w:val="1"/>
          <w:iCs w:val="1"/>
          <w:color w:val="auto"/>
        </w:rPr>
        <w:t xml:space="preserve"> </w:t>
      </w:r>
      <w:r>
        <w:rPr>
          <w:rFonts w:ascii="Arial" w:cs="Arial" w:eastAsia="Arial" w:hAnsi="Arial"/>
          <w:sz w:val="19"/>
          <w:szCs w:val="19"/>
          <w:color w:val="231F20"/>
        </w:rPr>
        <w:t>Our doubtful rating includes a sub classification for a loss rate other than 50% (which is the standard doubtful loss rate). These ratings include loans to borrowers with weaknesses that make collection of debt in full, on the basis of current facts, conditions and values at best questionable and at worst improbable. All of these loans are placed in non-accrual.</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Rating 12</w:t>
      </w:r>
      <w:r>
        <w:rPr>
          <w:rFonts w:ascii="Arial" w:cs="Arial" w:eastAsia="Arial" w:hAnsi="Arial"/>
          <w:sz w:val="22"/>
          <w:szCs w:val="22"/>
          <w:color w:val="auto"/>
        </w:rPr>
        <w:t>: These loans are generally referred to as our “loss” commercial credits. This rating includes loans to borrowers that are</w:t>
      </w:r>
      <w:r>
        <w:rPr>
          <w:rFonts w:ascii="Arial" w:cs="Arial" w:eastAsia="Arial" w:hAnsi="Arial"/>
          <w:sz w:val="22"/>
          <w:szCs w:val="22"/>
          <w:i w:val="1"/>
          <w:iCs w:val="1"/>
          <w:color w:val="auto"/>
        </w:rPr>
        <w:t xml:space="preserve"> </w:t>
      </w:r>
      <w:r>
        <w:rPr>
          <w:rFonts w:ascii="Arial" w:cs="Arial" w:eastAsia="Arial" w:hAnsi="Arial"/>
          <w:sz w:val="22"/>
          <w:szCs w:val="22"/>
          <w:color w:val="auto"/>
        </w:rPr>
        <w:t>deemed incapable of repayment and are charged-off.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loan ratings by loan class for our commercial loan segment: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8"/>
              </w:rPr>
              <w:t>Substandard</w:t>
            </w: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2"/>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Non-watch</w:t>
            </w:r>
          </w:p>
        </w:tc>
        <w:tc>
          <w:tcPr>
            <w:tcW w:w="22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Watch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Accrual</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Accrual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1"/>
              </w:rPr>
              <w:t>10-11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534,064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582,022</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578,466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14,161</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1,886</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602,269</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1,112,530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1,184,291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564,871</w:t>
            </w:r>
          </w:p>
        </w:tc>
        <w:tc>
          <w:tcPr>
            <w:tcW w:w="0" w:type="dxa"/>
            <w:vAlign w:val="bottom"/>
          </w:tcPr>
          <w:p>
            <w:pPr>
              <w:spacing w:after="0"/>
              <w:rPr>
                <w:sz w:val="1"/>
                <w:szCs w:val="1"/>
                <w:color w:val="auto"/>
              </w:rPr>
            </w:pPr>
          </w:p>
        </w:tc>
      </w:tr>
      <w:tr>
        <w:trPr>
          <w:trHeight w:val="223"/>
        </w:trPr>
        <w:tc>
          <w:tcPr>
            <w:tcW w:w="462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580,516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23,036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604,822</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1,096,471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18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each of our mortgage and installment segment classes, we generally monitor credit quality based on the credit scores of the borrowers. These credit scores are generally updated semi-annually.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summarize credit scores by loan class for our mortgage and installment loan segments: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8"/>
                <w:szCs w:val="18"/>
                <w:color w:val="auto"/>
              </w:rPr>
              <w:t>Mortgage (1)</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5"/>
              </w:rPr>
              <w:t>1-4 Family</w:t>
            </w:r>
          </w:p>
        </w:tc>
        <w:tc>
          <w:tcPr>
            <w:tcW w:w="120" w:type="dxa"/>
            <w:vAlign w:val="bottom"/>
          </w:tcPr>
          <w:p>
            <w:pPr>
              <w:spacing w:after="0"/>
              <w:rPr>
                <w:sz w:val="17"/>
                <w:szCs w:val="17"/>
                <w:color w:val="auto"/>
              </w:rPr>
            </w:pPr>
          </w:p>
        </w:tc>
        <w:tc>
          <w:tcPr>
            <w:tcW w:w="13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2"/>
              </w:rPr>
              <w:t>1-4 Family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Owner</w:t>
            </w: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Owner</w:t>
            </w:r>
          </w:p>
        </w:tc>
        <w:tc>
          <w:tcPr>
            <w:tcW w:w="140" w:type="dxa"/>
            <w:vAlign w:val="bottom"/>
          </w:tcPr>
          <w:p>
            <w:pPr>
              <w:spacing w:after="0"/>
              <w:rPr>
                <w:sz w:val="18"/>
                <w:szCs w:val="18"/>
                <w:color w:val="auto"/>
              </w:rPr>
            </w:pPr>
          </w:p>
        </w:tc>
        <w:tc>
          <w:tcPr>
            <w:tcW w:w="1300" w:type="dxa"/>
            <w:vAlign w:val="bottom"/>
            <w:gridSpan w:val="2"/>
          </w:tcPr>
          <w:p>
            <w:pPr>
              <w:jc w:val="center"/>
              <w:ind w:right="296"/>
              <w:spacing w:after="0"/>
              <w:rPr>
                <w:sz w:val="20"/>
                <w:szCs w:val="20"/>
                <w:color w:val="auto"/>
              </w:rPr>
            </w:pPr>
            <w:r>
              <w:rPr>
                <w:rFonts w:ascii="Arial" w:cs="Arial" w:eastAsia="Arial" w:hAnsi="Arial"/>
                <w:sz w:val="18"/>
                <w:szCs w:val="18"/>
                <w:color w:val="auto"/>
                <w:w w:val="95"/>
              </w:rPr>
              <w:t>1-4 Family</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Occupied -</w:t>
            </w: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Occupied -</w:t>
            </w:r>
          </w:p>
        </w:tc>
        <w:tc>
          <w:tcPr>
            <w:tcW w:w="140" w:type="dxa"/>
            <w:vAlign w:val="bottom"/>
          </w:tcPr>
          <w:p>
            <w:pPr>
              <w:spacing w:after="0"/>
              <w:rPr>
                <w:sz w:val="18"/>
                <w:szCs w:val="18"/>
                <w:color w:val="auto"/>
              </w:rPr>
            </w:pPr>
          </w:p>
        </w:tc>
        <w:tc>
          <w:tcPr>
            <w:tcW w:w="1300" w:type="dxa"/>
            <w:vAlign w:val="bottom"/>
            <w:gridSpan w:val="2"/>
          </w:tcPr>
          <w:p>
            <w:pPr>
              <w:jc w:val="center"/>
              <w:ind w:right="316"/>
              <w:spacing w:after="0"/>
              <w:rPr>
                <w:sz w:val="20"/>
                <w:szCs w:val="20"/>
                <w:color w:val="auto"/>
              </w:rPr>
            </w:pPr>
            <w:r>
              <w:rPr>
                <w:rFonts w:ascii="Arial" w:cs="Arial" w:eastAsia="Arial" w:hAnsi="Arial"/>
                <w:sz w:val="18"/>
                <w:szCs w:val="18"/>
                <w:color w:val="auto"/>
                <w:w w:val="93"/>
              </w:rPr>
              <w:t>Non-owner</w:t>
            </w: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1-4 Family</w:t>
            </w:r>
          </w:p>
        </w:tc>
        <w:tc>
          <w:tcPr>
            <w:tcW w:w="2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Resort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Jumbo</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Non-jumbo</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Occupied</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2nd Lien</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420" w:type="dxa"/>
            <w:vAlign w:val="bottom"/>
            <w:gridSpan w:val="3"/>
          </w:tcPr>
          <w:p>
            <w:pPr>
              <w:jc w:val="center"/>
              <w:ind w:right="730"/>
              <w:spacing w:after="0"/>
              <w:rPr>
                <w:sz w:val="20"/>
                <w:szCs w:val="20"/>
                <w:color w:val="auto"/>
              </w:rPr>
            </w:pPr>
            <w:r>
              <w:rPr>
                <w:rFonts w:ascii="Arial" w:cs="Arial" w:eastAsia="Arial" w:hAnsi="Arial"/>
                <w:sz w:val="17"/>
                <w:szCs w:val="17"/>
                <w:color w:val="auto"/>
                <w:w w:val="71"/>
              </w:rPr>
              <w:t>thousands)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23,209</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10,591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131,902</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750-799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209,339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87,685</w:t>
            </w:r>
          </w:p>
        </w:tc>
        <w:tc>
          <w:tcPr>
            <w:tcW w:w="140" w:type="dxa"/>
            <w:vAlign w:val="bottom"/>
          </w:tcPr>
          <w:p>
            <w:pPr>
              <w:spacing w:after="0"/>
              <w:rPr>
                <w:sz w:val="18"/>
                <w:szCs w:val="18"/>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83,613</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48,332</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28,847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457,816</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114,474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90,784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35,455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31,576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286,421</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650-699</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37,985</w:t>
            </w: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43,241</w:t>
            </w:r>
          </w:p>
        </w:tc>
        <w:tc>
          <w:tcPr>
            <w:tcW w:w="140" w:type="dxa"/>
            <w:vAlign w:val="bottom"/>
          </w:tcPr>
          <w:p>
            <w:pPr>
              <w:spacing w:after="0"/>
              <w:rPr>
                <w:sz w:val="18"/>
                <w:szCs w:val="18"/>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15,242</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14,107</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9,280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119,855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16,755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16,693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5,548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44,857</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550-599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8,571</w:t>
            </w:r>
          </w:p>
        </w:tc>
        <w:tc>
          <w:tcPr>
            <w:tcW w:w="140" w:type="dxa"/>
            <w:vAlign w:val="bottom"/>
          </w:tcPr>
          <w:p>
            <w:pPr>
              <w:spacing w:after="0"/>
              <w:rPr>
                <w:sz w:val="18"/>
                <w:szCs w:val="18"/>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1,751</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1,496</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16,578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5,236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1,714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12,419</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1,674</w:t>
            </w:r>
          </w:p>
        </w:tc>
        <w:tc>
          <w:tcPr>
            <w:tcW w:w="140" w:type="dxa"/>
            <w:vAlign w:val="bottom"/>
          </w:tcPr>
          <w:p>
            <w:pPr>
              <w:spacing w:after="0"/>
              <w:rPr>
                <w:sz w:val="18"/>
                <w:szCs w:val="18"/>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tcPr>
          <w:p>
            <w:pPr>
              <w:ind w:left="340"/>
              <w:spacing w:after="0" w:line="196" w:lineRule="exact"/>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438,160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288,464</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56"/>
              <w:spacing w:after="0" w:line="196" w:lineRule="exact"/>
              <w:rPr>
                <w:sz w:val="20"/>
                <w:szCs w:val="20"/>
                <w:color w:val="auto"/>
              </w:rPr>
            </w:pPr>
            <w:r>
              <w:rPr>
                <w:rFonts w:ascii="Arial" w:cs="Arial" w:eastAsia="Arial" w:hAnsi="Arial"/>
                <w:sz w:val="18"/>
                <w:szCs w:val="18"/>
                <w:color w:val="auto"/>
              </w:rPr>
              <w:t>167,038</w:t>
            </w:r>
          </w:p>
        </w:tc>
        <w:tc>
          <w:tcPr>
            <w:tcW w:w="140" w:type="dxa"/>
            <w:vAlign w:val="bottom"/>
          </w:tcPr>
          <w:p>
            <w:pPr>
              <w:jc w:val="cente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114,174</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66,167</w:t>
            </w:r>
          </w:p>
        </w:tc>
        <w:tc>
          <w:tcPr>
            <w:tcW w:w="3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1,074,003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562</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448</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4,036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48,486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43,848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24,315</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13,905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11,076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141,630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111,521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84,656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50,012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474,044</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700-749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106,609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95,064</w:t>
            </w:r>
          </w:p>
        </w:tc>
        <w:tc>
          <w:tcPr>
            <w:tcW w:w="140" w:type="dxa"/>
            <w:vAlign w:val="bottom"/>
          </w:tcPr>
          <w:p>
            <w:pPr>
              <w:spacing w:after="0"/>
              <w:rPr>
                <w:sz w:val="18"/>
                <w:szCs w:val="18"/>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34,839</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30,697</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14,626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281,835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31,553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51,174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13,995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14,267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119,052</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600-649</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13,230</w:t>
            </w: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21,938</w:t>
            </w:r>
          </w:p>
        </w:tc>
        <w:tc>
          <w:tcPr>
            <w:tcW w:w="140" w:type="dxa"/>
            <w:vAlign w:val="bottom"/>
          </w:tcPr>
          <w:p>
            <w:pPr>
              <w:spacing w:after="0"/>
              <w:rPr>
                <w:sz w:val="18"/>
                <w:szCs w:val="18"/>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5,897</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4,097</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47,236</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12,308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1,863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17,061</w:t>
            </w: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500-549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7,940</w:t>
            </w:r>
          </w:p>
        </w:tc>
        <w:tc>
          <w:tcPr>
            <w:tcW w:w="140" w:type="dxa"/>
            <w:vAlign w:val="bottom"/>
          </w:tcPr>
          <w:p>
            <w:pPr>
              <w:spacing w:after="0"/>
              <w:rPr>
                <w:sz w:val="18"/>
                <w:szCs w:val="18"/>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1,870</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13,499</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23"/>
        </w:trPr>
        <w:tc>
          <w:tcPr>
            <w:tcW w:w="2820" w:type="dxa"/>
            <w:vAlign w:val="bottom"/>
          </w:tcPr>
          <w:p>
            <w:pPr>
              <w:ind w:left="180"/>
              <w:spacing w:after="0"/>
              <w:rPr>
                <w:sz w:val="20"/>
                <w:szCs w:val="20"/>
                <w:color w:val="auto"/>
              </w:rPr>
            </w:pPr>
            <w:r>
              <w:rPr>
                <w:rFonts w:ascii="Arial" w:cs="Arial" w:eastAsia="Arial" w:hAnsi="Arial"/>
                <w:sz w:val="18"/>
                <w:szCs w:val="18"/>
                <w:color w:val="auto"/>
              </w:rPr>
              <w:t>Unknown</w:t>
            </w: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1,259</w:t>
            </w:r>
          </w:p>
        </w:tc>
        <w:tc>
          <w:tcPr>
            <w:tcW w:w="140" w:type="dxa"/>
            <w:vAlign w:val="bottom"/>
          </w:tcPr>
          <w:p>
            <w:pPr>
              <w:spacing w:after="0"/>
              <w:rPr>
                <w:sz w:val="19"/>
                <w:szCs w:val="19"/>
                <w:color w:val="auto"/>
              </w:rPr>
            </w:pPr>
          </w:p>
        </w:tc>
        <w:tc>
          <w:tcPr>
            <w:tcW w:w="1300" w:type="dxa"/>
            <w:vAlign w:val="bottom"/>
            <w:gridSpan w:val="2"/>
          </w:tcPr>
          <w:p>
            <w:pPr>
              <w:jc w:val="right"/>
              <w:ind w:right="156"/>
              <w:spacing w:after="0"/>
              <w:rPr>
                <w:sz w:val="20"/>
                <w:szCs w:val="20"/>
                <w:color w:val="auto"/>
              </w:rPr>
            </w:pPr>
            <w:r>
              <w:rPr>
                <w:rFonts w:ascii="Arial" w:cs="Arial" w:eastAsia="Arial" w:hAnsi="Arial"/>
                <w:sz w:val="18"/>
                <w:szCs w:val="18"/>
                <w:color w:val="auto"/>
              </w:rPr>
              <w:t>1,569</w:t>
            </w:r>
          </w:p>
        </w:tc>
        <w:tc>
          <w:tcPr>
            <w:tcW w:w="1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56"/>
        </w:trPr>
        <w:tc>
          <w:tcPr>
            <w:tcW w:w="282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401,553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347,260</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169,537</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116,542</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68,174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1,103,066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20" w:type="dxa"/>
            <w:vAlign w:val="bottom"/>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1,139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1,662</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56"/>
              <w:spacing w:after="0" w:line="196" w:lineRule="exact"/>
              <w:rPr>
                <w:sz w:val="20"/>
                <w:szCs w:val="20"/>
                <w:color w:val="auto"/>
              </w:rPr>
            </w:pPr>
            <w:r>
              <w:rPr>
                <w:rFonts w:ascii="Arial" w:cs="Arial" w:eastAsia="Arial" w:hAnsi="Arial"/>
                <w:sz w:val="18"/>
                <w:szCs w:val="18"/>
                <w:color w:val="auto"/>
              </w:rPr>
              <w:t>586</w:t>
            </w:r>
          </w:p>
        </w:tc>
        <w:tc>
          <w:tcPr>
            <w:tcW w:w="140" w:type="dxa"/>
            <w:vAlign w:val="bottom"/>
          </w:tcPr>
          <w:p>
            <w:pPr>
              <w:jc w:val="center"/>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502</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266</w:t>
            </w:r>
          </w:p>
        </w:tc>
        <w:tc>
          <w:tcPr>
            <w:tcW w:w="3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8"/>
                <w:szCs w:val="18"/>
                <w:color w:val="auto"/>
              </w:rPr>
              <w:t>Installment(1)</w:t>
            </w:r>
          </w:p>
        </w:tc>
        <w:tc>
          <w:tcPr>
            <w:tcW w:w="1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center"/>
              <w:ind w:right="316"/>
              <w:spacing w:after="0" w:line="201" w:lineRule="exact"/>
              <w:rPr>
                <w:sz w:val="20"/>
                <w:szCs w:val="20"/>
                <w:color w:val="auto"/>
              </w:rPr>
            </w:pPr>
            <w:r>
              <w:rPr>
                <w:rFonts w:ascii="Arial" w:cs="Arial" w:eastAsia="Arial" w:hAnsi="Arial"/>
                <w:sz w:val="18"/>
                <w:szCs w:val="18"/>
                <w:color w:val="auto"/>
                <w:w w:val="89"/>
              </w:rPr>
              <w:t>Recreational</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Boat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16"/>
              <w:spacing w:after="0"/>
              <w:rPr>
                <w:sz w:val="20"/>
                <w:szCs w:val="20"/>
                <w:color w:val="auto"/>
              </w:rPr>
            </w:pPr>
            <w:r>
              <w:rPr>
                <w:rFonts w:ascii="Arial" w:cs="Arial" w:eastAsia="Arial" w:hAnsi="Arial"/>
                <w:sz w:val="18"/>
                <w:szCs w:val="18"/>
                <w:color w:val="auto"/>
                <w:w w:val="91"/>
              </w:rPr>
              <w:t>Vehicle</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Lending</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Lending</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800" w:type="dxa"/>
            <w:vAlign w:val="bottom"/>
            <w:gridSpan w:val="3"/>
          </w:tcPr>
          <w:p>
            <w:pPr>
              <w:jc w:val="right"/>
              <w:ind w:right="87"/>
              <w:spacing w:after="0"/>
              <w:rPr>
                <w:sz w:val="20"/>
                <w:szCs w:val="20"/>
                <w:color w:val="auto"/>
              </w:rPr>
            </w:pPr>
            <w:r>
              <w:rPr>
                <w:rFonts w:ascii="Arial" w:cs="Arial" w:eastAsia="Arial" w:hAnsi="Arial"/>
                <w:sz w:val="17"/>
                <w:szCs w:val="17"/>
                <w:color w:val="auto"/>
                <w:w w:val="73"/>
              </w:rPr>
              <w:t>thousands)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3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28,885</w:t>
            </w:r>
          </w:p>
        </w:tc>
        <w:tc>
          <w:tcPr>
            <w:tcW w:w="5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26,056</w:t>
            </w:r>
          </w:p>
        </w:tc>
        <w:tc>
          <w:tcPr>
            <w:tcW w:w="640" w:type="dxa"/>
            <w:vAlign w:val="bottom"/>
            <w:gridSpan w:val="2"/>
            <w:shd w:val="clear" w:color="auto" w:fill="CCEEFF"/>
          </w:tcPr>
          <w:p>
            <w:pPr>
              <w:jc w:val="right"/>
              <w:ind w:right="32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7,631</w:t>
            </w:r>
          </w:p>
        </w:tc>
        <w:tc>
          <w:tcPr>
            <w:tcW w:w="5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62,572</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750-799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120,261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90,484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37,810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248,555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41,494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32,596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27,461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101,551</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650-699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11,320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7,116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22,607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41,043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550-599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580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1,764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line="196" w:lineRule="exact"/>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147"/>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205,717</w:t>
            </w:r>
          </w:p>
        </w:tc>
        <w:tc>
          <w:tcPr>
            <w:tcW w:w="580" w:type="dxa"/>
            <w:vAlign w:val="bottom"/>
            <w:gridSpan w:val="2"/>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
              <w:spacing w:after="0" w:line="196" w:lineRule="exact"/>
              <w:rPr>
                <w:sz w:val="20"/>
                <w:szCs w:val="20"/>
                <w:color w:val="auto"/>
              </w:rPr>
            </w:pPr>
            <w:r>
              <w:rPr>
                <w:rFonts w:ascii="Arial" w:cs="Arial" w:eastAsia="Arial" w:hAnsi="Arial"/>
                <w:sz w:val="18"/>
                <w:szCs w:val="18"/>
                <w:color w:val="auto"/>
              </w:rPr>
              <w:t>158,674</w:t>
            </w:r>
          </w:p>
        </w:tc>
        <w:tc>
          <w:tcPr>
            <w:tcW w:w="640" w:type="dxa"/>
            <w:vAlign w:val="bottom"/>
            <w:gridSpan w:val="2"/>
          </w:tcPr>
          <w:p>
            <w:pPr>
              <w:jc w:val="right"/>
              <w:ind w:right="327"/>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103,366</w:t>
            </w:r>
          </w:p>
        </w:tc>
        <w:tc>
          <w:tcPr>
            <w:tcW w:w="520" w:type="dxa"/>
            <w:vAlign w:val="bottom"/>
            <w:gridSpan w:val="2"/>
          </w:tcPr>
          <w:p>
            <w:pPr>
              <w:jc w:val="right"/>
              <w:ind w:right="207"/>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467,757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28,041</w:t>
            </w:r>
          </w:p>
        </w:tc>
        <w:tc>
          <w:tcPr>
            <w:tcW w:w="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24,470</w:t>
            </w:r>
          </w:p>
        </w:tc>
        <w:tc>
          <w:tcPr>
            <w:tcW w:w="64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7,611</w:t>
            </w:r>
          </w:p>
        </w:tc>
        <w:tc>
          <w:tcPr>
            <w:tcW w:w="5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60,122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118,380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88,164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37,583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244,127</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700-749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41,490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31,055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27,204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99,749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7,267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41,269</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600-649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2,254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4,470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8,135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500-549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3"/>
        </w:trPr>
        <w:tc>
          <w:tcPr>
            <w:tcW w:w="3340" w:type="dxa"/>
            <w:vAlign w:val="bottom"/>
          </w:tcPr>
          <w:p>
            <w:pPr>
              <w:ind w:left="180"/>
              <w:spacing w:after="0"/>
              <w:rPr>
                <w:sz w:val="20"/>
                <w:szCs w:val="20"/>
                <w:color w:val="auto"/>
              </w:rPr>
            </w:pPr>
            <w:r>
              <w:rPr>
                <w:rFonts w:ascii="Arial" w:cs="Arial" w:eastAsia="Arial" w:hAnsi="Arial"/>
                <w:sz w:val="18"/>
                <w:szCs w:val="18"/>
                <w:color w:val="auto"/>
              </w:rPr>
              <w:t>Unknown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1,204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203,282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153,445</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103,884</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460,611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line="196" w:lineRule="exact"/>
              <w:rPr>
                <w:sz w:val="20"/>
                <w:szCs w:val="20"/>
                <w:color w:val="auto"/>
              </w:rPr>
            </w:pPr>
            <w:r>
              <w:rPr>
                <w:rFonts w:ascii="Arial" w:cs="Arial" w:eastAsia="Arial" w:hAnsi="Arial"/>
                <w:sz w:val="18"/>
                <w:szCs w:val="18"/>
                <w:color w:val="auto"/>
              </w:rPr>
              <w:t>Accrued interest included in total</w:t>
            </w:r>
          </w:p>
        </w:tc>
        <w:tc>
          <w:tcPr>
            <w:tcW w:w="320" w:type="dxa"/>
            <w:vAlign w:val="bottom"/>
            <w:gridSpan w:val="2"/>
          </w:tcPr>
          <w:p>
            <w:pPr>
              <w:jc w:val="right"/>
              <w:ind w:right="147"/>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490</w:t>
            </w:r>
          </w:p>
        </w:tc>
        <w:tc>
          <w:tcPr>
            <w:tcW w:w="580" w:type="dxa"/>
            <w:vAlign w:val="bottom"/>
            <w:gridSpan w:val="2"/>
          </w:tcPr>
          <w:p>
            <w:pPr>
              <w:jc w:val="right"/>
              <w:ind w:right="87"/>
              <w:spacing w:after="0" w:line="196"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
              <w:spacing w:after="0" w:line="196" w:lineRule="exact"/>
              <w:rPr>
                <w:sz w:val="20"/>
                <w:szCs w:val="20"/>
                <w:color w:val="auto"/>
              </w:rPr>
            </w:pPr>
            <w:r>
              <w:rPr>
                <w:rFonts w:ascii="Arial" w:cs="Arial" w:eastAsia="Arial" w:hAnsi="Arial"/>
                <w:sz w:val="18"/>
                <w:szCs w:val="18"/>
                <w:color w:val="auto"/>
              </w:rPr>
              <w:t>378</w:t>
            </w:r>
          </w:p>
        </w:tc>
        <w:tc>
          <w:tcPr>
            <w:tcW w:w="640" w:type="dxa"/>
            <w:vAlign w:val="bottom"/>
            <w:gridSpan w:val="2"/>
          </w:tcPr>
          <w:p>
            <w:pPr>
              <w:jc w:val="right"/>
              <w:ind w:right="327"/>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326</w:t>
            </w:r>
          </w:p>
        </w:tc>
        <w:tc>
          <w:tcPr>
            <w:tcW w:w="520" w:type="dxa"/>
            <w:vAlign w:val="bottom"/>
            <w:gridSpan w:val="2"/>
          </w:tcPr>
          <w:p>
            <w:pPr>
              <w:jc w:val="right"/>
              <w:ind w:right="207"/>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Foreclosed residential real estate properties included in other real estate and repossessed assets on our Condensed Consolidated Statements of Financial Condition totaled $1.0 million and $1.2 million at March 31, 2020 and December 31, 2019, respectively. Retail mortgage loans secured by residential real estate properties for which formal foreclosure proceedings are in process according to local requirements totaled $0.7 million at both March 31, 2020 and December 31, 2019, respectively.</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first quarter of 2020, we securitized $26.2 million of portfolio residential fixed rate mortgage loans servicing retained with Freddie Mac and recognized a gain on sale of $0.72 million. We also sold $2.4 million of portfolio residential fixed rate mortgage loans servicing retained into the secondary market and recognized a gain on sale of $0.7 million. These transactions were done primarily for asset/liability management purposes.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During the first quarter of 2019, we sold $40.6 million of residential adjustable rate mortgage loans servicing released (classified on the Condensed Consolidated Statements of Financial Condition as held for sale, carried at the lower of cost or fair value at December 31, 2018) to another financial institution and recognized a gain on sale of $0.01 million. During the first quarter of 2019 we also securitized $29.8 million, of portfolio residential fixed rate mortgage loans servicing retained with Freddie Mac and recognized a gain on sale of $0.53 million. These transactions were done primarily for asset/liability management purposes.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PCI Loans</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Loans acquired in a business combination are recorded at estimated fair value on their purchase date with no carryover of the related allowance for loan losses. In determining the estimated fair value of purchased loans, we consider a number of factors including, among others, the remaining life of the acquired loans, estimated prepayments, estimated loss ratios, estimated value of the underlying collateral, and net present value of cash flows expected to be received. Purchased loans are accounted for in accordance with guidance for certain loans acquired in a transfer (ASC 310-30), when the loans have evidence of credit deterioration since origination and it is probable at the date of acquisition that the acquirer will not collect all contractually required principal and interest payments. The difference between contractually required payments and the cash flows expected to be collected at acquisition is referred to as the non-accretable difference. Subsequent decreases to the expected cash flows will generally result in a provision for loan losses. Subsequent increases in expected cash flows will result in a reversal of the provision for loan losses to the extent of prior charges and then an adjustment to accretable yield, which would have a positive impact on interest income.</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a result of our acquisition of TCSB Bancorp, Inc. in the second quarter of 2018 we purchased loans for which there was, at acquisition, evidence of deterioration of credit quality since origination and it was probable, at acquisition, that all contractually required payments would not be collected. For these loans that meet the criteria of ASC 310-30 treatment, the carrying amount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16"/>
              <w:spacing w:after="0"/>
              <w:rPr>
                <w:sz w:val="20"/>
                <w:szCs w:val="20"/>
                <w:color w:val="auto"/>
              </w:rPr>
            </w:pPr>
            <w:r>
              <w:rPr>
                <w:rFonts w:ascii="Arial" w:cs="Arial" w:eastAsia="Arial" w:hAnsi="Arial"/>
                <w:sz w:val="18"/>
                <w:szCs w:val="18"/>
                <w:color w:val="auto"/>
                <w:w w:val="97"/>
              </w:rPr>
              <w:t>March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1200" w:type="dxa"/>
            <w:vAlign w:val="bottom"/>
            <w:gridSpan w:val="2"/>
          </w:tcPr>
          <w:p>
            <w:pPr>
              <w:jc w:val="right"/>
              <w:ind w:right="136"/>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carrying amount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Carrying amount, net of allowance for loan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accretable difference on PCI loans is the difference between the expected cash flows and the net present value of expected cash flows with such difference accreted into earnings using the effective yield method over the term of the loans. Accretion recorded as loan interest income is included in the table below. Accretable yield of PCI loans, or income expected to be collected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140" w:type="dxa"/>
            <w:vAlign w:val="bottom"/>
            <w:gridSpan w:val="4"/>
          </w:tcPr>
          <w:p>
            <w:pPr>
              <w:jc w:val="center"/>
              <w:ind w:left="210"/>
              <w:spacing w:after="0"/>
              <w:rPr>
                <w:sz w:val="20"/>
                <w:szCs w:val="20"/>
                <w:color w:val="auto"/>
              </w:rPr>
            </w:pPr>
            <w:r>
              <w:rPr>
                <w:rFonts w:ascii="Arial" w:cs="Arial" w:eastAsia="Arial" w:hAnsi="Arial"/>
                <w:sz w:val="18"/>
                <w:szCs w:val="18"/>
                <w:color w:val="auto"/>
                <w:w w:val="89"/>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gridSpan w:val="3"/>
          </w:tcPr>
          <w:p>
            <w:pPr>
              <w:jc w:val="center"/>
              <w:ind w:right="370"/>
              <w:spacing w:after="0"/>
              <w:rPr>
                <w:sz w:val="20"/>
                <w:szCs w:val="20"/>
                <w:color w:val="auto"/>
              </w:rPr>
            </w:pPr>
            <w:r>
              <w:rPr>
                <w:rFonts w:ascii="Arial" w:cs="Arial" w:eastAsia="Arial" w:hAnsi="Arial"/>
                <w:sz w:val="18"/>
                <w:szCs w:val="18"/>
                <w:color w:val="auto"/>
                <w:w w:val="92"/>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92"/>
              </w:rPr>
              <w:t>(unaudited)</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14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(In 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rPr>
                <w:sz w:val="17"/>
                <w:szCs w:val="17"/>
                <w:color w:val="auto"/>
              </w:rPr>
            </w:pPr>
          </w:p>
        </w:tc>
        <w:tc>
          <w:tcPr>
            <w:tcW w:w="476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7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462</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New loans purchased</w:t>
            </w:r>
          </w:p>
        </w:tc>
        <w:tc>
          <w:tcPr>
            <w:tcW w:w="3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recorded as loan interest income</w:t>
            </w:r>
          </w:p>
        </w:tc>
        <w:tc>
          <w:tcPr>
            <w:tcW w:w="3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Reclassification from (to) nonaccretable difference</w:t>
            </w:r>
          </w:p>
        </w:tc>
        <w:tc>
          <w:tcPr>
            <w:tcW w:w="3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Displosals/other adjustments</w:t>
            </w:r>
          </w:p>
        </w:tc>
        <w:tc>
          <w:tcPr>
            <w:tcW w:w="3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47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788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980" w:type="dxa"/>
            <w:vAlign w:val="bottom"/>
            <w:vMerge w:val="restart"/>
          </w:tcPr>
          <w:p>
            <w:pPr>
              <w:jc w:val="right"/>
              <w:ind w:right="2896"/>
              <w:spacing w:after="0"/>
              <w:rPr>
                <w:sz w:val="20"/>
                <w:szCs w:val="20"/>
                <w:color w:val="auto"/>
              </w:rPr>
            </w:pPr>
            <w:r>
              <w:rPr>
                <w:rFonts w:ascii="Arial" w:cs="Arial" w:eastAsia="Arial" w:hAnsi="Arial"/>
                <w:sz w:val="14"/>
                <w:szCs w:val="14"/>
                <w:color w:val="auto"/>
              </w:rPr>
              <w:t>28</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7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4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December 17, 2019, our Board of Directors authorized a share repurchase plan (the “Repurchase Plan”) to buy back up to 1,120,000 shares of our outstanding common stock through December 31, 2020. We expect to accomplish the repurchases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The Repurchase Plan does not obligate us to acquire any particular amount of common stock, and it may be modified or suspended at any time at our discretion. We expect to fund any repurchases from cash on hand. During the three month periods ended March 31, 2020 and 2019 repurchases were made totaling 678,929 shares and 115,787 shares of common stock, respectively for an aggregate purchase price of $13.8 million and $2.5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basic and diluted net income per common share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r>
      <w:tr>
        <w:trPr>
          <w:trHeight w:val="216"/>
        </w:trPr>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854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Arial" w:cs="Arial" w:eastAsia="Arial" w:hAnsi="Arial"/>
                <w:sz w:val="18"/>
                <w:szCs w:val="18"/>
                <w:color w:val="auto"/>
                <w:w w:val="89"/>
              </w:rPr>
              <w:t>(In thousands, except per share data)</w:t>
            </w:r>
          </w:p>
        </w:tc>
      </w:tr>
      <w:tr>
        <w:trPr>
          <w:trHeight w:val="257"/>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22,271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23,588</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stock options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23"/>
        </w:trPr>
        <w:tc>
          <w:tcPr>
            <w:tcW w:w="8540" w:type="dxa"/>
            <w:vAlign w:val="bottom"/>
          </w:tcPr>
          <w:p>
            <w:pPr>
              <w:ind w:left="180"/>
              <w:spacing w:after="0"/>
              <w:rPr>
                <w:sz w:val="20"/>
                <w:szCs w:val="20"/>
                <w:color w:val="auto"/>
              </w:rPr>
            </w:pPr>
            <w:r>
              <w:rPr>
                <w:rFonts w:ascii="Arial" w:cs="Arial" w:eastAsia="Arial" w:hAnsi="Arial"/>
                <w:sz w:val="18"/>
                <w:szCs w:val="18"/>
                <w:color w:val="auto"/>
              </w:rPr>
              <w:t>Performance share units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57"/>
        </w:trPr>
        <w:tc>
          <w:tcPr>
            <w:tcW w:w="8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shares outstanding for calculation of diluted earnings per share</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22,529</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Basic (1)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r>
      <w:tr>
        <w:trPr>
          <w:trHeight w:val="20"/>
        </w:trPr>
        <w:tc>
          <w:tcPr>
            <w:tcW w:w="8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2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Basic net income per common share includes weighted average common shares outstanding during the period and participating share awards.</w:t>
      </w:r>
    </w:p>
    <w:p>
      <w:pPr>
        <w:spacing w:after="0" w:line="22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Weighted average stock options outstanding that were not considered in computing diluted net income per common share because they were anti-dilutive were zero for the three month periods ended March 31, 2020 and 2019, respectively.</w:t>
      </w:r>
    </w:p>
    <w:p>
      <w:pPr>
        <w:spacing w:after="0" w:line="13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Our derivative financial instruments according to the type of hedge in which they are designated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1"/>
              </w:rPr>
              <w:t>March 31, 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30"/>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6"/>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340" w:type="dxa"/>
            <w:vAlign w:val="bottom"/>
          </w:tcPr>
          <w:p>
            <w:pPr>
              <w:spacing w:after="0"/>
              <w:rPr>
                <w:sz w:val="17"/>
                <w:szCs w:val="17"/>
                <w:color w:val="auto"/>
              </w:rPr>
            </w:pPr>
          </w:p>
        </w:tc>
        <w:tc>
          <w:tcPr>
            <w:tcW w:w="216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hedge designation - Pay-fixed interest rate swap agreements</w:t>
            </w:r>
          </w:p>
        </w:tc>
        <w:tc>
          <w:tcPr>
            <w:tcW w:w="19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40" w:type="dxa"/>
            <w:vAlign w:val="bottom"/>
            <w:gridSpan w:val="2"/>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r>
      <w:tr>
        <w:trPr>
          <w:trHeight w:val="210"/>
        </w:trPr>
        <w:tc>
          <w:tcPr>
            <w:tcW w:w="53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3"/>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3"/>
              </w:rPr>
              <w:t>Cash flow hedge designation - Pay-fixed interest rate swap agreements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r>
      <w:tr>
        <w:trPr>
          <w:trHeight w:val="209"/>
        </w:trPr>
        <w:tc>
          <w:tcPr>
            <w:tcW w:w="53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Rate-lock mortgage loan commitments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145,077</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5,732</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176,165</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(2,104)</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162,452</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(11,814)</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Pay-variable interest rate swap agreements - commercial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162,452</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11,814</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Interest rate cap agreements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56"/>
        </w:trPr>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801,902</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22"/>
                <w:szCs w:val="22"/>
                <w:color w:val="auto"/>
              </w:rPr>
            </w:pPr>
          </w:p>
        </w:tc>
      </w:tr>
      <w:tr>
        <w:trPr>
          <w:trHeight w:val="460"/>
        </w:trPr>
        <w:tc>
          <w:tcPr>
            <w:tcW w:w="534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20" w:type="dxa"/>
            <w:vAlign w:val="bottom"/>
            <w:tcBorders>
              <w:top w:val="single" w:sz="8" w:color="CCEEFF"/>
              <w:bottom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89"/>
              </w:rPr>
              <w:t>December 31, 2019</w:t>
            </w: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2"/>
        </w:trPr>
        <w:tc>
          <w:tcPr>
            <w:tcW w:w="5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r>
      <w:tr>
        <w:trPr>
          <w:trHeight w:val="237"/>
        </w:trPr>
        <w:tc>
          <w:tcPr>
            <w:tcW w:w="5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r>
      <w:tr>
        <w:trPr>
          <w:trHeight w:val="216"/>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6"/>
          </w:tcPr>
          <w:p>
            <w:pPr>
              <w:jc w:val="center"/>
              <w:ind w:right="130"/>
              <w:spacing w:after="0"/>
              <w:rPr>
                <w:sz w:val="20"/>
                <w:szCs w:val="20"/>
                <w:color w:val="auto"/>
              </w:rPr>
            </w:pPr>
            <w:r>
              <w:rPr>
                <w:rFonts w:ascii="Arial" w:cs="Arial" w:eastAsia="Arial" w:hAnsi="Arial"/>
                <w:sz w:val="18"/>
                <w:szCs w:val="18"/>
                <w:color w:val="auto"/>
                <w:w w:val="89"/>
              </w:rPr>
              <w:t>(Dollars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hedge designation - Pay-fixed interest rate swap agreements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r>
      <w:tr>
        <w:trPr>
          <w:trHeight w:val="210"/>
        </w:trPr>
        <w:tc>
          <w:tcPr>
            <w:tcW w:w="534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 designation</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23"/>
        </w:trPr>
        <w:tc>
          <w:tcPr>
            <w:tcW w:w="5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cap agreements</w:t>
            </w:r>
          </w:p>
        </w:tc>
        <w:tc>
          <w:tcPr>
            <w:tcW w:w="1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340" w:type="dxa"/>
            <w:vAlign w:val="bottom"/>
          </w:tcPr>
          <w:p>
            <w:pPr>
              <w:ind w:left="340"/>
              <w:spacing w:after="0"/>
              <w:rPr>
                <w:sz w:val="20"/>
                <w:szCs w:val="20"/>
                <w:color w:val="auto"/>
              </w:rPr>
            </w:pPr>
            <w:r>
              <w:rPr>
                <w:rFonts w:ascii="Arial" w:cs="Arial" w:eastAsia="Arial" w:hAnsi="Arial"/>
                <w:sz w:val="18"/>
                <w:szCs w:val="18"/>
                <w:color w:val="auto"/>
              </w:rPr>
              <w:t>Total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
        </w:trPr>
        <w:tc>
          <w:tcPr>
            <w:tcW w:w="5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No hedge designation</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49,268</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95,363</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 - commercial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153,946</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(3,641)</w:t>
            </w: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Pay-variable interest rate swap agreements - commercial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153,946</w:t>
            </w:r>
          </w:p>
        </w:tc>
        <w:tc>
          <w:tcPr>
            <w:tcW w:w="20" w:type="dxa"/>
            <w:vAlign w:val="bottom"/>
          </w:tcPr>
          <w:p>
            <w:pPr>
              <w:spacing w:after="0"/>
              <w:rPr>
                <w:sz w:val="18"/>
                <w:szCs w:val="18"/>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3,641</w:t>
            </w:r>
          </w:p>
        </w:tc>
      </w:tr>
      <w:tr>
        <w:trPr>
          <w:trHeight w:val="216"/>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23"/>
        </w:trPr>
        <w:tc>
          <w:tcPr>
            <w:tcW w:w="534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9"/>
                <w:szCs w:val="19"/>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r>
      <w:tr>
        <w:trPr>
          <w:trHeight w:val="256"/>
        </w:trPr>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458,279</w:t>
            </w:r>
          </w:p>
        </w:tc>
        <w:tc>
          <w:tcPr>
            <w:tcW w:w="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22"/>
                <w:szCs w:val="22"/>
                <w:color w:val="auto"/>
              </w:rPr>
            </w:pPr>
          </w:p>
        </w:tc>
      </w:tr>
      <w:tr>
        <w:trPr>
          <w:trHeight w:val="589"/>
        </w:trPr>
        <w:tc>
          <w:tcPr>
            <w:tcW w:w="534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jc w:val="right"/>
              <w:ind w:right="1533"/>
              <w:spacing w:after="0"/>
              <w:rPr>
                <w:sz w:val="20"/>
                <w:szCs w:val="20"/>
                <w:color w:val="auto"/>
              </w:rPr>
            </w:pPr>
            <w:r>
              <w:rPr>
                <w:rFonts w:ascii="Arial" w:cs="Arial" w:eastAsia="Arial" w:hAnsi="Arial"/>
                <w:sz w:val="14"/>
                <w:szCs w:val="14"/>
                <w:color w:val="auto"/>
              </w:rPr>
              <w:t>30</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53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We use variable-rate and short-term fixed-rate (less than 12 months) debt obligations to fund a portion of our Condensed Consolidated Statements of Financial Condition, which exposes us to variability in interest rates. To meet our asset/liability management objectives, we may periodically enter into derivative financial instruments to mitigate exposure to fluctuations in cash flows resulting from changes in interest rates (“Cash Flow Hedges”). </w:t>
      </w:r>
      <w:r>
        <w:rPr>
          <w:rFonts w:ascii="Arial" w:cs="Arial" w:eastAsia="Arial" w:hAnsi="Arial"/>
          <w:sz w:val="19"/>
          <w:szCs w:val="19"/>
          <w:color w:val="231F20"/>
        </w:rPr>
        <w:t>Cash Flow Hedges included certain pay-fixed interest</w:t>
      </w:r>
      <w:r>
        <w:rPr>
          <w:rFonts w:ascii="Arial" w:cs="Arial" w:eastAsia="Arial" w:hAnsi="Arial"/>
          <w:sz w:val="19"/>
          <w:szCs w:val="19"/>
          <w:color w:val="auto"/>
        </w:rPr>
        <w:t xml:space="preserve"> </w:t>
      </w:r>
      <w:r>
        <w:rPr>
          <w:rFonts w:ascii="Arial" w:cs="Arial" w:eastAsia="Arial" w:hAnsi="Arial"/>
          <w:sz w:val="19"/>
          <w:szCs w:val="19"/>
          <w:color w:val="231F20"/>
        </w:rPr>
        <w:t xml:space="preserve">rate swaps and interest rate cap agreements. Pay-fixed interest rate swaps convert the variable-rate cash flows on debt obligations to fixed-rates. </w:t>
      </w:r>
      <w:r>
        <w:rPr>
          <w:rFonts w:ascii="Arial" w:cs="Arial" w:eastAsia="Arial" w:hAnsi="Arial"/>
          <w:sz w:val="19"/>
          <w:szCs w:val="19"/>
          <w:color w:val="000000"/>
        </w:rPr>
        <w:t>Under interest-rate cap agreements, we will receive cash if interest rates rise above a predetermined level. As a</w:t>
      </w:r>
      <w:r>
        <w:rPr>
          <w:rFonts w:ascii="Arial" w:cs="Arial" w:eastAsia="Arial" w:hAnsi="Arial"/>
          <w:sz w:val="19"/>
          <w:szCs w:val="19"/>
          <w:color w:val="231F20"/>
        </w:rPr>
        <w:t xml:space="preserve"> </w:t>
      </w:r>
      <w:r>
        <w:rPr>
          <w:rFonts w:ascii="Arial" w:cs="Arial" w:eastAsia="Arial" w:hAnsi="Arial"/>
          <w:sz w:val="19"/>
          <w:szCs w:val="19"/>
          <w:color w:val="000000"/>
        </w:rPr>
        <w:t>result, we effectively have variable-rate debt with an established maximum rate. We paid an upfront premium on interest rate caps which was recognized in earnings in the same period in which the hedged item affected earnings. During the first quarter of 2020 we transferred all of our interest rate cap agreements to a no hedge designation and the $2.0 million unrealized loss which was included as a component of accumulated other comprehensive loss at the time of the transfer will be reclassified into earnings over the remaining life of the interest rate cap agreements. We have retained all of the interest rate cap agreements and hedged items (variable rate and short-term fixed-rate debt obligations). The interest rate caps are classified as a no hedge designation at March 31, 2020 and any future change in fair value will be recorded in earnings.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record the fair value of Cash Flow Hedges in accrued income and other assets and accrued expenses and other liabilities on our Condensed Consolidated Statements of Financial Condition. On an ongoing basis, we adjust our Condensed Consolidated Statements of Financial Condition to reflect the then current fair value of Cash Flow Hedges. The related gains or losses are reported in other comprehensive income or loss and are subsequently reclassified into earnings as a yield adjustment in the same period in which the related interest on the hedged items (variable-rate debt obligations) affect earnings. It is anticipated that approximately $1.3 million, of unrealized losses on Cash Flow Hedges at March 31, 2020 will be reclassified to earnings over the next twelve months. The maximum term of Cash Flow Hedges at March 31, 2020 is 1.4 years.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Beginning in the second quarter of 2019 we entered into a pay-fixed interest rate swap to protect a portion of the fair value of a certain fixed rate commercial loan commitment (“Fair Value Hedge”). As a result, changes in the fair value of the pay-fixed interest rate swap is expected to offset changes in the fair value of the fixed rate commercial loan commitment due to fluctuations in interest rates. We record the fair value of Fair Value Hedges in accrued income and other assets and accrued expenses and other liabilities on our Condensed Consolidated Statements of Financial Condition. The hedged item (fixed rate commercial loan commitment) is also recorded at fair value which offsets the adjustment to the Fair Value Hedge. On an ongoing basis, we adjust our Condensed Consolidated Statements of Financial Condition to reflect the then current fair value of both the Fair Value Hedge and the hedged item. The related gains or losses are reported in non-interest income – other in our Condensed Consolidated Statements of Operations.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Fair Values of Derivative Instruments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9"/>
              </w:rPr>
              <w:t>Asset Derivatives</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Liability Derivatives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1880" w:type="dxa"/>
            <w:vAlign w:val="bottom"/>
            <w:gridSpan w:val="6"/>
          </w:tcPr>
          <w:p>
            <w:pPr>
              <w:ind w:left="520"/>
              <w:spacing w:after="0" w:line="201" w:lineRule="exact"/>
              <w:rPr>
                <w:sz w:val="20"/>
                <w:szCs w:val="20"/>
                <w:color w:val="auto"/>
              </w:rPr>
            </w:pPr>
            <w:r>
              <w:rPr>
                <w:rFonts w:ascii="Arial" w:cs="Arial" w:eastAsia="Arial" w:hAnsi="Arial"/>
                <w:sz w:val="18"/>
                <w:szCs w:val="18"/>
                <w:color w:val="auto"/>
              </w:rPr>
              <w:t>March 31,</w:t>
            </w:r>
          </w:p>
        </w:tc>
        <w:tc>
          <w:tcPr>
            <w:tcW w:w="1780" w:type="dxa"/>
            <w:vAlign w:val="bottom"/>
            <w:gridSpan w:val="5"/>
          </w:tcPr>
          <w:p>
            <w:pPr>
              <w:ind w:left="380"/>
              <w:spacing w:after="0" w:line="201" w:lineRule="exact"/>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17"/>
                <w:szCs w:val="17"/>
                <w:color w:val="auto"/>
              </w:rPr>
            </w:pPr>
          </w:p>
        </w:tc>
        <w:tc>
          <w:tcPr>
            <w:tcW w:w="1940" w:type="dxa"/>
            <w:vAlign w:val="bottom"/>
            <w:gridSpan w:val="5"/>
          </w:tcPr>
          <w:p>
            <w:pPr>
              <w:ind w:left="540"/>
              <w:spacing w:after="0" w:line="201" w:lineRule="exact"/>
              <w:rPr>
                <w:sz w:val="20"/>
                <w:szCs w:val="20"/>
                <w:color w:val="auto"/>
              </w:rPr>
            </w:pPr>
            <w:r>
              <w:rPr>
                <w:rFonts w:ascii="Arial" w:cs="Arial" w:eastAsia="Arial" w:hAnsi="Arial"/>
                <w:sz w:val="18"/>
                <w:szCs w:val="18"/>
                <w:color w:val="auto"/>
              </w:rPr>
              <w:t>March 31,</w:t>
            </w:r>
          </w:p>
        </w:tc>
        <w:tc>
          <w:tcPr>
            <w:tcW w:w="1840" w:type="dxa"/>
            <w:vAlign w:val="bottom"/>
            <w:gridSpan w:val="4"/>
          </w:tcPr>
          <w:p>
            <w:pPr>
              <w:ind w:left="400"/>
              <w:spacing w:after="0" w:line="201"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2020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2019</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w w:val="89"/>
              </w:rPr>
              <w:t>2020</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w w:val="94"/>
              </w:rPr>
              <w:t>2019</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ind w:left="120"/>
              <w:spacing w:after="0" w:line="201" w:lineRule="exact"/>
              <w:rPr>
                <w:sz w:val="20"/>
                <w:szCs w:val="20"/>
                <w:color w:val="auto"/>
              </w:rPr>
            </w:pPr>
            <w:r>
              <w:rPr>
                <w:rFonts w:ascii="Arial" w:cs="Arial" w:eastAsia="Arial" w:hAnsi="Arial"/>
                <w:sz w:val="18"/>
                <w:szCs w:val="18"/>
                <w:color w:val="auto"/>
                <w:w w:val="89"/>
              </w:rPr>
              <w:t>Balance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Balance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9"/>
              </w:rPr>
              <w:t>Balance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4"/>
              </w:rPr>
              <w:t>Sheet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Fair</w:t>
            </w: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Sheet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36"/>
              <w:spacing w:after="0"/>
              <w:rPr>
                <w:sz w:val="20"/>
                <w:szCs w:val="20"/>
                <w:color w:val="auto"/>
              </w:rPr>
            </w:pPr>
            <w:r>
              <w:rPr>
                <w:rFonts w:ascii="Arial" w:cs="Arial" w:eastAsia="Arial" w:hAnsi="Arial"/>
                <w:sz w:val="18"/>
                <w:szCs w:val="18"/>
                <w:color w:val="auto"/>
              </w:rPr>
              <w:t>Fair</w:t>
            </w:r>
          </w:p>
        </w:tc>
        <w:tc>
          <w:tcPr>
            <w:tcW w:w="1120" w:type="dxa"/>
            <w:vAlign w:val="bottom"/>
            <w:gridSpan w:val="3"/>
          </w:tcPr>
          <w:p>
            <w:pPr>
              <w:ind w:left="220"/>
              <w:spacing w:after="0"/>
              <w:rPr>
                <w:sz w:val="20"/>
                <w:szCs w:val="20"/>
                <w:color w:val="auto"/>
              </w:rPr>
            </w:pPr>
            <w:r>
              <w:rPr>
                <w:rFonts w:ascii="Arial" w:cs="Arial" w:eastAsia="Arial" w:hAnsi="Arial"/>
                <w:sz w:val="18"/>
                <w:szCs w:val="18"/>
                <w:color w:val="auto"/>
              </w:rPr>
              <w:t>Sheet</w:t>
            </w:r>
          </w:p>
        </w:tc>
        <w:tc>
          <w:tcPr>
            <w:tcW w:w="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Sheet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Location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Location</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vMerge w:val="restart"/>
          </w:tcPr>
          <w:p>
            <w:pPr>
              <w:spacing w:after="0"/>
              <w:rPr>
                <w:sz w:val="20"/>
                <w:szCs w:val="20"/>
                <w:color w:val="auto"/>
              </w:rPr>
            </w:pPr>
            <w:r>
              <w:rPr>
                <w:rFonts w:ascii="Arial" w:cs="Arial" w:eastAsia="Arial" w:hAnsi="Arial"/>
                <w:sz w:val="18"/>
                <w:szCs w:val="18"/>
                <w:color w:val="auto"/>
                <w:w w:val="95"/>
              </w:rPr>
              <w:t>Derivatives designated as hedging instruments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940" w:type="dxa"/>
            <w:vAlign w:val="bottom"/>
            <w:gridSpan w:val="2"/>
          </w:tcPr>
          <w:p>
            <w:pPr>
              <w:jc w:val="center"/>
              <w:ind w:right="230"/>
              <w:spacing w:after="0"/>
              <w:rPr>
                <w:sz w:val="20"/>
                <w:szCs w:val="20"/>
                <w:color w:val="auto"/>
              </w:rPr>
            </w:pPr>
            <w:r>
              <w:rPr>
                <w:rFonts w:ascii="Arial" w:cs="Arial" w:eastAsia="Arial" w:hAnsi="Arial"/>
                <w:sz w:val="17"/>
                <w:szCs w:val="17"/>
                <w:color w:val="auto"/>
                <w:w w:val="73"/>
              </w:rPr>
              <w:t>thousands)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 $</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liabilities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7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180"/>
              <w:spacing w:after="0"/>
              <w:rPr>
                <w:sz w:val="20"/>
                <w:szCs w:val="20"/>
                <w:color w:val="auto"/>
              </w:rPr>
            </w:pPr>
            <w:r>
              <w:rPr>
                <w:rFonts w:ascii="Arial" w:cs="Arial" w:eastAsia="Arial" w:hAnsi="Arial"/>
                <w:sz w:val="18"/>
                <w:szCs w:val="18"/>
                <w:color w:val="auto"/>
              </w:rPr>
              <w:t>Interest rate cap agreements</w:t>
            </w:r>
          </w:p>
        </w:tc>
        <w:tc>
          <w:tcPr>
            <w:tcW w:w="70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36"/>
              <w:spacing w:after="0"/>
              <w:rPr>
                <w:sz w:val="20"/>
                <w:szCs w:val="20"/>
                <w:color w:val="auto"/>
              </w:rPr>
            </w:pPr>
            <w:r>
              <w:rPr>
                <w:rFonts w:ascii="Arial" w:cs="Arial" w:eastAsia="Arial" w:hAnsi="Arial"/>
                <w:sz w:val="18"/>
                <w:szCs w:val="18"/>
                <w:color w:val="auto"/>
              </w:rPr>
              <w:t>214</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ind w:left="160"/>
              <w:spacing w:after="0"/>
              <w:rPr>
                <w:sz w:val="20"/>
                <w:szCs w:val="20"/>
                <w:color w:val="auto"/>
              </w:rPr>
            </w:pPr>
            <w:r>
              <w:rPr>
                <w:rFonts w:ascii="Arial" w:cs="Arial" w:eastAsia="Arial" w:hAnsi="Arial"/>
                <w:sz w:val="18"/>
                <w:szCs w:val="18"/>
                <w:color w:val="auto"/>
                <w:w w:val="96"/>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line="201" w:lineRule="exact"/>
              <w:rPr>
                <w:sz w:val="20"/>
                <w:szCs w:val="20"/>
                <w:color w:val="auto"/>
              </w:rPr>
            </w:pPr>
            <w:r>
              <w:rPr>
                <w:rFonts w:ascii="Arial" w:cs="Arial" w:eastAsia="Arial" w:hAnsi="Arial"/>
                <w:sz w:val="18"/>
                <w:szCs w:val="18"/>
                <w:color w:val="auto"/>
              </w:rPr>
              <w:t>Derivatives not designated as hedging</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Rate-lock mortgage loan commitments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38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1,412</w:t>
            </w:r>
          </w:p>
        </w:tc>
        <w:tc>
          <w:tcPr>
            <w:tcW w:w="1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liabilities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rPr>
              <w:t>Mandatory commitments to sell mortgage</w:t>
            </w:r>
          </w:p>
        </w:tc>
        <w:tc>
          <w:tcPr>
            <w:tcW w:w="7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Arial" w:cs="Arial" w:eastAsia="Arial" w:hAnsi="Arial"/>
                <w:sz w:val="18"/>
                <w:szCs w:val="18"/>
                <w:color w:val="auto"/>
              </w:rPr>
              <w:t>loans</w:t>
            </w:r>
          </w:p>
        </w:tc>
        <w:tc>
          <w:tcPr>
            <w:tcW w:w="70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2,104</w:t>
            </w:r>
          </w:p>
        </w:tc>
        <w:tc>
          <w:tcPr>
            <w:tcW w:w="840" w:type="dxa"/>
            <w:vAlign w:val="bottom"/>
          </w:tcPr>
          <w:p>
            <w:pPr>
              <w:ind w:left="160"/>
              <w:spacing w:after="0"/>
              <w:rPr>
                <w:sz w:val="20"/>
                <w:szCs w:val="20"/>
                <w:color w:val="auto"/>
              </w:rPr>
            </w:pPr>
            <w:r>
              <w:rPr>
                <w:rFonts w:ascii="Arial" w:cs="Arial" w:eastAsia="Arial" w:hAnsi="Arial"/>
                <w:sz w:val="18"/>
                <w:szCs w:val="18"/>
                <w:color w:val="auto"/>
                <w:w w:val="96"/>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Pay-fixed interest rate swap agreements -</w:t>
            </w: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11,814</w:t>
            </w: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2"/>
        </w:trPr>
        <w:tc>
          <w:tcPr>
            <w:tcW w:w="3580" w:type="dxa"/>
            <w:vAlign w:val="bottom"/>
          </w:tcPr>
          <w:p>
            <w:pPr>
              <w:ind w:left="180"/>
              <w:spacing w:after="0" w:line="201" w:lineRule="exact"/>
              <w:rPr>
                <w:sz w:val="20"/>
                <w:szCs w:val="20"/>
                <w:color w:val="auto"/>
              </w:rPr>
            </w:pPr>
            <w:r>
              <w:rPr>
                <w:rFonts w:ascii="Arial" w:cs="Arial" w:eastAsia="Arial" w:hAnsi="Arial"/>
                <w:sz w:val="18"/>
                <w:szCs w:val="18"/>
                <w:color w:val="auto"/>
                <w:w w:val="94"/>
              </w:rPr>
              <w:t>Pay-variable interest rate swap agreements -</w:t>
            </w:r>
          </w:p>
        </w:tc>
        <w:tc>
          <w:tcPr>
            <w:tcW w:w="7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70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11,814</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36"/>
              <w:spacing w:after="0"/>
              <w:rPr>
                <w:sz w:val="20"/>
                <w:szCs w:val="20"/>
                <w:color w:val="auto"/>
              </w:rPr>
            </w:pPr>
            <w:r>
              <w:rPr>
                <w:rFonts w:ascii="Arial" w:cs="Arial" w:eastAsia="Arial" w:hAnsi="Arial"/>
                <w:sz w:val="18"/>
                <w:szCs w:val="18"/>
                <w:color w:val="auto"/>
              </w:rPr>
              <w:t>3,669</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ind w:left="160"/>
              <w:spacing w:after="0"/>
              <w:rPr>
                <w:sz w:val="20"/>
                <w:szCs w:val="20"/>
                <w:color w:val="auto"/>
              </w:rPr>
            </w:pPr>
            <w:r>
              <w:rPr>
                <w:rFonts w:ascii="Arial" w:cs="Arial" w:eastAsia="Arial" w:hAnsi="Arial"/>
                <w:sz w:val="18"/>
                <w:szCs w:val="18"/>
                <w:color w:val="auto"/>
                <w:w w:val="96"/>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cap agreements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70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80"/>
              <w:spacing w:after="0"/>
              <w:rPr>
                <w:sz w:val="20"/>
                <w:szCs w:val="20"/>
                <w:color w:val="auto"/>
              </w:rPr>
            </w:pPr>
            <w:r>
              <w:rPr>
                <w:rFonts w:ascii="Arial" w:cs="Arial" w:eastAsia="Arial" w:hAnsi="Arial"/>
                <w:sz w:val="18"/>
                <w:szCs w:val="18"/>
                <w:color w:val="auto"/>
              </w:rPr>
              <w:t>Purchased options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0"/>
              </w:rPr>
              <w:t>assets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36"/>
              <w:spacing w:after="0"/>
              <w:rPr>
                <w:sz w:val="20"/>
                <w:szCs w:val="20"/>
                <w:color w:val="auto"/>
              </w:rPr>
            </w:pPr>
            <w:r>
              <w:rPr>
                <w:rFonts w:ascii="Arial" w:cs="Arial" w:eastAsia="Arial" w:hAnsi="Arial"/>
                <w:sz w:val="18"/>
                <w:szCs w:val="18"/>
                <w:color w:val="auto"/>
              </w:rPr>
              <w:t>141</w:t>
            </w:r>
          </w:p>
        </w:tc>
        <w:tc>
          <w:tcPr>
            <w:tcW w:w="1120" w:type="dxa"/>
            <w:vAlign w:val="bottom"/>
            <w:gridSpan w:val="3"/>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ind w:left="160"/>
              <w:spacing w:after="0"/>
              <w:rPr>
                <w:sz w:val="20"/>
                <w:szCs w:val="20"/>
                <w:color w:val="auto"/>
              </w:rPr>
            </w:pPr>
            <w:r>
              <w:rPr>
                <w:rFonts w:ascii="Arial" w:cs="Arial" w:eastAsia="Arial" w:hAnsi="Arial"/>
                <w:sz w:val="18"/>
                <w:szCs w:val="18"/>
                <w:color w:val="auto"/>
                <w:w w:val="96"/>
              </w:rPr>
              <w:t>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center"/>
              <w:ind w:right="720"/>
              <w:spacing w:after="0" w:line="201" w:lineRule="exact"/>
              <w:rPr>
                <w:sz w:val="20"/>
                <w:szCs w:val="20"/>
                <w:color w:val="auto"/>
              </w:rPr>
            </w:pPr>
            <w:r>
              <w:rPr>
                <w:rFonts w:ascii="Arial" w:cs="Arial" w:eastAsia="Arial" w:hAnsi="Arial"/>
                <w:sz w:val="18"/>
                <w:szCs w:val="18"/>
                <w:color w:val="auto"/>
                <w:w w:val="88"/>
              </w:rPr>
              <w:t>Other</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options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assets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liabilities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36"/>
              <w:spacing w:after="0"/>
              <w:rPr>
                <w:sz w:val="20"/>
                <w:szCs w:val="20"/>
                <w:color w:val="auto"/>
              </w:rPr>
            </w:pPr>
            <w:r>
              <w:rPr>
                <w:rFonts w:ascii="Arial" w:cs="Arial" w:eastAsia="Arial" w:hAnsi="Arial"/>
                <w:sz w:val="18"/>
                <w:szCs w:val="18"/>
                <w:color w:val="auto"/>
              </w:rPr>
              <w:t>5,250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13,954</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derivatives</w:t>
            </w:r>
          </w:p>
        </w:tc>
        <w:tc>
          <w:tcPr>
            <w:tcW w:w="7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2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15,286</w:t>
            </w: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35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ind w:left="100"/>
              <w:spacing w:after="0"/>
              <w:rPr>
                <w:sz w:val="20"/>
                <w:szCs w:val="20"/>
                <w:color w:val="auto"/>
              </w:rPr>
            </w:pPr>
            <w:r>
              <w:rPr>
                <w:rFonts w:ascii="Arial" w:cs="Arial" w:eastAsia="Arial" w:hAnsi="Arial"/>
                <w:sz w:val="14"/>
                <w:szCs w:val="14"/>
                <w:color w:val="auto"/>
              </w:rPr>
              <w:t>33</w:t>
            </w: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effect of derivative financial instruments on the Condensed Consolidated Statements of Operations follows: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 Periods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Location of</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Gain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Reclassified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from</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8"/>
                <w:szCs w:val="18"/>
                <w:color w:val="auto"/>
                <w:w w:val="92"/>
              </w:rPr>
              <w:t>Gain (Loss)</w:t>
            </w: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center"/>
              <w:ind w:left="431"/>
              <w:spacing w:after="0"/>
              <w:rPr>
                <w:sz w:val="20"/>
                <w:szCs w:val="20"/>
                <w:color w:val="auto"/>
              </w:rPr>
            </w:pPr>
            <w:r>
              <w:rPr>
                <w:rFonts w:ascii="Arial" w:cs="Arial" w:eastAsia="Arial" w:hAnsi="Arial"/>
                <w:sz w:val="18"/>
                <w:szCs w:val="18"/>
                <w:color w:val="auto"/>
                <w:w w:val="94"/>
              </w:rPr>
              <w:t>Gain</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8"/>
                <w:szCs w:val="18"/>
                <w:color w:val="auto"/>
                <w:w w:val="89"/>
              </w:rPr>
              <w:t>Recognized in</w:t>
            </w: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Reclassified from</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center"/>
              <w:ind w:left="430"/>
              <w:spacing w:after="0"/>
              <w:rPr>
                <w:sz w:val="20"/>
                <w:szCs w:val="20"/>
                <w:color w:val="auto"/>
              </w:rPr>
            </w:pPr>
            <w:r>
              <w:rPr>
                <w:rFonts w:ascii="Arial" w:cs="Arial" w:eastAsia="Arial" w:hAnsi="Arial"/>
                <w:sz w:val="18"/>
                <w:szCs w:val="18"/>
                <w:color w:val="auto"/>
                <w:w w:val="93"/>
              </w:rPr>
              <w:t>Other</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8"/>
                <w:szCs w:val="18"/>
                <w:color w:val="auto"/>
                <w:w w:val="90"/>
              </w:rPr>
              <w:t>Accumulated Other</w:t>
            </w:r>
          </w:p>
        </w:tc>
        <w:tc>
          <w:tcPr>
            <w:tcW w:w="6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Location of</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8"/>
                <w:szCs w:val="18"/>
                <w:color w:val="auto"/>
                <w:w w:val="90"/>
              </w:rPr>
              <w:t>Comprehensive</w:t>
            </w: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Loss into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Comprehensive</w:t>
            </w:r>
          </w:p>
        </w:tc>
        <w:tc>
          <w:tcPr>
            <w:tcW w:w="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Gain</w:t>
            </w:r>
          </w:p>
        </w:tc>
        <w:tc>
          <w:tcPr>
            <w:tcW w:w="180" w:type="dxa"/>
            <w:vAlign w:val="bottom"/>
          </w:tcPr>
          <w:p>
            <w:pPr>
              <w:spacing w:after="0"/>
              <w:rPr>
                <w:sz w:val="18"/>
                <w:szCs w:val="18"/>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8"/>
                <w:szCs w:val="18"/>
                <w:color w:val="auto"/>
                <w:w w:val="92"/>
              </w:rPr>
              <w:t>Gain (Loss)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8"/>
                <w:szCs w:val="18"/>
                <w:color w:val="auto"/>
                <w:w w:val="92"/>
              </w:rPr>
              <w:t>Income (Loss)</w:t>
            </w:r>
          </w:p>
        </w:tc>
        <w:tc>
          <w:tcPr>
            <w:tcW w:w="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8"/>
                <w:szCs w:val="18"/>
                <w:color w:val="auto"/>
                <w:w w:val="91"/>
              </w:rPr>
              <w:t>Loss into Income</w:t>
            </w:r>
          </w:p>
        </w:tc>
        <w:tc>
          <w:tcPr>
            <w:tcW w:w="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(Loss)</w:t>
            </w:r>
          </w:p>
        </w:tc>
        <w:tc>
          <w:tcPr>
            <w:tcW w:w="180" w:type="dxa"/>
            <w:vAlign w:val="bottom"/>
          </w:tcPr>
          <w:p>
            <w:pPr>
              <w:spacing w:after="0"/>
              <w:rPr>
                <w:sz w:val="18"/>
                <w:szCs w:val="18"/>
                <w:color w:val="auto"/>
              </w:rPr>
            </w:pPr>
          </w:p>
        </w:tc>
        <w:tc>
          <w:tcPr>
            <w:tcW w:w="190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7"/>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8"/>
                <w:szCs w:val="18"/>
                <w:color w:val="auto"/>
                <w:w w:val="93"/>
              </w:rPr>
              <w:t>(Effective Portion)</w:t>
            </w:r>
          </w:p>
        </w:tc>
        <w:tc>
          <w:tcPr>
            <w:tcW w:w="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(Effective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8"/>
                <w:szCs w:val="18"/>
                <w:color w:val="auto"/>
                <w:w w:val="95"/>
              </w:rPr>
              <w:t>(Effective Portion)</w:t>
            </w:r>
          </w:p>
        </w:tc>
        <w:tc>
          <w:tcPr>
            <w:tcW w:w="6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8"/>
              </w:rPr>
              <w:t>Recognized</w:t>
            </w:r>
          </w:p>
        </w:tc>
        <w:tc>
          <w:tcPr>
            <w:tcW w:w="180" w:type="dxa"/>
            <w:vAlign w:val="bottom"/>
          </w:tcPr>
          <w:p>
            <w:pPr>
              <w:spacing w:after="0"/>
              <w:rPr>
                <w:sz w:val="20"/>
                <w:szCs w:val="20"/>
                <w:color w:val="auto"/>
              </w:rPr>
            </w:pPr>
          </w:p>
        </w:tc>
        <w:tc>
          <w:tcPr>
            <w:tcW w:w="1180" w:type="dxa"/>
            <w:vAlign w:val="bottom"/>
            <w:gridSpan w:val="4"/>
          </w:tcPr>
          <w:p>
            <w:pPr>
              <w:jc w:val="center"/>
              <w:ind w:left="330"/>
              <w:spacing w:after="0"/>
              <w:rPr>
                <w:sz w:val="20"/>
                <w:szCs w:val="20"/>
                <w:color w:val="auto"/>
              </w:rPr>
            </w:pPr>
            <w:r>
              <w:rPr>
                <w:rFonts w:ascii="Arial" w:cs="Arial" w:eastAsia="Arial" w:hAnsi="Arial"/>
                <w:sz w:val="18"/>
                <w:szCs w:val="18"/>
                <w:color w:val="auto"/>
                <w:w w:val="92"/>
              </w:rPr>
              <w:t>in Income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Portion)</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in Income</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vMerge w:val="restart"/>
          </w:tcPr>
          <w:p>
            <w:pPr>
              <w:spacing w:after="0"/>
              <w:rPr>
                <w:sz w:val="20"/>
                <w:szCs w:val="20"/>
                <w:color w:val="auto"/>
              </w:rPr>
            </w:pPr>
            <w:r>
              <w:rPr>
                <w:rFonts w:ascii="Arial" w:cs="Arial" w:eastAsia="Arial" w:hAnsi="Arial"/>
                <w:sz w:val="18"/>
                <w:szCs w:val="18"/>
                <w:color w:val="auto"/>
              </w:rPr>
              <w:t>Fair Value Hedges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6"/>
          </w:tcPr>
          <w:p>
            <w:pPr>
              <w:ind w:left="160"/>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Non-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Pay-fixed interest rate swap</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agreements</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 Hedges</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cap agreements</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(785)</w:t>
            </w: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(53)</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60" w:type="dxa"/>
            <w:vAlign w:val="bottom"/>
          </w:tcPr>
          <w:p>
            <w:pPr>
              <w:ind w:left="180"/>
              <w:spacing w:after="0" w:line="201" w:lineRule="exact"/>
              <w:rPr>
                <w:sz w:val="20"/>
                <w:szCs w:val="20"/>
                <w:color w:val="auto"/>
              </w:rPr>
            </w:pPr>
            <w:r>
              <w:rPr>
                <w:rFonts w:ascii="Arial" w:cs="Arial" w:eastAsia="Arial" w:hAnsi="Arial"/>
                <w:sz w:val="18"/>
                <w:szCs w:val="18"/>
                <w:color w:val="auto"/>
              </w:rPr>
              <w:t>Pay-fixed interest rate swap</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340"/>
              <w:spacing w:after="0"/>
              <w:rPr>
                <w:sz w:val="20"/>
                <w:szCs w:val="20"/>
                <w:color w:val="auto"/>
              </w:rPr>
            </w:pPr>
            <w:r>
              <w:rPr>
                <w:rFonts w:ascii="Arial" w:cs="Arial" w:eastAsia="Arial" w:hAnsi="Arial"/>
                <w:sz w:val="18"/>
                <w:szCs w:val="18"/>
                <w:color w:val="auto"/>
              </w:rPr>
              <w:t>agreements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w w:val="90"/>
              </w:rPr>
              <w:t>(127)</w:t>
            </w:r>
          </w:p>
        </w:tc>
        <w:tc>
          <w:tcPr>
            <w:tcW w:w="2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1"/>
              </w:rPr>
              <w:t>(912)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72"/>
              </w:rPr>
              <w:t>(75)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Net gains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on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80"/>
              <w:spacing w:after="0"/>
              <w:rPr>
                <w:sz w:val="20"/>
                <w:szCs w:val="20"/>
                <w:color w:val="auto"/>
              </w:rPr>
            </w:pPr>
            <w:r>
              <w:rPr>
                <w:rFonts w:ascii="Arial" w:cs="Arial" w:eastAsia="Arial" w:hAnsi="Arial"/>
                <w:sz w:val="18"/>
                <w:szCs w:val="18"/>
                <w:color w:val="auto"/>
              </w:rPr>
              <w:t>Rate-lock mortgage loan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340"/>
              <w:spacing w:after="0"/>
              <w:rPr>
                <w:sz w:val="20"/>
                <w:szCs w:val="20"/>
                <w:color w:val="auto"/>
              </w:rPr>
            </w:pPr>
            <w:r>
              <w:rPr>
                <w:rFonts w:ascii="Arial" w:cs="Arial" w:eastAsia="Arial" w:hAnsi="Arial"/>
                <w:sz w:val="18"/>
                <w:szCs w:val="18"/>
                <w:color w:val="auto"/>
              </w:rPr>
              <w:t>commitments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4,320</w:t>
            </w:r>
          </w:p>
        </w:tc>
        <w:tc>
          <w:tcPr>
            <w:tcW w:w="140" w:type="dxa"/>
            <w:vAlign w:val="bottom"/>
          </w:tcPr>
          <w:p>
            <w:pPr>
              <w:spacing w:after="0"/>
              <w:rPr>
                <w:sz w:val="20"/>
                <w:szCs w:val="20"/>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Net gains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Mandatory commitments to sell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loans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660" w:type="dxa"/>
            <w:vAlign w:val="bottom"/>
          </w:tcPr>
          <w:p>
            <w:pPr>
              <w:ind w:left="180"/>
              <w:spacing w:after="0" w:line="201" w:lineRule="exact"/>
              <w:rPr>
                <w:sz w:val="20"/>
                <w:szCs w:val="20"/>
                <w:color w:val="auto"/>
              </w:rPr>
            </w:pPr>
            <w:r>
              <w:rPr>
                <w:rFonts w:ascii="Arial" w:cs="Arial" w:eastAsia="Arial" w:hAnsi="Arial"/>
                <w:sz w:val="18"/>
                <w:szCs w:val="18"/>
                <w:color w:val="auto"/>
              </w:rPr>
              <w:t>Pay-fixed interest rate swap</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340"/>
              <w:spacing w:after="0"/>
              <w:rPr>
                <w:sz w:val="20"/>
                <w:szCs w:val="20"/>
                <w:color w:val="auto"/>
              </w:rPr>
            </w:pPr>
            <w:r>
              <w:rPr>
                <w:rFonts w:ascii="Arial" w:cs="Arial" w:eastAsia="Arial" w:hAnsi="Arial"/>
                <w:sz w:val="18"/>
                <w:szCs w:val="18"/>
                <w:color w:val="auto"/>
              </w:rPr>
              <w:t>agreements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2"/>
        </w:trPr>
        <w:tc>
          <w:tcPr>
            <w:tcW w:w="2660" w:type="dxa"/>
            <w:vAlign w:val="bottom"/>
          </w:tcPr>
          <w:p>
            <w:pPr>
              <w:ind w:left="180"/>
              <w:spacing w:after="0" w:line="201" w:lineRule="exact"/>
              <w:rPr>
                <w:sz w:val="20"/>
                <w:szCs w:val="20"/>
                <w:color w:val="auto"/>
              </w:rPr>
            </w:pPr>
            <w:r>
              <w:rPr>
                <w:rFonts w:ascii="Arial" w:cs="Arial" w:eastAsia="Arial" w:hAnsi="Arial"/>
                <w:sz w:val="18"/>
                <w:szCs w:val="18"/>
                <w:color w:val="auto"/>
                <w:w w:val="99"/>
              </w:rPr>
              <w:t>Pay-variable interest rate swap</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340"/>
              <w:spacing w:after="0"/>
              <w:rPr>
                <w:sz w:val="20"/>
                <w:szCs w:val="20"/>
                <w:color w:val="auto"/>
              </w:rPr>
            </w:pPr>
            <w:r>
              <w:rPr>
                <w:rFonts w:ascii="Arial" w:cs="Arial" w:eastAsia="Arial" w:hAnsi="Arial"/>
                <w:sz w:val="18"/>
                <w:szCs w:val="18"/>
                <w:color w:val="auto"/>
              </w:rPr>
              <w:t>agreements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2"/>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Interest rate cap agreements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options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2"/>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180"/>
              <w:spacing w:after="0"/>
              <w:rPr>
                <w:sz w:val="20"/>
                <w:szCs w:val="20"/>
                <w:color w:val="auto"/>
              </w:rPr>
            </w:pPr>
            <w:r>
              <w:rPr>
                <w:rFonts w:ascii="Arial" w:cs="Arial" w:eastAsia="Arial" w:hAnsi="Arial"/>
                <w:sz w:val="18"/>
                <w:szCs w:val="18"/>
                <w:color w:val="auto"/>
              </w:rPr>
              <w:t>Written options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25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intangible assets, net of amortization: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March 31, 2020</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 2019</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87"/>
              </w:rPr>
              <w:t>Gross</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87"/>
              </w:rPr>
              <w:t>Gross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134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r>
      <w:tr>
        <w:trPr>
          <w:trHeight w:val="237"/>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00" w:type="dxa"/>
            <w:vAlign w:val="bottom"/>
            <w:gridSpan w:val="5"/>
          </w:tcPr>
          <w:p>
            <w:pPr>
              <w:jc w:val="right"/>
              <w:ind w:right="940"/>
              <w:spacing w:after="0"/>
              <w:rPr>
                <w:sz w:val="20"/>
                <w:szCs w:val="20"/>
                <w:color w:val="auto"/>
              </w:rPr>
            </w:pPr>
            <w:r>
              <w:rPr>
                <w:rFonts w:ascii="Arial" w:cs="Arial" w:eastAsia="Arial" w:hAnsi="Arial"/>
                <w:sz w:val="18"/>
                <w:szCs w:val="18"/>
                <w:color w:val="auto"/>
                <w:w w:val="99"/>
              </w:rPr>
              <w:t>(In thousands)</w:t>
            </w: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9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11,916</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6,590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Unamortized intangible assets - goodwill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28,300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28,300</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performed our required annual goodwill impairment test as of December 31, 2019 and there was no impairment. During the first quarter of 2020 the stock market in general as well as our market capitalization declined as a result of events surrounding the current COVID-19 pandemic outbreak. We do not believe this decline is indicative of a permanent deterioration of the fundamental value of our bank. As such we do not believe that it is more likely than not a goodwill impairment exists at March 31, 2020. See note 13, Contingencies, for additional information on COVID-19 and its potential impact to 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 summary of estimated core deposit intangible amortization at March 31, 2020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w w:val="97"/>
              </w:rPr>
              <w:t>(In thousands)</w:t>
            </w: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ending December 31, 2020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2025 and thereafter</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Share Based Compensation</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0.4 million shares of common stock as of March 31, 2020. The non-employee director stock purchase plan permits the issuance of additional share based payments for up to 0.2 million shares of common stock as of March 31, 2020. Share based awards and payments are measured at fair value at the date of grant and are expensed over the requisite service period. Common shares issued upon exercise of stock options come from currently authorized but unissued shares.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A summary of restricted stock and performance stock units (“PSU”) granted pursuant to our long-term incentive plan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r>
      <w:tr>
        <w:trPr>
          <w:trHeight w:val="216"/>
        </w:trPr>
        <w:tc>
          <w:tcPr>
            <w:tcW w:w="8680" w:type="dxa"/>
            <w:vAlign w:val="bottom"/>
          </w:tcPr>
          <w:p>
            <w:pPr>
              <w:spacing w:after="0"/>
              <w:rPr>
                <w:sz w:val="18"/>
                <w:szCs w:val="18"/>
                <w:color w:val="auto"/>
              </w:rPr>
            </w:pPr>
          </w:p>
        </w:tc>
        <w:tc>
          <w:tcPr>
            <w:tcW w:w="166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PSU</w:t>
            </w:r>
          </w:p>
        </w:tc>
        <w:tc>
          <w:tcPr>
            <w:tcW w:w="1120" w:type="dxa"/>
            <w:vAlign w:val="bottom"/>
          </w:tcPr>
          <w:p>
            <w:pPr>
              <w:jc w:val="right"/>
              <w:spacing w:after="0"/>
              <w:rPr>
                <w:sz w:val="20"/>
                <w:szCs w:val="20"/>
                <w:color w:val="auto"/>
              </w:rPr>
            </w:pPr>
            <w:r>
              <w:rPr>
                <w:rFonts w:ascii="Arial" w:cs="Arial" w:eastAsia="Arial" w:hAnsi="Arial"/>
                <w:sz w:val="18"/>
                <w:szCs w:val="18"/>
                <w:color w:val="auto"/>
              </w:rPr>
              <w:t>20,897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22,016</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Except for 0.002 million shares of restricted stock issued during the first quarter of 2019 that vest ratably over three years, the shares of restricted stock and PSUs shown in the above table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Our directors may elect to receive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value and vest immediately. During the three month periods ended March 31, 2020 and 2019 we issued 0.004 million and 0.003 million shares, respectively and expensed their value during those same periods.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Total compensation expense recognized for grants pursuant to our long-term incentive plan was $0.5 million and $0.4 million during the three month periods ended March 31, 2020 and 2019, respectively. The corresponding tax benefit relating to this expense was $0.1 million for each period. Total expense recognized for non-employee director share based payments was $0.09 million and $0.05 million during the three month periods ended March 31, 2020 and 2019, respectively. The corresponding tax benefit relating to this expense was $0.2 million and $0.01 million for each period, respectively.</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March 31, 2020, the total expected compensation cost related to non-vested restricted stock and PSUs not yet recognized was $3.2 million. The weighted-average period over which this amount will be recognized is 2.4 years.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outstanding stock option grants and related transactions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Aggregated</w:t>
            </w: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7"/>
        </w:trPr>
        <w:tc>
          <w:tcPr>
            <w:tcW w:w="4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Term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2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138,506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9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(11,567)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6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5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Outstanding at March 31, 2020</w:t>
            </w:r>
          </w:p>
        </w:tc>
        <w:tc>
          <w:tcPr>
            <w:tcW w:w="15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126,939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r>
      <w:tr>
        <w:trPr>
          <w:trHeight w:val="20"/>
        </w:trPr>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Vested and expected to vest at March 31, 2020</w:t>
            </w:r>
          </w:p>
        </w:tc>
        <w:tc>
          <w:tcPr>
            <w:tcW w:w="2660" w:type="dxa"/>
            <w:vAlign w:val="bottom"/>
            <w:gridSpan w:val="3"/>
          </w:tcPr>
          <w:p>
            <w:pPr>
              <w:jc w:val="right"/>
              <w:ind w:right="20"/>
              <w:spacing w:after="0"/>
              <w:rPr>
                <w:sz w:val="20"/>
                <w:szCs w:val="20"/>
                <w:color w:val="auto"/>
              </w:rPr>
            </w:pPr>
            <w:r>
              <w:rPr>
                <w:rFonts w:ascii="Arial" w:cs="Arial" w:eastAsia="Arial" w:hAnsi="Arial"/>
                <w:sz w:val="18"/>
                <w:szCs w:val="18"/>
                <w:color w:val="auto"/>
              </w:rPr>
              <w:t>126,939</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4.71</w:t>
            </w: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r>
      <w:tr>
        <w:trPr>
          <w:trHeight w:val="20"/>
        </w:trPr>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1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126,939</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89"/>
        </w:trPr>
        <w:tc>
          <w:tcPr>
            <w:tcW w:w="4460" w:type="dxa"/>
            <w:vAlign w:val="bottom"/>
          </w:tcPr>
          <w:p>
            <w:pPr>
              <w:spacing w:after="0"/>
              <w:rPr>
                <w:sz w:val="24"/>
                <w:szCs w:val="24"/>
                <w:color w:val="auto"/>
              </w:rPr>
            </w:pPr>
          </w:p>
        </w:tc>
        <w:tc>
          <w:tcPr>
            <w:tcW w:w="1520" w:type="dxa"/>
            <w:vAlign w:val="bottom"/>
          </w:tcPr>
          <w:p>
            <w:pPr>
              <w:jc w:val="right"/>
              <w:ind w:right="193"/>
              <w:spacing w:after="0"/>
              <w:rPr>
                <w:sz w:val="20"/>
                <w:szCs w:val="20"/>
                <w:color w:val="auto"/>
              </w:rPr>
            </w:pPr>
            <w:r>
              <w:rPr>
                <w:rFonts w:ascii="Arial" w:cs="Arial" w:eastAsia="Arial" w:hAnsi="Arial"/>
                <w:sz w:val="14"/>
                <w:szCs w:val="14"/>
                <w:color w:val="auto"/>
              </w:rPr>
              <w:t>36</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4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outstanding non-vested restricted stock and PSUs and related transactions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Grant Date</w:t>
            </w:r>
          </w:p>
        </w:tc>
      </w:tr>
      <w:tr>
        <w:trPr>
          <w:trHeight w:val="237"/>
        </w:trPr>
        <w:tc>
          <w:tcPr>
            <w:tcW w:w="86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of Shares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245,726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73,893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23.71</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249,888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Certain information regarding options exercised during the periods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140" w:type="dxa"/>
            <w:vAlign w:val="bottom"/>
            <w:gridSpan w:val="5"/>
          </w:tcPr>
          <w:p>
            <w:pPr>
              <w:jc w:val="right"/>
              <w:ind w:right="7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4"/>
          </w:tcPr>
          <w:p>
            <w:pPr>
              <w:jc w:val="right"/>
              <w:ind w:right="450"/>
              <w:spacing w:after="0"/>
              <w:rPr>
                <w:sz w:val="20"/>
                <w:szCs w:val="20"/>
                <w:color w:val="auto"/>
              </w:rPr>
            </w:pPr>
            <w:r>
              <w:rPr>
                <w:rFonts w:ascii="Arial" w:cs="Arial" w:eastAsia="Arial" w:hAnsi="Arial"/>
                <w:sz w:val="18"/>
                <w:szCs w:val="18"/>
                <w:color w:val="auto"/>
                <w:w w:val="97"/>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(In</w:t>
            </w:r>
          </w:p>
        </w:tc>
        <w:tc>
          <w:tcPr>
            <w:tcW w:w="1020" w:type="dxa"/>
            <w:vAlign w:val="bottom"/>
            <w:gridSpan w:val="3"/>
          </w:tcPr>
          <w:p>
            <w:pPr>
              <w:jc w:val="right"/>
              <w:ind w:right="310"/>
              <w:spacing w:after="0"/>
              <w:rPr>
                <w:sz w:val="20"/>
                <w:szCs w:val="20"/>
                <w:color w:val="auto"/>
              </w:rPr>
            </w:pPr>
            <w:r>
              <w:rPr>
                <w:rFonts w:ascii="Arial" w:cs="Arial" w:eastAsia="Arial" w:hAnsi="Arial"/>
                <w:sz w:val="17"/>
                <w:szCs w:val="17"/>
                <w:color w:val="auto"/>
                <w:w w:val="71"/>
              </w:rPr>
              <w:t>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210</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836</w:t>
            </w:r>
          </w:p>
        </w:tc>
      </w:tr>
      <w:tr>
        <w:trPr>
          <w:trHeight w:val="209"/>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proceeds received</w:t>
            </w:r>
          </w:p>
        </w:tc>
        <w:tc>
          <w:tcPr>
            <w:tcW w:w="80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695</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80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u w:val="single" w:color="auto"/>
          <w:color w:val="auto"/>
        </w:rPr>
        <w:t>Income Tax</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Income tax expense was $0.9 million and $2.2 million during the three month periods ended March 31, 2020 and 2019,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first quarters of 2020 and 2019 each include reductions of $0.2 million of income tax expense related to impact of the excess value of stock awards that vested and stock options that were exercised as compared to the initial fair values that were expensed.</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March 31, 2020, March 31, 2019 and December 31, 2019 that the realization of substantially all of our deferred tax assets continues to be more likely than not.</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At both March 31, 2020 and December 31, 2019, we had approximately $0.4 million, of gross unrecognized tax benefits. We do not expect the total amount of unrecognized tax benefits to significantly increase or decrease during the balance of 2020.</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March 31, 2020, the Bank had positive undivided profits of $41.6 million. It is not our intent to have dividends paid in amounts that would reduce the capital of our Bank to levels below those which we consider prudent and in accordance with guidelines of regulatory authorities.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March 31, 2020 and December 31, 2019, categorized our Bank as well capitalized. Management is not aware of any conditions or events that would have changed the most recent Federal Deposit Insurance Corporation (“FDIC”) categorization.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Our actual capital amounts and ratios follow (1):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90"/>
              <w:spacing w:after="0"/>
              <w:rPr>
                <w:sz w:val="20"/>
                <w:szCs w:val="20"/>
                <w:color w:val="auto"/>
              </w:rPr>
            </w:pPr>
            <w:r>
              <w:rPr>
                <w:rFonts w:ascii="Arial" w:cs="Arial" w:eastAsia="Arial" w:hAnsi="Arial"/>
                <w:sz w:val="18"/>
                <w:szCs w:val="18"/>
                <w:color w:val="auto"/>
                <w:w w:val="98"/>
              </w:rPr>
              <w:t>Minimum for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color w:val="auto"/>
                <w:w w:val="98"/>
              </w:rPr>
              <w:t>Minimum for</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Adequately Capitalized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Well-Capitalized</w:t>
            </w:r>
          </w:p>
        </w:tc>
      </w:tr>
      <w:tr>
        <w:trPr>
          <w:trHeight w:val="237"/>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color w:val="auto"/>
              </w:rPr>
              <w:t>Actual</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2"/>
              </w:rPr>
              <w:t>Institutions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5"/>
              </w:rPr>
              <w:t>Ratio</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Ratio</w:t>
            </w:r>
          </w:p>
        </w:tc>
        <w:tc>
          <w:tcPr>
            <w:tcW w:w="160" w:type="dxa"/>
            <w:vAlign w:val="bottom"/>
          </w:tcPr>
          <w:p>
            <w:pPr>
              <w:spacing w:after="0"/>
              <w:rPr>
                <w:sz w:val="19"/>
                <w:szCs w:val="19"/>
                <w:color w:val="auto"/>
              </w:rPr>
            </w:pPr>
          </w:p>
        </w:tc>
      </w:tr>
      <w:tr>
        <w:trPr>
          <w:trHeight w:val="230"/>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4"/>
          </w:tcPr>
          <w:p>
            <w:pPr>
              <w:jc w:val="center"/>
              <w:ind w:left="7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03"/>
        </w:trPr>
        <w:tc>
          <w:tcPr>
            <w:tcW w:w="3240" w:type="dxa"/>
            <w:vAlign w:val="bottom"/>
          </w:tcPr>
          <w:p>
            <w:pPr>
              <w:spacing w:after="0"/>
              <w:rPr>
                <w:sz w:val="20"/>
                <w:szCs w:val="20"/>
                <w:color w:val="auto"/>
              </w:rPr>
            </w:pPr>
            <w:r>
              <w:rPr>
                <w:rFonts w:ascii="Arial" w:cs="Arial" w:eastAsia="Arial" w:hAnsi="Arial"/>
                <w:sz w:val="18"/>
                <w:szCs w:val="18"/>
                <w:color w:val="auto"/>
              </w:rPr>
              <w:t>March 31, 2020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373,709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223,472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362,547</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223,405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279,256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339,553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167,604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328,391</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11.76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167,554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223,405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301,304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125,703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328,391</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11.76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125,665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181,516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339,553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141,089</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Independent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328,391</w:t>
            </w: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141,099</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176,373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380,454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221,562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358,914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221,482</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276,852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352,764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166,171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166,111</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221,482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equity tier 1 capital to risk-</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assets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314,532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124,628</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124,583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352,764</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139,632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80" w:type="dxa"/>
            <w:vAlign w:val="bottom"/>
            <w:gridSpan w:val="3"/>
          </w:tcPr>
          <w:p>
            <w:pPr>
              <w:jc w:val="center"/>
              <w:ind w:right="700"/>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139,615</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9" w:lineRule="exact"/>
        <w:rPr>
          <w:sz w:val="20"/>
          <w:szCs w:val="20"/>
          <w:color w:val="auto"/>
        </w:rPr>
      </w:pPr>
    </w:p>
    <w:p>
      <w:pPr>
        <w:ind w:right="360" w:firstLine="8"/>
        <w:spacing w:after="0" w:line="250" w:lineRule="auto"/>
        <w:tabs>
          <w:tab w:leader="none" w:pos="30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These ratios do not reflect a capital conservation buffer of 2.50% at March 31, 2020 and December 31, 2019, respectively. NA - Not applicable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our regulatory capital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jc w:val="right"/>
              <w:ind w:right="660"/>
              <w:spacing w:after="0"/>
              <w:rPr>
                <w:sz w:val="20"/>
                <w:szCs w:val="20"/>
                <w:color w:val="auto"/>
              </w:rPr>
            </w:pPr>
            <w:r>
              <w:rPr>
                <w:rFonts w:ascii="Arial" w:cs="Arial" w:eastAsia="Arial" w:hAnsi="Arial"/>
                <w:sz w:val="18"/>
                <w:szCs w:val="18"/>
                <w:color w:val="auto"/>
              </w:rPr>
              <w:t>Independent Bank</w:t>
            </w:r>
          </w:p>
        </w:tc>
      </w:tr>
      <w:tr>
        <w:trPr>
          <w:trHeight w:val="202"/>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w w:val="97"/>
              </w:rPr>
              <w:t>March 31,</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00"/>
              <w:spacing w:after="0" w:line="201" w:lineRule="exact"/>
              <w:rPr>
                <w:sz w:val="20"/>
                <w:szCs w:val="20"/>
                <w:color w:val="auto"/>
              </w:rPr>
            </w:pPr>
            <w:r>
              <w:rPr>
                <w:rFonts w:ascii="Arial" w:cs="Arial" w:eastAsia="Arial" w:hAnsi="Arial"/>
                <w:sz w:val="18"/>
                <w:szCs w:val="18"/>
                <w:color w:val="auto"/>
                <w:w w:val="94"/>
              </w:rPr>
              <w:t>March 31,</w:t>
            </w:r>
          </w:p>
        </w:tc>
        <w:tc>
          <w:tcPr>
            <w:tcW w:w="11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362,705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366,861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Add (deduct)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Accumulated other comprehensive (income) loss for regulatory purposes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Goodwill and other intangibles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(33,371)</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(33,626)</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(33,371)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(33,626)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Disallowed deferred tax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Common equity tier 1 capital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301,304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314,532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328,391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331,224</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Qualifying trust preferred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38,249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2"/>
        </w:trPr>
        <w:tc>
          <w:tcPr>
            <w:tcW w:w="5980" w:type="dxa"/>
            <w:vAlign w:val="bottom"/>
          </w:tcPr>
          <w:p>
            <w:pPr>
              <w:ind w:left="500"/>
              <w:spacing w:after="0" w:line="201" w:lineRule="exact"/>
              <w:rPr>
                <w:sz w:val="20"/>
                <w:szCs w:val="20"/>
                <w:color w:val="auto"/>
              </w:rPr>
            </w:pPr>
            <w:r>
              <w:rPr>
                <w:rFonts w:ascii="Arial" w:cs="Arial" w:eastAsia="Arial" w:hAnsi="Arial"/>
                <w:sz w:val="18"/>
                <w:szCs w:val="18"/>
                <w:color w:val="auto"/>
              </w:rPr>
              <w:t>Tier 1 capital</w:t>
            </w: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339,553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352,764</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328,391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331,224</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Allowance for loan losses and allowance for unfunded lending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ind w:left="500"/>
              <w:spacing w:after="0"/>
              <w:rPr>
                <w:sz w:val="20"/>
                <w:szCs w:val="20"/>
                <w:color w:val="auto"/>
              </w:rPr>
            </w:pPr>
            <w:r>
              <w:rPr>
                <w:rFonts w:ascii="Arial" w:cs="Arial" w:eastAsia="Arial" w:hAnsi="Arial"/>
                <w:sz w:val="18"/>
                <w:szCs w:val="18"/>
                <w:color w:val="auto"/>
              </w:rPr>
              <w:t>commitments limited to 1.25% of total risk-weighted assets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34,156</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27,690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34,156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27,690</w:t>
            </w:r>
          </w:p>
        </w:tc>
      </w:tr>
      <w:tr>
        <w:trPr>
          <w:trHeight w:val="256"/>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risk-based capital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373,709</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380,454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Fair Value Disclosures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standard describes three levels of inputs that may be used to measure fair value:</w:t>
      </w:r>
    </w:p>
    <w:p>
      <w:pPr>
        <w:spacing w:after="0" w:line="233"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213"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We used the following methods and significant assumptions to estimate fair value:</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u w:val="single" w:color="auto"/>
          <w:color w:val="auto"/>
        </w:rPr>
        <w:t>Securities</w:t>
      </w:r>
      <w:r>
        <w:rPr>
          <w:rFonts w:ascii="Arial" w:cs="Arial" w:eastAsia="Arial" w:hAnsi="Arial"/>
          <w:sz w:val="19"/>
          <w:szCs w:val="19"/>
          <w:color w:val="auto"/>
        </w:rPr>
        <w:t>: Where quoted market prices are available in an active market, securities available for sale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Loans held for sale</w:t>
      </w:r>
      <w:r>
        <w:rPr>
          <w:rFonts w:ascii="Arial" w:cs="Arial" w:eastAsia="Arial" w:hAnsi="Arial"/>
          <w:sz w:val="22"/>
          <w:szCs w:val="22"/>
          <w:color w:val="auto"/>
        </w:rPr>
        <w:t>: The fair value of mortgage loans held for sale, carried at fair value is based on agency cash window loan pricing for comparable assets (recurring Level 2).</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u w:val="single" w:color="auto"/>
          <w:color w:val="auto"/>
        </w:rPr>
        <w:t>Impaired loans with specific loss allocations based on collateral value</w:t>
      </w:r>
      <w:r>
        <w:rPr>
          <w:rFonts w:ascii="Arial" w:cs="Arial" w:eastAsia="Arial" w:hAnsi="Arial"/>
          <w:sz w:val="19"/>
          <w:szCs w:val="19"/>
          <w:color w:val="auto"/>
        </w:rPr>
        <w:t>: From time to time, certain loans are considered impaired and an allowance for loan losses is established. Loans for which it is probable that payment of interest and principal will not be made in accordance with the contractual terms of the loan agreement are considered impaired.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u w:val="single" w:color="auto"/>
          <w:color w:val="auto"/>
        </w:rPr>
        <w:t>Other real estate</w:t>
      </w:r>
      <w:r>
        <w:rPr>
          <w:rFonts w:ascii="Arial" w:cs="Arial" w:eastAsia="Arial" w:hAnsi="Arial"/>
          <w:sz w:val="21"/>
          <w:szCs w:val="21"/>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u w:val="single" w:color="auto"/>
          <w:color w:val="auto"/>
        </w:rPr>
        <w:t>Capitalized mortgage loan servicing rights</w:t>
      </w:r>
      <w:r>
        <w:rPr>
          <w:rFonts w:ascii="Arial" w:cs="Arial" w:eastAsia="Arial" w:hAnsi="Arial"/>
          <w:sz w:val="21"/>
          <w:szCs w:val="21"/>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Derivatives</w:t>
      </w:r>
      <w:r>
        <w:rPr>
          <w:rFonts w:ascii="Arial" w:cs="Arial" w:eastAsia="Arial" w:hAnsi="Arial"/>
          <w:sz w:val="22"/>
          <w:szCs w:val="22"/>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and interest rate cap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Assets and liabilities measured at fair value, including financial assets for which we have elected the fair value option,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Arial" w:cs="Arial" w:eastAsia="Arial" w:hAnsi="Arial"/>
                <w:sz w:val="18"/>
                <w:szCs w:val="18"/>
                <w:color w:val="auto"/>
                <w:w w:val="87"/>
              </w:rPr>
              <w:t>Quoted</w:t>
            </w: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7"/>
              </w:rPr>
              <w:t>Prices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9"/>
              </w:rPr>
              <w:t>in Active</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3"/>
              </w:rPr>
              <w:t>Markets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4"/>
              </w:rPr>
              <w:t>for</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Fair Value</w:t>
            </w: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5"/>
              </w:rPr>
              <w:t>Identical</w:t>
            </w:r>
          </w:p>
        </w:tc>
        <w:tc>
          <w:tcPr>
            <w:tcW w:w="2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Measure-</w:t>
            </w: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88"/>
              </w:rPr>
              <w:t>Assets</w:t>
            </w:r>
          </w:p>
        </w:tc>
        <w:tc>
          <w:tcPr>
            <w:tcW w:w="2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ments</w:t>
            </w:r>
          </w:p>
        </w:tc>
        <w:tc>
          <w:tcPr>
            <w:tcW w:w="16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color w:val="auto"/>
                <w:w w:val="97"/>
              </w:rPr>
              <w:t>(Level 1)</w:t>
            </w:r>
          </w:p>
        </w:tc>
        <w:tc>
          <w:tcPr>
            <w:tcW w:w="22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March 31, 2020:</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12,828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221,829</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221,829</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37,071</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37,071</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103,881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103,881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163,941</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163,941</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42,811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42,811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1,491</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64,549</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64,549</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14,829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Derivatives (1)</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17,610</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17,610</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Derivatives (2)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15,286</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15,286</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Impaired loans (3)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1,720</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12,747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jumbo</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non-owner occupied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1-4 family - 2nd lien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Resort lending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Boat lending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Recreational vehicle lending</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Other real estate (4)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4"/>
              </w:rPr>
              <w:t>Mortgage - 1-4 family owner occupied - non-jumbo</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Included in accrued income and other assets</w:t>
      </w:r>
    </w:p>
    <w:p>
      <w:pPr>
        <w:spacing w:after="0" w:line="8"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Included in accrued expenses and other liabilities</w:t>
      </w:r>
    </w:p>
    <w:p>
      <w:pPr>
        <w:ind w:left="320" w:hanging="312"/>
        <w:spacing w:after="0" w:line="230" w:lineRule="auto"/>
        <w:tabs>
          <w:tab w:leader="none" w:pos="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Only includes impaired loans with specific loss allocations based on collateral value.</w:t>
      </w:r>
    </w:p>
    <w:p>
      <w:pPr>
        <w:ind w:right="360" w:firstLine="8"/>
        <w:spacing w:after="0" w:line="308" w:lineRule="auto"/>
        <w:tabs>
          <w:tab w:leader="none" w:pos="306" w:val="left"/>
        </w:tabs>
        <w:numPr>
          <w:ilvl w:val="0"/>
          <w:numId w:val="15"/>
        </w:numPr>
        <w:rPr>
          <w:rFonts w:ascii="Arial" w:cs="Arial" w:eastAsia="Arial" w:hAnsi="Arial"/>
          <w:sz w:val="19"/>
          <w:szCs w:val="19"/>
          <w:color w:val="auto"/>
        </w:rPr>
      </w:pPr>
      <w:r>
        <w:rPr>
          <w:rFonts w:ascii="Arial" w:cs="Arial" w:eastAsia="Arial" w:hAnsi="Arial"/>
          <w:sz w:val="19"/>
          <w:szCs w:val="19"/>
          <w:color w:val="auto"/>
        </w:rPr>
        <w:t>Only includes other real estate with subsequent write downs to fair value. The fair value of the commercial real estate property included in this table was based on a purchase agreement that is expected to close during the second quarter of 2020.</w:t>
      </w:r>
    </w:p>
    <w:p>
      <w:pPr>
        <w:sectPr>
          <w:pgSz w:w="11900" w:h="16838" w:orient="portrait"/>
          <w:cols w:equalWidth="0" w:num="1">
            <w:col w:w="11240"/>
          </w:cols>
          <w:pgMar w:left="320" w:top="122" w:right="33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Fair Value Measurements Using</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jc w:val="center"/>
              <w:ind w:left="52"/>
              <w:spacing w:after="0" w:line="201" w:lineRule="exact"/>
              <w:rPr>
                <w:sz w:val="20"/>
                <w:szCs w:val="20"/>
                <w:color w:val="auto"/>
              </w:rPr>
            </w:pPr>
            <w:r>
              <w:rPr>
                <w:rFonts w:ascii="Arial" w:cs="Arial" w:eastAsia="Arial" w:hAnsi="Arial"/>
                <w:sz w:val="18"/>
                <w:szCs w:val="18"/>
                <w:color w:val="auto"/>
                <w:w w:val="87"/>
              </w:rPr>
              <w:t>Quoted</w:t>
            </w:r>
          </w:p>
        </w:tc>
        <w:tc>
          <w:tcPr>
            <w:tcW w:w="4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99"/>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93"/>
              </w:rPr>
              <w:t>Markets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Significant</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Fair Value</w:t>
            </w: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95"/>
              </w:rPr>
              <w:t>Identical</w:t>
            </w:r>
          </w:p>
        </w:tc>
        <w:tc>
          <w:tcPr>
            <w:tcW w:w="48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Measure-</w:t>
            </w: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88"/>
              </w:rPr>
              <w:t>Assets</w:t>
            </w:r>
          </w:p>
        </w:tc>
        <w:tc>
          <w:tcPr>
            <w:tcW w:w="48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89"/>
              </w:rPr>
              <w:t>Inputs</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ments</w:t>
            </w:r>
          </w:p>
        </w:tc>
        <w:tc>
          <w:tcPr>
            <w:tcW w:w="980" w:type="dxa"/>
            <w:vAlign w:val="bottom"/>
          </w:tcPr>
          <w:p>
            <w:pPr>
              <w:jc w:val="center"/>
              <w:ind w:left="52"/>
              <w:spacing w:after="0"/>
              <w:rPr>
                <w:sz w:val="20"/>
                <w:szCs w:val="20"/>
                <w:color w:val="auto"/>
              </w:rPr>
            </w:pPr>
            <w:r>
              <w:rPr>
                <w:rFonts w:ascii="Arial" w:cs="Arial" w:eastAsia="Arial" w:hAnsi="Arial"/>
                <w:sz w:val="18"/>
                <w:szCs w:val="18"/>
                <w:color w:val="auto"/>
                <w:w w:val="97"/>
              </w:rPr>
              <w:t>(Level 1)</w:t>
            </w:r>
          </w:p>
        </w:tc>
        <w:tc>
          <w:tcPr>
            <w:tcW w:w="48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3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December 31, 2019:</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tcBorders>
              <w:top w:val="single" w:sz="8" w:color="auto"/>
            </w:tcBorders>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rPr>
              <w:t>Measured at Fair Value on a Recurring Basis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14,661</w:t>
            </w:r>
          </w:p>
        </w:tc>
        <w:tc>
          <w:tcPr>
            <w:tcW w:w="980" w:type="dxa"/>
            <w:vAlign w:val="bottom"/>
            <w:shd w:val="clear" w:color="auto" w:fill="CCEEFF"/>
          </w:tcPr>
          <w:p>
            <w:pPr>
              <w:jc w:val="right"/>
              <w:ind w:right="81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227,762</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227,762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10,756</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39,693</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39,693</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93,886</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93,886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96,102</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96,102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33,195</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1,843</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Foreign government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502</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Loans held for sale, carried at fair value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69,800</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69,800</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19,171</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Derivatives (1)</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5,464</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5,464</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Derivatives (2)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4,402</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Impaired loans (3)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655</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owner occupied - jumbo</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470</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1-4 family non-owner occupied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1-4 family - 2nd lien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294</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Resort lending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Boat lending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980" w:type="dxa"/>
            <w:vAlign w:val="bottom"/>
            <w:gridSpan w:val="2"/>
          </w:tcPr>
          <w:p>
            <w:pPr>
              <w:ind w:left="660"/>
              <w:spacing w:after="0"/>
              <w:rPr>
                <w:sz w:val="20"/>
                <w:szCs w:val="20"/>
                <w:color w:val="auto"/>
              </w:rPr>
            </w:pPr>
            <w:r>
              <w:rPr>
                <w:rFonts w:ascii="Arial" w:cs="Arial" w:eastAsia="Arial" w:hAnsi="Arial"/>
                <w:sz w:val="18"/>
                <w:szCs w:val="18"/>
                <w:color w:val="auto"/>
              </w:rPr>
              <w:t>Recreational vehicle lending</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Other real estate (4)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Mortgage - 1-4 family owner occupied - non-jumbo</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Installment - other</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Included in accrued income and other assets</w:t>
      </w:r>
    </w:p>
    <w:p>
      <w:pPr>
        <w:spacing w:after="0" w:line="8"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Included in accrued expenses and other liabilities</w:t>
      </w:r>
    </w:p>
    <w:p>
      <w:pPr>
        <w:ind w:left="320" w:hanging="312"/>
        <w:spacing w:after="0" w:line="230" w:lineRule="auto"/>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Only includes impaired loans with specific loss allocations based on collateral value.</w:t>
      </w: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Only includes other real estate with subsequent write downs to fair value.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Changes in fair values for financial assets which we have elected the fair value option for the periods presented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8"/>
          </w:tcPr>
          <w:p>
            <w:pPr>
              <w:jc w:val="center"/>
              <w:ind w:right="260"/>
              <w:spacing w:after="0"/>
              <w:rPr>
                <w:sz w:val="20"/>
                <w:szCs w:val="20"/>
                <w:color w:val="auto"/>
              </w:rPr>
            </w:pPr>
            <w:r>
              <w:rPr>
                <w:rFonts w:ascii="Arial" w:cs="Arial" w:eastAsia="Arial" w:hAnsi="Arial"/>
                <w:sz w:val="18"/>
                <w:szCs w:val="18"/>
                <w:color w:val="auto"/>
                <w:w w:val="90"/>
              </w:rPr>
              <w:t>Changes in Fair Values for the Three-Month Periods</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gridSpan w:val="8"/>
          </w:tcPr>
          <w:p>
            <w:pPr>
              <w:jc w:val="center"/>
              <w:ind w:right="260"/>
              <w:spacing w:after="0"/>
              <w:rPr>
                <w:sz w:val="20"/>
                <w:szCs w:val="20"/>
                <w:color w:val="auto"/>
              </w:rPr>
            </w:pPr>
            <w:r>
              <w:rPr>
                <w:rFonts w:ascii="Arial" w:cs="Arial" w:eastAsia="Arial" w:hAnsi="Arial"/>
                <w:sz w:val="18"/>
                <w:szCs w:val="18"/>
                <w:color w:val="auto"/>
                <w:w w:val="90"/>
              </w:rPr>
              <w:t>Ended March 31 for Items Measured at Fair Value</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6"/>
          </w:tcPr>
          <w:p>
            <w:pPr>
              <w:jc w:val="center"/>
              <w:ind w:left="690"/>
              <w:spacing w:after="0"/>
              <w:rPr>
                <w:sz w:val="20"/>
                <w:szCs w:val="20"/>
                <w:color w:val="auto"/>
              </w:rPr>
            </w:pPr>
            <w:r>
              <w:rPr>
                <w:rFonts w:ascii="Arial" w:cs="Arial" w:eastAsia="Arial" w:hAnsi="Arial"/>
                <w:sz w:val="18"/>
                <w:szCs w:val="18"/>
                <w:color w:val="auto"/>
                <w:w w:val="91"/>
              </w:rPr>
              <w:t>Pursuant to Election of the Fair Value Option</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in Fair</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Values</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right"/>
              <w:ind w:right="680"/>
              <w:spacing w:after="0"/>
              <w:rPr>
                <w:sz w:val="20"/>
                <w:szCs w:val="20"/>
                <w:color w:val="auto"/>
              </w:rPr>
            </w:pPr>
            <w:r>
              <w:rPr>
                <w:rFonts w:ascii="Arial" w:cs="Arial" w:eastAsia="Arial" w:hAnsi="Arial"/>
                <w:sz w:val="18"/>
                <w:szCs w:val="18"/>
                <w:color w:val="auto"/>
              </w:rPr>
              <w:t>Net Gains (Losses)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Included</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4"/>
          </w:tcPr>
          <w:p>
            <w:pPr>
              <w:jc w:val="right"/>
              <w:ind w:right="1020"/>
              <w:spacing w:after="0"/>
              <w:rPr>
                <w:sz w:val="20"/>
                <w:szCs w:val="20"/>
                <w:color w:val="auto"/>
              </w:rPr>
            </w:pPr>
            <w:r>
              <w:rPr>
                <w:rFonts w:ascii="Arial" w:cs="Arial" w:eastAsia="Arial" w:hAnsi="Arial"/>
                <w:sz w:val="18"/>
                <w:szCs w:val="18"/>
                <w:color w:val="auto"/>
              </w:rPr>
              <w:t>on Assets</w:t>
            </w:r>
          </w:p>
        </w:tc>
        <w:tc>
          <w:tcPr>
            <w:tcW w:w="240" w:type="dxa"/>
            <w:vAlign w:val="bottom"/>
          </w:tcPr>
          <w:p>
            <w:pPr>
              <w:spacing w:after="0"/>
              <w:rPr>
                <w:sz w:val="20"/>
                <w:szCs w:val="20"/>
                <w:color w:val="auto"/>
              </w:rPr>
            </w:pPr>
          </w:p>
        </w:tc>
        <w:tc>
          <w:tcPr>
            <w:tcW w:w="1360" w:type="dxa"/>
            <w:vAlign w:val="bottom"/>
          </w:tcPr>
          <w:p>
            <w:pPr>
              <w:jc w:val="center"/>
              <w:ind w:right="450"/>
              <w:spacing w:after="0"/>
              <w:rPr>
                <w:sz w:val="20"/>
                <w:szCs w:val="20"/>
                <w:color w:val="auto"/>
              </w:rPr>
            </w:pPr>
            <w:r>
              <w:rPr>
                <w:rFonts w:ascii="Arial" w:cs="Arial" w:eastAsia="Arial" w:hAnsi="Arial"/>
                <w:sz w:val="18"/>
                <w:szCs w:val="18"/>
                <w:color w:val="auto"/>
                <w:w w:val="92"/>
              </w:rPr>
              <w:t>Mortgage</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 Current</w:t>
            </w: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w w:val="97"/>
              </w:rPr>
              <w:t>Mortgage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ind w:right="430"/>
              <w:spacing w:after="0" w:line="201" w:lineRule="exact"/>
              <w:rPr>
                <w:sz w:val="20"/>
                <w:szCs w:val="20"/>
                <w:color w:val="auto"/>
              </w:rPr>
            </w:pPr>
            <w:r>
              <w:rPr>
                <w:rFonts w:ascii="Arial" w:cs="Arial" w:eastAsia="Arial" w:hAnsi="Arial"/>
                <w:sz w:val="18"/>
                <w:szCs w:val="18"/>
                <w:color w:val="auto"/>
                <w:w w:val="89"/>
              </w:rPr>
              <w:t>Loan</w:t>
            </w:r>
          </w:p>
        </w:tc>
        <w:tc>
          <w:tcPr>
            <w:tcW w:w="104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w w:val="96"/>
              </w:rPr>
              <w:t>Securities</w:t>
            </w:r>
          </w:p>
        </w:tc>
        <w:tc>
          <w:tcPr>
            <w:tcW w:w="2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Loans</w:t>
            </w:r>
          </w:p>
        </w:tc>
        <w:tc>
          <w:tcPr>
            <w:tcW w:w="1600" w:type="dxa"/>
            <w:vAlign w:val="bottom"/>
            <w:gridSpan w:val="2"/>
          </w:tcPr>
          <w:p>
            <w:pPr>
              <w:jc w:val="center"/>
              <w:ind w:right="190"/>
              <w:spacing w:after="0"/>
              <w:rPr>
                <w:sz w:val="20"/>
                <w:szCs w:val="20"/>
                <w:color w:val="auto"/>
              </w:rPr>
            </w:pPr>
            <w:r>
              <w:rPr>
                <w:rFonts w:ascii="Arial" w:cs="Arial" w:eastAsia="Arial" w:hAnsi="Arial"/>
                <w:sz w:val="18"/>
                <w:szCs w:val="18"/>
                <w:color w:val="auto"/>
                <w:w w:val="91"/>
              </w:rPr>
              <w:t>Servicing, net</w:t>
            </w: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Earnings</w:t>
            </w: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700" w:type="dxa"/>
            <w:vAlign w:val="bottom"/>
            <w:tcBorders>
              <w:top w:val="single" w:sz="8" w:color="auto"/>
            </w:tcBorders>
            <w:gridSpan w:val="4"/>
          </w:tcPr>
          <w:p>
            <w:pPr>
              <w:jc w:val="center"/>
              <w:ind w:right="490"/>
              <w:spacing w:after="0"/>
              <w:rPr>
                <w:sz w:val="20"/>
                <w:szCs w:val="20"/>
                <w:color w:val="auto"/>
              </w:rPr>
            </w:pPr>
            <w:r>
              <w:rPr>
                <w:rFonts w:ascii="Arial" w:cs="Arial" w:eastAsia="Arial" w:hAnsi="Arial"/>
                <w:sz w:val="18"/>
                <w:szCs w:val="18"/>
                <w:color w:val="auto"/>
                <w:w w:val="90"/>
              </w:rPr>
              <w:t>(In thousands)</w:t>
            </w: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(6,974)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(6,974)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securities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(2,691)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represent impairment charges recognized during the three month periods ended March 31, 2020 and 2019 relating to assets measured at fair value on a non-recurring basis:</w:t>
      </w:r>
    </w:p>
    <w:p>
      <w:pPr>
        <w:spacing w:after="0" w:line="209" w:lineRule="exact"/>
        <w:rPr>
          <w:sz w:val="20"/>
          <w:szCs w:val="20"/>
          <w:color w:val="auto"/>
        </w:rPr>
      </w:pPr>
    </w:p>
    <w:p>
      <w:pPr>
        <w:jc w:val="both"/>
        <w:ind w:left="660" w:hanging="328"/>
        <w:spacing w:after="0" w:line="28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Loans which are measured for impairment using the fair value of collateral for collateral dependent loans had a carrying amount of $16.6 million, which is net of a valuation allowance of $4.1 million at March 31, 2020, and had a carrying amount of $3.4 million, which is net of a valuation allowance of $1.5 million at December 31, 2019. The provision for loan losses included in our results of operations relating to impaired loans was an expense of $2.4 million and $0.5 million during the three month periods ended March 31, 2020 and 2019, respectively.</w:t>
      </w:r>
    </w:p>
    <w:p>
      <w:pPr>
        <w:spacing w:after="0" w:line="1"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$0.50 million which is net of a valuation allowance of $0.16 million at March 31, 2020, and a carrying amount of $0.06 million which is net of a valuation allowance of $0.09 million, at December 31, 2019. An additional charge relating to other real estate measured at fair value of $0.09 million and $0.12 million was included in our results of operations during the three month periods ended March 31, 2020 and 2019,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A reconciliation for all assets measured at fair value on a recurring basis using significant unobservable inputs (Level 3)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Capitalized Mortgage Loan</w:t>
            </w:r>
          </w:p>
        </w:tc>
      </w:tr>
      <w:tr>
        <w:trPr>
          <w:trHeight w:val="237"/>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Servicing Rights</w:t>
            </w:r>
          </w:p>
        </w:tc>
      </w:tr>
      <w:tr>
        <w:trPr>
          <w:trHeight w:val="202"/>
        </w:trPr>
        <w:tc>
          <w:tcPr>
            <w:tcW w:w="86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center"/>
              <w:ind w:right="90"/>
              <w:spacing w:after="0" w:line="201"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19,171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gains (losses) realized and unrealized: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Included in results of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(6,974)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Included in other comprehensive income (loss)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issuances, settlements, maturities and calls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Amount of total gains (losses) for the period included in earnings attributable to the change in unrealized gains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relating to assets and liabilities still held at March 31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(6,974)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four of these assumptions in isolation would result in significant changes to the value of our capitalized mortgage loan servicing rights. Quantitative information about our Level 3 fair value measurements measured on a recurring basis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Asset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120" w:type="dxa"/>
            <w:vAlign w:val="bottom"/>
          </w:tcPr>
          <w:p>
            <w:pPr>
              <w:spacing w:after="0"/>
              <w:rPr>
                <w:sz w:val="18"/>
                <w:szCs w:val="18"/>
                <w:color w:val="auto"/>
              </w:rPr>
            </w:pPr>
          </w:p>
        </w:tc>
        <w:tc>
          <w:tcPr>
            <w:tcW w:w="1660" w:type="dxa"/>
            <w:vAlign w:val="bottom"/>
          </w:tcPr>
          <w:p>
            <w:pPr>
              <w:ind w:left="320"/>
              <w:spacing w:after="0"/>
              <w:rPr>
                <w:sz w:val="20"/>
                <w:szCs w:val="20"/>
                <w:color w:val="auto"/>
              </w:rPr>
            </w:pPr>
            <w:r>
              <w:rPr>
                <w:rFonts w:ascii="Arial" w:cs="Arial" w:eastAsia="Arial" w:hAnsi="Arial"/>
                <w:sz w:val="18"/>
                <w:szCs w:val="18"/>
                <w:color w:val="auto"/>
              </w:rPr>
              <w:t>Unobservable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Weighted</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120" w:type="dxa"/>
            <w:vAlign w:val="bottom"/>
          </w:tcPr>
          <w:p>
            <w:pPr>
              <w:spacing w:after="0"/>
              <w:rPr>
                <w:sz w:val="20"/>
                <w:szCs w:val="20"/>
                <w:color w:val="auto"/>
              </w:rPr>
            </w:pPr>
          </w:p>
        </w:tc>
        <w:tc>
          <w:tcPr>
            <w:tcW w:w="1660" w:type="dxa"/>
            <w:vAlign w:val="bottom"/>
          </w:tcPr>
          <w:p>
            <w:pPr>
              <w:ind w:left="60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Range</w:t>
            </w:r>
          </w:p>
        </w:tc>
        <w:tc>
          <w:tcPr>
            <w:tcW w:w="14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30"/>
        </w:trPr>
        <w:tc>
          <w:tcPr>
            <w:tcW w:w="348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(In thousands)</w:t>
            </w:r>
          </w:p>
        </w:tc>
        <w:tc>
          <w:tcPr>
            <w:tcW w:w="10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Capitalized mortgage loan servicing rights</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14,829</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Present value of net</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10.00% to 13.00%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servicing revenue</w:t>
            </w: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Cost to service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72 to $201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Float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Prepayment rate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7.02% to 34.00%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December 31, 2019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Capitalized mortgage loan servicing rights</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Present value of net</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10.00% to 13.00%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servicing revenue</w:t>
            </w: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Cost to service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66 to $316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Ancillary income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 to 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Float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Prepayment rate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7.01% to 69.34%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595"/>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jc w:val="right"/>
              <w:ind w:right="833"/>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Quantitative information about Level 3 fair value measurements measured on a non-recurring basis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Asset</w:t>
            </w: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Fair</w:t>
            </w:r>
          </w:p>
        </w:tc>
        <w:tc>
          <w:tcPr>
            <w:tcW w:w="6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Valuation</w:t>
            </w:r>
          </w:p>
        </w:tc>
        <w:tc>
          <w:tcPr>
            <w:tcW w:w="1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Weighted</w:t>
            </w:r>
          </w:p>
        </w:tc>
      </w:tr>
      <w:tr>
        <w:trPr>
          <w:trHeight w:val="237"/>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Value</w:t>
            </w:r>
          </w:p>
        </w:tc>
        <w:tc>
          <w:tcPr>
            <w:tcW w:w="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7"/>
              </w:rPr>
              <w:t>Technique</w:t>
            </w:r>
          </w:p>
        </w:tc>
        <w:tc>
          <w:tcPr>
            <w:tcW w:w="1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Inputs</w:t>
            </w:r>
          </w:p>
        </w:tc>
        <w:tc>
          <w:tcPr>
            <w:tcW w:w="1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Range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Average</w:t>
            </w:r>
          </w:p>
        </w:tc>
      </w:tr>
      <w:tr>
        <w:trPr>
          <w:trHeight w:val="202"/>
        </w:trPr>
        <w:tc>
          <w:tcPr>
            <w:tcW w:w="3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(In thousands)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Impaired loans</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2"/>
        </w:trPr>
        <w:tc>
          <w:tcPr>
            <w:tcW w:w="33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(48.0)% to</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32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14,467</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Sales comparison approach</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between comparable sales</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7.75% to</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approach</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Capitalization rate</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r>
      <w:tr>
        <w:trPr>
          <w:trHeight w:val="202"/>
        </w:trPr>
        <w:tc>
          <w:tcPr>
            <w:tcW w:w="33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Mortgage and Installment(1)</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Adjustment for differences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2,135</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w w:val="93"/>
              </w:rPr>
              <w:t>Sales comparison approach</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w w:val="98"/>
              </w:rPr>
              <w:t>between comparable sales</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(13.0) to 49.2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r>
      <w:tr>
        <w:trPr>
          <w:trHeight w:val="216"/>
        </w:trPr>
        <w:tc>
          <w:tcPr>
            <w:tcW w:w="3320" w:type="dxa"/>
            <w:vAlign w:val="bottom"/>
            <w:gridSpan w:val="2"/>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Other real estate</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33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Sales comparison approach</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between comparable sales</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(16.1) to 10.6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3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Impaired loans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33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Commercial</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(48.0)% to</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32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Sales comparison approach</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between comparable sales</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3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33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Mortgage and Installment(1)</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differences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(25.2)% to</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3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2,467</w:t>
            </w:r>
          </w:p>
        </w:tc>
        <w:tc>
          <w:tcPr>
            <w:tcW w:w="2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Sales comparison approach</w:t>
            </w:r>
          </w:p>
        </w:tc>
        <w:tc>
          <w:tcPr>
            <w:tcW w:w="2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between comparable sales</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r>
      <w:tr>
        <w:trPr>
          <w:trHeight w:val="216"/>
        </w:trPr>
        <w:tc>
          <w:tcPr>
            <w:tcW w:w="3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real estate</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2"/>
        </w:trPr>
        <w:tc>
          <w:tcPr>
            <w:tcW w:w="33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Mortgage and Installment</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Adjustment for differences</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(11.6)% to</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w w:val="93"/>
              </w:rPr>
              <w:t>Sales comparison approach</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w w:val="98"/>
              </w:rPr>
              <w:t>between comparable sales</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March 31, 2020 and December 31, 2019 certain impaired collateral dependent installment loans totaling approximately $0.25 million and $0.14 million, respectively are secured by collateral other than real estate. For the majority of these loans, we apply internal discount rates to industry valuation guides.</w:t>
      </w:r>
    </w:p>
    <w:p>
      <w:pPr>
        <w:spacing w:after="0" w:line="203"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Difference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30"/>
        </w:trPr>
        <w:tc>
          <w:tcPr>
            <w:tcW w:w="356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37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60" w:type="dxa"/>
            <w:vAlign w:val="bottom"/>
            <w:vMerge w:val="continue"/>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2020</w:t>
            </w:r>
          </w:p>
        </w:tc>
        <w:tc>
          <w:tcPr>
            <w:tcW w:w="3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62,132</w:t>
            </w: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December 31, 2019</w:t>
            </w: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69,800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67,906</w:t>
            </w:r>
          </w:p>
        </w:tc>
        <w:tc>
          <w:tcPr>
            <w:tcW w:w="0" w:type="dxa"/>
            <w:vAlign w:val="bottom"/>
          </w:tcPr>
          <w:p>
            <w:pPr>
              <w:spacing w:after="0"/>
              <w:rPr>
                <w:sz w:val="1"/>
                <w:szCs w:val="1"/>
                <w:color w:val="auto"/>
              </w:rPr>
            </w:pPr>
          </w:p>
        </w:tc>
      </w:tr>
      <w:tr>
        <w:trPr>
          <w:trHeight w:val="581"/>
        </w:trPr>
        <w:tc>
          <w:tcPr>
            <w:tcW w:w="3560" w:type="dxa"/>
            <w:vAlign w:val="bottom"/>
          </w:tcPr>
          <w:p>
            <w:pPr>
              <w:spacing w:after="0"/>
              <w:rPr>
                <w:sz w:val="24"/>
                <w:szCs w:val="24"/>
                <w:color w:val="auto"/>
              </w:rPr>
            </w:pPr>
          </w:p>
        </w:tc>
        <w:tc>
          <w:tcPr>
            <w:tcW w:w="3760" w:type="dxa"/>
            <w:vAlign w:val="bottom"/>
          </w:tcPr>
          <w:p>
            <w:pPr>
              <w:jc w:val="right"/>
              <w:ind w:right="1539"/>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56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Fair Values of Financial Instruments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estimated recorded book balances and fair values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3"/>
              </w:rPr>
              <w:t>Fair Value Using</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210"/>
              <w:spacing w:after="0" w:line="201" w:lineRule="exact"/>
              <w:rPr>
                <w:sz w:val="20"/>
                <w:szCs w:val="20"/>
                <w:color w:val="auto"/>
              </w:rPr>
            </w:pPr>
            <w:r>
              <w:rPr>
                <w:rFonts w:ascii="Arial" w:cs="Arial" w:eastAsia="Arial" w:hAnsi="Arial"/>
                <w:sz w:val="18"/>
                <w:szCs w:val="18"/>
                <w:color w:val="auto"/>
                <w:w w:val="87"/>
              </w:rPr>
              <w:t>Quoted</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470"/>
              <w:spacing w:after="0"/>
              <w:rPr>
                <w:sz w:val="20"/>
                <w:szCs w:val="20"/>
                <w:color w:val="auto"/>
              </w:rPr>
            </w:pPr>
            <w:r>
              <w:rPr>
                <w:rFonts w:ascii="Arial" w:cs="Arial" w:eastAsia="Arial" w:hAnsi="Arial"/>
                <w:sz w:val="18"/>
                <w:szCs w:val="18"/>
                <w:color w:val="auto"/>
                <w:w w:val="87"/>
              </w:rPr>
              <w:t>Prices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90"/>
              <w:spacing w:after="0"/>
              <w:rPr>
                <w:sz w:val="20"/>
                <w:szCs w:val="20"/>
                <w:color w:val="auto"/>
              </w:rPr>
            </w:pPr>
            <w:r>
              <w:rPr>
                <w:rFonts w:ascii="Arial" w:cs="Arial" w:eastAsia="Arial" w:hAnsi="Arial"/>
                <w:sz w:val="18"/>
                <w:szCs w:val="18"/>
                <w:color w:val="auto"/>
                <w:w w:val="96"/>
              </w:rPr>
              <w:t>in Active</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10"/>
              <w:spacing w:after="0"/>
              <w:rPr>
                <w:sz w:val="20"/>
                <w:szCs w:val="20"/>
                <w:color w:val="auto"/>
              </w:rPr>
            </w:pPr>
            <w:r>
              <w:rPr>
                <w:rFonts w:ascii="Arial" w:cs="Arial" w:eastAsia="Arial" w:hAnsi="Arial"/>
                <w:sz w:val="18"/>
                <w:szCs w:val="18"/>
                <w:color w:val="auto"/>
                <w:w w:val="93"/>
              </w:rPr>
              <w:t>Markets</w:t>
            </w: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color w:val="auto"/>
                <w:w w:val="93"/>
              </w:rPr>
              <w:t>Significant</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470"/>
              <w:spacing w:after="0"/>
              <w:rPr>
                <w:sz w:val="20"/>
                <w:szCs w:val="20"/>
                <w:color w:val="auto"/>
              </w:rPr>
            </w:pPr>
            <w:r>
              <w:rPr>
                <w:rFonts w:ascii="Arial" w:cs="Arial" w:eastAsia="Arial" w:hAnsi="Arial"/>
                <w:sz w:val="18"/>
                <w:szCs w:val="18"/>
                <w:color w:val="auto"/>
                <w:w w:val="94"/>
              </w:rPr>
              <w:t>for</w:t>
            </w:r>
          </w:p>
        </w:tc>
        <w:tc>
          <w:tcPr>
            <w:tcW w:w="300" w:type="dxa"/>
            <w:vAlign w:val="bottom"/>
          </w:tcPr>
          <w:p>
            <w:pPr>
              <w:spacing w:after="0"/>
              <w:rPr>
                <w:sz w:val="18"/>
                <w:szCs w:val="18"/>
                <w:color w:val="auto"/>
              </w:rPr>
            </w:pPr>
          </w:p>
        </w:tc>
        <w:tc>
          <w:tcPr>
            <w:tcW w:w="1100" w:type="dxa"/>
            <w:vAlign w:val="bottom"/>
          </w:tcPr>
          <w:p>
            <w:pPr>
              <w:jc w:val="center"/>
              <w:ind w:right="510"/>
              <w:spacing w:after="0"/>
              <w:rPr>
                <w:sz w:val="20"/>
                <w:szCs w:val="20"/>
                <w:color w:val="auto"/>
              </w:rPr>
            </w:pPr>
            <w:r>
              <w:rPr>
                <w:rFonts w:ascii="Arial" w:cs="Arial" w:eastAsia="Arial" w:hAnsi="Arial"/>
                <w:sz w:val="18"/>
                <w:szCs w:val="18"/>
                <w:color w:val="auto"/>
                <w:w w:val="93"/>
              </w:rPr>
              <w:t>Other</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Recorded</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210"/>
              <w:spacing w:after="0"/>
              <w:rPr>
                <w:sz w:val="20"/>
                <w:szCs w:val="20"/>
                <w:color w:val="auto"/>
              </w:rPr>
            </w:pPr>
            <w:r>
              <w:rPr>
                <w:rFonts w:ascii="Arial" w:cs="Arial" w:eastAsia="Arial" w:hAnsi="Arial"/>
                <w:sz w:val="18"/>
                <w:szCs w:val="18"/>
                <w:color w:val="auto"/>
                <w:w w:val="95"/>
              </w:rPr>
              <w:t>Identical</w:t>
            </w: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color w:val="auto"/>
                <w:w w:val="89"/>
              </w:rPr>
              <w:t>Observable</w:t>
            </w:r>
          </w:p>
        </w:tc>
        <w:tc>
          <w:tcPr>
            <w:tcW w:w="2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observable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Book</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right="470"/>
              <w:spacing w:after="0"/>
              <w:rPr>
                <w:sz w:val="20"/>
                <w:szCs w:val="20"/>
                <w:color w:val="auto"/>
              </w:rPr>
            </w:pPr>
            <w:r>
              <w:rPr>
                <w:rFonts w:ascii="Arial" w:cs="Arial" w:eastAsia="Arial" w:hAnsi="Arial"/>
                <w:sz w:val="18"/>
                <w:szCs w:val="18"/>
                <w:color w:val="auto"/>
                <w:w w:val="88"/>
              </w:rPr>
              <w:t>Assets</w:t>
            </w:r>
          </w:p>
        </w:tc>
        <w:tc>
          <w:tcPr>
            <w:tcW w:w="300" w:type="dxa"/>
            <w:vAlign w:val="bottom"/>
          </w:tcPr>
          <w:p>
            <w:pPr>
              <w:spacing w:after="0"/>
              <w:rPr>
                <w:sz w:val="18"/>
                <w:szCs w:val="18"/>
                <w:color w:val="auto"/>
              </w:rPr>
            </w:pPr>
          </w:p>
        </w:tc>
        <w:tc>
          <w:tcPr>
            <w:tcW w:w="1100" w:type="dxa"/>
            <w:vAlign w:val="bottom"/>
          </w:tcPr>
          <w:p>
            <w:pPr>
              <w:jc w:val="center"/>
              <w:ind w:right="510"/>
              <w:spacing w:after="0"/>
              <w:rPr>
                <w:sz w:val="20"/>
                <w:szCs w:val="20"/>
                <w:color w:val="auto"/>
              </w:rPr>
            </w:pPr>
            <w:r>
              <w:rPr>
                <w:rFonts w:ascii="Arial" w:cs="Arial" w:eastAsia="Arial" w:hAnsi="Arial"/>
                <w:sz w:val="18"/>
                <w:szCs w:val="18"/>
                <w:color w:val="auto"/>
                <w:w w:val="93"/>
              </w:rPr>
              <w:t>Inputs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Balance</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Fair Value</w:t>
            </w:r>
          </w:p>
        </w:tc>
        <w:tc>
          <w:tcPr>
            <w:tcW w:w="1300" w:type="dxa"/>
            <w:vAlign w:val="bottom"/>
            <w:gridSpan w:val="2"/>
          </w:tcPr>
          <w:p>
            <w:pPr>
              <w:jc w:val="center"/>
              <w:ind w:right="190"/>
              <w:spacing w:after="0"/>
              <w:rPr>
                <w:sz w:val="20"/>
                <w:szCs w:val="20"/>
                <w:color w:val="auto"/>
              </w:rPr>
            </w:pPr>
            <w:r>
              <w:rPr>
                <w:rFonts w:ascii="Arial" w:cs="Arial" w:eastAsia="Arial" w:hAnsi="Arial"/>
                <w:sz w:val="18"/>
                <w:szCs w:val="18"/>
                <w:color w:val="auto"/>
                <w:w w:val="94"/>
              </w:rPr>
              <w:t>(Level 1)</w:t>
            </w:r>
          </w:p>
        </w:tc>
        <w:tc>
          <w:tcPr>
            <w:tcW w:w="1400" w:type="dxa"/>
            <w:vAlign w:val="bottom"/>
            <w:gridSpan w:val="2"/>
          </w:tcPr>
          <w:p>
            <w:pPr>
              <w:jc w:val="center"/>
              <w:ind w:right="210"/>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432"/>
        </w:trPr>
        <w:tc>
          <w:tcPr>
            <w:tcW w:w="4600" w:type="dxa"/>
            <w:vAlign w:val="bottom"/>
            <w:vMerge w:val="restart"/>
          </w:tcPr>
          <w:p>
            <w:pPr>
              <w:spacing w:after="0"/>
              <w:rPr>
                <w:sz w:val="20"/>
                <w:szCs w:val="20"/>
                <w:color w:val="auto"/>
              </w:rPr>
            </w:pPr>
            <w:r>
              <w:rPr>
                <w:rFonts w:ascii="Arial" w:cs="Arial" w:eastAsia="Arial" w:hAnsi="Arial"/>
                <w:sz w:val="18"/>
                <w:szCs w:val="18"/>
                <w:color w:val="auto"/>
              </w:rPr>
              <w:t>March 31, 2020</w:t>
            </w: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9"/>
              </w:rPr>
              <w:t>(In thousands)</w:t>
            </w: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48,753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48,753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21,538</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21,538</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21,538</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594,284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594,284</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594,284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Federal Home Loan Bank and Federal</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 Bank Stock</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Net loans and loans held for sale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2,750,169</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2,645,319</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64,549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2,580,770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17,610</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17,610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17,610</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no stated maturity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2,529,503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2,529,503</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2,529,503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Deposits with stated maturity (1)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554,061</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555,820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555,820</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101,954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103,755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Subordinated debentures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39,473</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25,619</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25,619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15,286</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15,286</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15,286</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53,295</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53,295</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53,295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bearing deposits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12,009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Interest bearing deposits - time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518,400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518,400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518,400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Federal Home Loan Bank and Federal</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 Bank Stock</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Net loans and loans held for sale</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2,768,675</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2,768,817</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69,800</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2,699,017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10,108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5,464</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5,464</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5,464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with no stated maturity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2,427,190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2,427,190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2,427,190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Deposits with stated maturity (1)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609,537</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610,235</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610,235</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88,646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88,680</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340"/>
              <w:spacing w:after="0"/>
              <w:rPr>
                <w:sz w:val="20"/>
                <w:szCs w:val="20"/>
                <w:color w:val="auto"/>
              </w:rPr>
            </w:pPr>
            <w:r>
              <w:rPr>
                <w:rFonts w:ascii="Arial" w:cs="Arial" w:eastAsia="Arial" w:hAnsi="Arial"/>
                <w:sz w:val="18"/>
                <w:szCs w:val="18"/>
                <w:color w:val="auto"/>
              </w:rPr>
              <w:t>Subordinated debentures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39,456</w:t>
            </w:r>
          </w:p>
        </w:tc>
        <w:tc>
          <w:tcPr>
            <w:tcW w:w="4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33,149</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33,149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1,296</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4,402</w:t>
            </w:r>
          </w:p>
        </w:tc>
        <w:tc>
          <w:tcPr>
            <w:tcW w:w="4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4,402</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4,402</w:t>
            </w: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 xml:space="preserve">Deposits with no stated maturity include reciprocal deposits with a recorded book balance of $424.569 million and </w:t>
      </w:r>
      <w:r>
        <w:rPr>
          <w:rFonts w:ascii="Arial" w:cs="Arial" w:eastAsia="Arial" w:hAnsi="Arial"/>
          <w:sz w:val="18"/>
          <w:szCs w:val="18"/>
          <w:color w:val="000000"/>
        </w:rPr>
        <w:t>$</w:t>
      </w:r>
      <w:r>
        <w:rPr>
          <w:rFonts w:ascii="Arial" w:cs="Arial" w:eastAsia="Arial" w:hAnsi="Arial"/>
          <w:sz w:val="18"/>
          <w:szCs w:val="18"/>
          <w:color w:val="231F20"/>
        </w:rPr>
        <w:t xml:space="preserve">388.369 </w:t>
      </w:r>
      <w:r>
        <w:rPr>
          <w:rFonts w:ascii="Arial" w:cs="Arial" w:eastAsia="Arial" w:hAnsi="Arial"/>
          <w:sz w:val="18"/>
          <w:szCs w:val="18"/>
          <w:color w:val="000000"/>
        </w:rPr>
        <w:t>million at March 31,</w:t>
      </w:r>
      <w:r>
        <w:rPr>
          <w:rFonts w:ascii="Arial" w:cs="Arial" w:eastAsia="Arial" w:hAnsi="Arial"/>
          <w:sz w:val="18"/>
          <w:szCs w:val="18"/>
          <w:color w:val="231F20"/>
        </w:rPr>
        <w:t xml:space="preserve"> </w:t>
      </w:r>
      <w:r>
        <w:rPr>
          <w:rFonts w:ascii="Arial" w:cs="Arial" w:eastAsia="Arial" w:hAnsi="Arial"/>
          <w:sz w:val="18"/>
          <w:szCs w:val="18"/>
          <w:color w:val="000000"/>
        </w:rPr>
        <w:t xml:space="preserve">2020 and December 31, 2019, respectively. Deposits with a stated maturity include reciprocal deposits with a recorded book balance of </w:t>
      </w:r>
      <w:r>
        <w:rPr>
          <w:rFonts w:ascii="Arial" w:cs="Arial" w:eastAsia="Arial" w:hAnsi="Arial"/>
          <w:sz w:val="18"/>
          <w:szCs w:val="18"/>
          <w:color w:val="231F20"/>
        </w:rPr>
        <w:t>$</w:t>
      </w:r>
      <w:r>
        <w:rPr>
          <w:rFonts w:ascii="Arial" w:cs="Arial" w:eastAsia="Arial" w:hAnsi="Arial"/>
          <w:sz w:val="18"/>
          <w:szCs w:val="18"/>
          <w:color w:val="000000"/>
        </w:rPr>
        <w:t xml:space="preserve">40.005 </w:t>
      </w:r>
      <w:r>
        <w:rPr>
          <w:rFonts w:ascii="Arial" w:cs="Arial" w:eastAsia="Arial" w:hAnsi="Arial"/>
          <w:sz w:val="18"/>
          <w:szCs w:val="18"/>
          <w:color w:val="231F20"/>
        </w:rPr>
        <w:t>million and $</w:t>
      </w:r>
      <w:r>
        <w:rPr>
          <w:rFonts w:ascii="Arial" w:cs="Arial" w:eastAsia="Arial" w:hAnsi="Arial"/>
          <w:sz w:val="18"/>
          <w:szCs w:val="18"/>
          <w:color w:val="000000"/>
        </w:rPr>
        <w:t>42.658</w:t>
      </w:r>
      <w:r>
        <w:rPr>
          <w:rFonts w:ascii="Arial" w:cs="Arial" w:eastAsia="Arial" w:hAnsi="Arial"/>
          <w:sz w:val="18"/>
          <w:szCs w:val="18"/>
          <w:color w:val="231F20"/>
        </w:rPr>
        <w:t xml:space="preserve"> million at March 31, 2020 and December 31, 2019, respectively.</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fair values for commitments to extend credit and standby letters of credit are estimated to approximate their aggregate book balance, which is nominal and therefore are not disclosed.</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Contingencies</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 March 11, 2020, the World Health Organization declared COVID-19, the disease caused by the novel coronavirus, a pandemic 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The Governor of Michigan issued her first "stay home, stay safe" executive order effective March 24, 2020. In general that order and subsequent modifications require individuals in Michigan to stay at home or their place of residence, except for certain specified activities and for work by critical infrastructure workers, work by persons necessary to conduct minimum basic business operations, work by those performing necessary government activities and certain other permitted activities. In general, businesses may not require workers to leave their homes except to the extent those workers are necessary to sustain or protect human life, to conduct certain minimum basic business operations or to perform certain permitted activities. As a result of these actions, Michigan has already experienced a significant increase in unemployment. It is possible that Michigan's Governor may continue some form of executive order throughout the Company's second quarter.</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COVID-19 pandemic and related executive orders and federal government pandemic response guidance has had and continues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These factors may continue for a significant period of time.</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are involved in various litigation matters in the ordinary course of business. At the present time, we do not believe any of these matters will have a significant impact on our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$0.04 million and $0.11 million for the three month periods ended March 31, 2020 and 2019, respectively. The reserve for loss reimbursements on sold mortgage loans totaled $0.92 million and $0.88 million at March 31, 2020 and December 31, 2019,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to Class A shares and the closing price of VISA Class A shares on April 17, 2020 of $169.54 per share, our 12,566 Class B shares would have a current “value” of approximately $3.5 million. We continue to monitor Class B trading activity and the status of the resolution of certain litigation matters at VISA that would trigger the conversion of Class B common shares into Class A common shares that would have no trading restrictions.</w:t>
      </w:r>
    </w:p>
    <w:p>
      <w:pPr>
        <w:spacing w:after="0" w:line="184" w:lineRule="exact"/>
        <w:rPr>
          <w:sz w:val="20"/>
          <w:szCs w:val="20"/>
          <w:color w:val="auto"/>
        </w:rPr>
      </w:pPr>
    </w:p>
    <w:p>
      <w:pPr>
        <w:ind w:right="6300" w:firstLine="8"/>
        <w:spacing w:after="0" w:line="464" w:lineRule="auto"/>
        <w:tabs>
          <w:tab w:leader="none" w:pos="378"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 xml:space="preserve">Accumulated Other Comprehensive Loss (“AOCL”) </w:t>
      </w:r>
      <w:r>
        <w:rPr>
          <w:rFonts w:ascii="Arial" w:cs="Arial" w:eastAsia="Arial" w:hAnsi="Arial"/>
          <w:sz w:val="22"/>
          <w:szCs w:val="22"/>
          <w:color w:val="auto"/>
        </w:rPr>
        <w:t>A summary of changes in AOCL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Dispropor-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tionate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Tax Effects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(Losses) on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from</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Losses 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Cash Flow</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for Sale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Hedges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30"/>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94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5980" w:type="dxa"/>
            <w:vAlign w:val="bottom"/>
          </w:tcPr>
          <w:p>
            <w:pPr>
              <w:spacing w:after="0"/>
              <w:rPr>
                <w:sz w:val="20"/>
                <w:szCs w:val="20"/>
                <w:color w:val="auto"/>
              </w:rPr>
            </w:pPr>
            <w:r>
              <w:rPr>
                <w:rFonts w:ascii="Arial" w:cs="Arial" w:eastAsia="Arial" w:hAnsi="Arial"/>
                <w:sz w:val="18"/>
                <w:szCs w:val="18"/>
                <w:color w:val="auto"/>
              </w:rPr>
              <w:t>For the three months ended March 31,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(1,068)</w:t>
            </w:r>
          </w:p>
        </w:tc>
      </w:tr>
      <w:tr>
        <w:trPr>
          <w:trHeight w:val="257"/>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beginning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(4,185)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(10,108)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w:t>
            </w: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Amounts reclassified from AOCL</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23"/>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Balances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(6,817)</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available for sale.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 summary of reclassifications out of each component of AOCL for the three months ended March 31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Amount</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Reclassified</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From</w:t>
            </w:r>
          </w:p>
        </w:tc>
        <w:tc>
          <w:tcPr>
            <w:tcW w:w="4940" w:type="dxa"/>
            <w:vAlign w:val="bottom"/>
          </w:tcPr>
          <w:p>
            <w:pPr>
              <w:ind w:left="1280"/>
              <w:spacing w:after="0"/>
              <w:rPr>
                <w:sz w:val="20"/>
                <w:szCs w:val="20"/>
                <w:color w:val="auto"/>
              </w:rPr>
            </w:pPr>
            <w:r>
              <w:rPr>
                <w:rFonts w:ascii="Arial" w:cs="Arial" w:eastAsia="Arial" w:hAnsi="Arial"/>
                <w:sz w:val="18"/>
                <w:szCs w:val="18"/>
                <w:color w:val="auto"/>
              </w:rPr>
              <w:t>Affected Line Item in Condensed</w:t>
            </w:r>
          </w:p>
        </w:tc>
        <w:tc>
          <w:tcPr>
            <w:tcW w:w="0" w:type="dxa"/>
            <w:vAlign w:val="bottom"/>
          </w:tcPr>
          <w:p>
            <w:pPr>
              <w:spacing w:after="0"/>
              <w:rPr>
                <w:sz w:val="1"/>
                <w:szCs w:val="1"/>
                <w:color w:val="auto"/>
              </w:rPr>
            </w:pPr>
          </w:p>
        </w:tc>
      </w:tr>
      <w:tr>
        <w:trPr>
          <w:trHeight w:val="237"/>
        </w:trPr>
        <w:tc>
          <w:tcPr>
            <w:tcW w:w="5180" w:type="dxa"/>
            <w:vAlign w:val="bottom"/>
            <w:gridSpan w:val="3"/>
          </w:tcPr>
          <w:p>
            <w:pPr>
              <w:jc w:val="right"/>
              <w:ind w:right="1850"/>
              <w:spacing w:after="0"/>
              <w:rPr>
                <w:sz w:val="20"/>
                <w:szCs w:val="20"/>
                <w:color w:val="auto"/>
              </w:rPr>
            </w:pPr>
            <w:r>
              <w:rPr>
                <w:rFonts w:ascii="Arial" w:cs="Arial" w:eastAsia="Arial" w:hAnsi="Arial"/>
                <w:sz w:val="18"/>
                <w:szCs w:val="18"/>
                <w:color w:val="auto"/>
              </w:rPr>
              <w:t>AOCL Component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AOCL</w:t>
            </w:r>
          </w:p>
        </w:tc>
        <w:tc>
          <w:tcPr>
            <w:tcW w:w="4940" w:type="dxa"/>
            <w:vAlign w:val="bottom"/>
          </w:tcPr>
          <w:p>
            <w:pPr>
              <w:ind w:left="1080"/>
              <w:spacing w:after="0"/>
              <w:rPr>
                <w:sz w:val="20"/>
                <w:szCs w:val="20"/>
                <w:color w:val="auto"/>
              </w:rPr>
            </w:pPr>
            <w:r>
              <w:rPr>
                <w:rFonts w:ascii="Arial" w:cs="Arial" w:eastAsia="Arial" w:hAnsi="Arial"/>
                <w:sz w:val="18"/>
                <w:szCs w:val="18"/>
                <w:color w:val="auto"/>
              </w:rPr>
              <w:t>Consolidated Statements of Operations</w:t>
            </w:r>
          </w:p>
        </w:tc>
        <w:tc>
          <w:tcPr>
            <w:tcW w:w="0" w:type="dxa"/>
            <w:vAlign w:val="bottom"/>
          </w:tcPr>
          <w:p>
            <w:pPr>
              <w:spacing w:after="0"/>
              <w:rPr>
                <w:sz w:val="1"/>
                <w:szCs w:val="1"/>
                <w:color w:val="auto"/>
              </w:rPr>
            </w:pPr>
          </w:p>
        </w:tc>
      </w:tr>
      <w:tr>
        <w:trPr>
          <w:trHeight w:val="230"/>
        </w:trPr>
        <w:tc>
          <w:tcPr>
            <w:tcW w:w="49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8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Unrealized gains (losses) on securities available for sale</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securities</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10"/>
        </w:trPr>
        <w:tc>
          <w:tcPr>
            <w:tcW w:w="518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Unrealized losses on cash flow hedges</w:t>
            </w: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net of tax</w:t>
            </w:r>
          </w:p>
        </w:tc>
        <w:tc>
          <w:tcPr>
            <w:tcW w:w="0" w:type="dxa"/>
            <w:vAlign w:val="bottom"/>
          </w:tcPr>
          <w:p>
            <w:pPr>
              <w:spacing w:after="0"/>
              <w:rPr>
                <w:sz w:val="1"/>
                <w:szCs w:val="1"/>
                <w:color w:val="auto"/>
              </w:rPr>
            </w:pPr>
          </w:p>
        </w:tc>
      </w:tr>
      <w:tr>
        <w:trPr>
          <w:trHeight w:val="209"/>
        </w:trPr>
        <w:tc>
          <w:tcPr>
            <w:tcW w:w="518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for the period, net of tax</w:t>
            </w: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Unrealized gains (losses) on securities available for sale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gains (losses) on securities</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impairment loss recognized in earnings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gridSpan w:val="3"/>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ind w:left="180"/>
              <w:spacing w:after="0"/>
              <w:rPr>
                <w:sz w:val="20"/>
                <w:szCs w:val="20"/>
                <w:color w:val="auto"/>
              </w:rPr>
            </w:pPr>
            <w:r>
              <w:rPr>
                <w:rFonts w:ascii="Arial" w:cs="Arial" w:eastAsia="Arial" w:hAnsi="Arial"/>
                <w:sz w:val="18"/>
                <w:szCs w:val="18"/>
                <w:color w:val="auto"/>
              </w:rPr>
              <w:t>Unrealized losses on cash flow hedges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4940" w:type="dxa"/>
            <w:vAlign w:val="bottom"/>
          </w:tcPr>
          <w:p>
            <w:pPr>
              <w:spacing w:after="0"/>
              <w:rPr>
                <w:sz w:val="20"/>
                <w:szCs w:val="20"/>
                <w:color w:val="auto"/>
              </w:rPr>
            </w:pPr>
            <w:r>
              <w:rPr>
                <w:rFonts w:ascii="Arial" w:cs="Arial" w:eastAsia="Arial" w:hAnsi="Arial"/>
                <w:sz w:val="18"/>
                <w:szCs w:val="18"/>
                <w:color w:val="auto"/>
              </w:rPr>
              <w:t>Reclassification, net of tax</w:t>
            </w:r>
          </w:p>
        </w:tc>
        <w:tc>
          <w:tcPr>
            <w:tcW w:w="0" w:type="dxa"/>
            <w:vAlign w:val="bottom"/>
          </w:tcPr>
          <w:p>
            <w:pPr>
              <w:spacing w:after="0"/>
              <w:rPr>
                <w:sz w:val="1"/>
                <w:szCs w:val="1"/>
                <w:color w:val="auto"/>
              </w:rPr>
            </w:pPr>
          </w:p>
        </w:tc>
      </w:tr>
      <w:tr>
        <w:trPr>
          <w:trHeight w:val="21"/>
        </w:trPr>
        <w:tc>
          <w:tcPr>
            <w:tcW w:w="5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180" w:type="dxa"/>
            <w:vAlign w:val="bottom"/>
            <w:gridSpan w:val="3"/>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reclassifications for the period, net of tax</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51"/>
              <w:spacing w:after="0"/>
              <w:rPr>
                <w:sz w:val="20"/>
                <w:szCs w:val="20"/>
                <w:color w:val="auto"/>
              </w:rPr>
            </w:pPr>
            <w:r>
              <w:rPr>
                <w:rFonts w:ascii="Arial" w:cs="Arial" w:eastAsia="Arial" w:hAnsi="Arial"/>
                <w:sz w:val="14"/>
                <w:szCs w:val="14"/>
                <w:color w:val="auto"/>
                <w:w w:val="89"/>
              </w:rPr>
              <w:t>53</w:t>
            </w:r>
          </w:p>
        </w:tc>
        <w:tc>
          <w:tcPr>
            <w:tcW w:w="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Revenue from Contracts with Customers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mortgage loan servicing, net and bank owned life insurance and were approximately 85.1% and 84.9% of total revenues for the three month periods ending March 31, 2020 and 2019, respectively.</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March 31, 2020 and December 31, 2019.</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u w:val="single" w:color="auto"/>
          <w:color w:val="auto"/>
        </w:rPr>
        <w:t>Service charges on deposit accounts and other deposit related income</w:t>
      </w:r>
      <w:r>
        <w:rPr>
          <w:rFonts w:ascii="Arial" w:cs="Arial" w:eastAsia="Arial" w:hAnsi="Arial"/>
          <w:sz w:val="19"/>
          <w:szCs w:val="19"/>
          <w:b w:val="1"/>
          <w:bCs w:val="1"/>
          <w:u w:val="single" w:color="auto"/>
          <w:color w:val="auto"/>
        </w:rPr>
        <w:t>:</w:t>
      </w:r>
      <w:r>
        <w:rPr>
          <w:rFonts w:ascii="Arial" w:cs="Arial" w:eastAsia="Arial" w:hAnsi="Arial"/>
          <w:sz w:val="19"/>
          <w:szCs w:val="19"/>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Interchange income:</w:t>
      </w:r>
      <w:r>
        <w:rPr>
          <w:rFonts w:ascii="Arial" w:cs="Arial" w:eastAsia="Arial" w:hAnsi="Arial"/>
          <w:sz w:val="19"/>
          <w:szCs w:val="19"/>
          <w:color w:val="auto"/>
        </w:rPr>
        <w:t xml:space="preserve"> Interchange income primarily includes debit card interchange and network revenues. Debit card interchange and network revenues are earned on debit card transactions conducted through payment networks such as MasterCard and NYCE. Interchange income is recognized concurrently with the delivery of services on a daily basis. Interchange and network revenues are presented gross of interchange expenses, which are presented separately as a component of non-interest expense.</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Investment and insurance commissions:</w:t>
      </w:r>
      <w:r>
        <w:rPr>
          <w:rFonts w:ascii="Arial" w:cs="Arial" w:eastAsia="Arial" w:hAnsi="Arial"/>
          <w:sz w:val="19"/>
          <w:szCs w:val="19"/>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are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Net (gains) losses on other real estate and repossessed assets:</w:t>
      </w:r>
      <w:r>
        <w:rPr>
          <w:rFonts w:ascii="Arial" w:cs="Arial" w:eastAsia="Arial" w:hAnsi="Arial"/>
          <w:sz w:val="19"/>
          <w:szCs w:val="19"/>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three month periods ending March 31, 2020 and 2019 that were financed by us.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Disaggregation of our revenue sources by attribute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Three months ending March 31,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Service</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Investment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Charges</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Deposit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on Deposit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Accounts</w:t>
            </w: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Account service charges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Overdraft fees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Non-interest income - other: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Three months ending March 31, 2019</w:t>
      </w:r>
    </w:p>
    <w:p>
      <w:pPr>
        <w:spacing w:after="0" w:line="240" w:lineRule="exact"/>
        <w:rPr>
          <w:sz w:val="20"/>
          <w:szCs w:val="20"/>
          <w:color w:val="auto"/>
        </w:rPr>
      </w:pPr>
    </w:p>
    <w:tbl>
      <w:tblPr>
        <w:tblLayout w:type="fixed"/>
        <w:tblInd w:w="4800" w:type="dxa"/>
        <w:tblCellMar>
          <w:top w:w="0" w:type="dxa"/>
          <w:left w:w="0" w:type="dxa"/>
          <w:bottom w:w="0" w:type="dxa"/>
          <w:right w:w="0" w:type="dxa"/>
        </w:tblCellMar>
      </w:tblPr>
      <w:tr>
        <w:trPr>
          <w:trHeight w:val="216"/>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89"/>
              </w:rPr>
              <w:t>Service</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138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color w:val="auto"/>
                <w:w w:val="90"/>
              </w:rPr>
              <w:t>Investment</w:t>
            </w:r>
          </w:p>
        </w:tc>
        <w:tc>
          <w:tcPr>
            <w:tcW w:w="680" w:type="dxa"/>
            <w:vAlign w:val="bottom"/>
          </w:tcPr>
          <w:p>
            <w:pPr>
              <w:spacing w:after="0"/>
              <w:rPr>
                <w:sz w:val="18"/>
                <w:szCs w:val="18"/>
                <w:color w:val="auto"/>
              </w:rPr>
            </w:pPr>
          </w:p>
        </w:tc>
      </w:tr>
      <w:tr>
        <w:trPr>
          <w:trHeight w:val="216"/>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85"/>
              </w:rPr>
              <w:t>Charges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Deposit</w:t>
            </w:r>
          </w:p>
        </w:tc>
        <w:tc>
          <w:tcPr>
            <w:tcW w:w="138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86"/>
              </w:rPr>
              <w:t>and</w:t>
            </w:r>
          </w:p>
        </w:tc>
        <w:tc>
          <w:tcPr>
            <w:tcW w:w="680" w:type="dxa"/>
            <w:vAlign w:val="bottom"/>
          </w:tcPr>
          <w:p>
            <w:pPr>
              <w:spacing w:after="0"/>
              <w:rPr>
                <w:sz w:val="18"/>
                <w:szCs w:val="18"/>
                <w:color w:val="auto"/>
              </w:rPr>
            </w:pPr>
          </w:p>
        </w:tc>
      </w:tr>
      <w:tr>
        <w:trPr>
          <w:trHeight w:val="216"/>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0"/>
              </w:rPr>
              <w:t>on Deposit</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Related</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0"/>
              </w:rPr>
              <w:t>Interchange</w:t>
            </w: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88"/>
              </w:rPr>
              <w:t>Insurance</w:t>
            </w:r>
          </w:p>
        </w:tc>
        <w:tc>
          <w:tcPr>
            <w:tcW w:w="680" w:type="dxa"/>
            <w:vAlign w:val="bottom"/>
          </w:tcPr>
          <w:p>
            <w:pPr>
              <w:spacing w:after="0"/>
              <w:rPr>
                <w:sz w:val="18"/>
                <w:szCs w:val="18"/>
                <w:color w:val="auto"/>
              </w:rPr>
            </w:pPr>
          </w:p>
        </w:tc>
      </w:tr>
      <w:tr>
        <w:trPr>
          <w:trHeight w:val="230"/>
        </w:trPr>
        <w:tc>
          <w:tcPr>
            <w:tcW w:w="1140" w:type="dxa"/>
            <w:vAlign w:val="bottom"/>
          </w:tcPr>
          <w:p>
            <w:pPr>
              <w:jc w:val="center"/>
              <w:ind w:right="250"/>
              <w:spacing w:after="0"/>
              <w:rPr>
                <w:sz w:val="20"/>
                <w:szCs w:val="20"/>
                <w:color w:val="auto"/>
              </w:rPr>
            </w:pPr>
            <w:r>
              <w:rPr>
                <w:rFonts w:ascii="Arial" w:cs="Arial" w:eastAsia="Arial" w:hAnsi="Arial"/>
                <w:sz w:val="18"/>
                <w:szCs w:val="18"/>
                <w:color w:val="auto"/>
                <w:w w:val="91"/>
              </w:rPr>
              <w:t>Accounts</w:t>
            </w: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Income</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1"/>
              </w:rPr>
              <w:t>Income</w:t>
            </w: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90"/>
              </w:rPr>
              <w:t>Commissions</w:t>
            </w:r>
          </w:p>
        </w:tc>
        <w:tc>
          <w:tcPr>
            <w:tcW w:w="680" w:type="dxa"/>
            <w:vAlign w:val="bottom"/>
          </w:tcPr>
          <w:p>
            <w:pPr>
              <w:ind w:left="320"/>
              <w:spacing w:after="0"/>
              <w:rPr>
                <w:sz w:val="20"/>
                <w:szCs w:val="20"/>
                <w:color w:val="auto"/>
              </w:rPr>
            </w:pPr>
            <w:r>
              <w:rPr>
                <w:rFonts w:ascii="Arial" w:cs="Arial" w:eastAsia="Arial" w:hAnsi="Arial"/>
                <w:sz w:val="18"/>
                <w:szCs w:val="18"/>
                <w:color w:val="auto"/>
                <w:w w:val="84"/>
              </w:rPr>
              <w:t>Total</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6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ind w:left="120"/>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Overdraft fees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1,730</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Account service charges</w:t>
            </w:r>
          </w:p>
        </w:tc>
        <w:tc>
          <w:tcPr>
            <w:tcW w:w="5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Overdraft fees</w:t>
            </w:r>
          </w:p>
        </w:tc>
        <w:tc>
          <w:tcPr>
            <w:tcW w:w="5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385</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ATM fees</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2,355</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5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254</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540" w:type="dxa"/>
            <w:vAlign w:val="bottom"/>
            <w:gridSpan w:val="2"/>
          </w:tcPr>
          <w:p>
            <w:pPr>
              <w:spacing w:after="0"/>
              <w:rPr>
                <w:sz w:val="19"/>
                <w:szCs w:val="19"/>
                <w:color w:val="auto"/>
              </w:rPr>
            </w:pPr>
          </w:p>
        </w:tc>
        <w:tc>
          <w:tcPr>
            <w:tcW w:w="9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Reconciliation to Condensed Consolidated Statement of Operations: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Non-interest income - other:</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deposit related income</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4620" w:type="dxa"/>
            <w:vAlign w:val="bottom"/>
          </w:tcPr>
          <w:p>
            <w:pPr>
              <w:ind w:left="340"/>
              <w:spacing w:after="0"/>
              <w:rPr>
                <w:sz w:val="20"/>
                <w:szCs w:val="20"/>
                <w:color w:val="auto"/>
              </w:rPr>
            </w:pPr>
            <w:r>
              <w:rPr>
                <w:rFonts w:ascii="Arial" w:cs="Arial" w:eastAsia="Arial" w:hAnsi="Arial"/>
                <w:sz w:val="18"/>
                <w:szCs w:val="18"/>
                <w:color w:val="auto"/>
              </w:rPr>
              <w:t>Investment and insurance commissions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owned life insurance</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4620" w:type="dxa"/>
            <w:vAlign w:val="bottom"/>
          </w:tcPr>
          <w:p>
            <w:pPr>
              <w:ind w:left="3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Leases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w:t>
      </w:r>
      <w:r>
        <w:rPr>
          <w:rFonts w:ascii="Arial" w:cs="Arial" w:eastAsia="Arial" w:hAnsi="Arial"/>
          <w:sz w:val="21"/>
          <w:szCs w:val="21"/>
          <w:color w:val="231F20"/>
        </w:rPr>
        <w:t>Consolidated Statements of Financial Condition</w:t>
      </w:r>
      <w:r>
        <w:rPr>
          <w:rFonts w:ascii="Arial" w:cs="Arial" w:eastAsia="Arial" w:hAnsi="Arial"/>
          <w:sz w:val="21"/>
          <w:szCs w:val="21"/>
          <w:color w:val="000000"/>
        </w:rPr>
        <w:t>. Most of our leases include one or more options to renew. The exercise of lease</w:t>
      </w:r>
      <w:r>
        <w:rPr>
          <w:rFonts w:ascii="Arial" w:cs="Arial" w:eastAsia="Arial" w:hAnsi="Arial"/>
          <w:sz w:val="21"/>
          <w:szCs w:val="21"/>
          <w:color w:val="231F20"/>
        </w:rPr>
        <w:t xml:space="preserve"> </w:t>
      </w:r>
      <w:r>
        <w:rPr>
          <w:rFonts w:ascii="Arial" w:cs="Arial" w:eastAsia="Arial" w:hAnsi="Arial"/>
          <w:sz w:val="21"/>
          <w:szCs w:val="21"/>
          <w:color w:val="000000"/>
        </w:rPr>
        <w:t>renewal options is typically at our sole discretion and are included in our right of use (“ROU”) assets and lease liabilities if they are reasonably certain of exercise.</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Leases are classified as operating or finance leases at the lease commencement date (we did not have any finance leases as of March 31, 2020).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most of our leases do not provide an implicit rate, we use our incremental borrowing rate based on the information available at the lease commencement date in determining the present value of the lease payments.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NOTES TO INTERIM CONDENSED CONSOLIDATED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cost components of our operating leases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1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3"/>
          </w:tcPr>
          <w:p>
            <w:pPr>
              <w:jc w:val="right"/>
              <w:ind w:right="450"/>
              <w:spacing w:after="0"/>
              <w:rPr>
                <w:sz w:val="20"/>
                <w:szCs w:val="20"/>
                <w:color w:val="auto"/>
              </w:rPr>
            </w:pPr>
            <w:r>
              <w:rPr>
                <w:rFonts w:ascii="Arial" w:cs="Arial" w:eastAsia="Arial" w:hAnsi="Arial"/>
                <w:sz w:val="18"/>
                <w:szCs w:val="18"/>
                <w:color w:val="auto"/>
                <w:w w:val="97"/>
              </w:rPr>
              <w:t>March 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right"/>
              <w:ind w:right="310"/>
              <w:spacing w:after="0"/>
              <w:rPr>
                <w:sz w:val="20"/>
                <w:szCs w:val="20"/>
                <w:color w:val="auto"/>
              </w:rPr>
            </w:pPr>
            <w:r>
              <w:rPr>
                <w:rFonts w:ascii="Arial" w:cs="Arial" w:eastAsia="Arial" w:hAnsi="Arial"/>
                <w:sz w:val="17"/>
                <w:szCs w:val="17"/>
                <w:color w:val="auto"/>
                <w:w w:val="71"/>
              </w:rPr>
              <w:t>thousands)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Variable lease cost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508</w:t>
            </w:r>
          </w:p>
        </w:tc>
        <w:tc>
          <w:tcPr>
            <w:tcW w:w="22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592</w:t>
            </w: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Variable lease costs consist primarily of taxes, insurance, and common area or other maintenance costs for our leased facilities.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Supplemental balance sheet information related to our operating leases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93"/>
              <w:spacing w:after="0"/>
              <w:rPr>
                <w:sz w:val="20"/>
                <w:szCs w:val="20"/>
                <w:color w:val="auto"/>
              </w:rPr>
            </w:pPr>
            <w:r>
              <w:rPr>
                <w:rFonts w:ascii="Arial" w:cs="Arial" w:eastAsia="Arial" w:hAnsi="Arial"/>
                <w:sz w:val="18"/>
                <w:szCs w:val="18"/>
                <w:color w:val="auto"/>
                <w:w w:val="94"/>
              </w:rPr>
              <w:t>March 31,</w:t>
            </w:r>
          </w:p>
        </w:tc>
        <w:tc>
          <w:tcPr>
            <w:tcW w:w="126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r>
      <w:tr>
        <w:trPr>
          <w:trHeight w:val="237"/>
        </w:trPr>
        <w:tc>
          <w:tcPr>
            <w:tcW w:w="8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(Dollars</w:t>
            </w:r>
          </w:p>
        </w:tc>
        <w:tc>
          <w:tcPr>
            <w:tcW w:w="260" w:type="dxa"/>
            <w:vAlign w:val="bottom"/>
          </w:tcPr>
          <w:p>
            <w:pPr>
              <w:jc w:val="right"/>
              <w:ind w:right="93"/>
              <w:spacing w:after="0"/>
              <w:rPr>
                <w:sz w:val="20"/>
                <w:szCs w:val="20"/>
                <w:color w:val="auto"/>
              </w:rPr>
            </w:pPr>
            <w:r>
              <w:rPr>
                <w:rFonts w:ascii="Arial" w:cs="Arial" w:eastAsia="Arial" w:hAnsi="Arial"/>
                <w:sz w:val="13"/>
                <w:szCs w:val="13"/>
                <w:color w:val="auto"/>
                <w:w w:val="78"/>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57"/>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right of use asset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00" w:type="dxa"/>
            <w:vAlign w:val="bottom"/>
          </w:tcPr>
          <w:p>
            <w:pPr>
              <w:spacing w:after="0"/>
              <w:rPr>
                <w:sz w:val="20"/>
                <w:szCs w:val="20"/>
                <w:color w:val="auto"/>
              </w:rPr>
            </w:pPr>
            <w:r>
              <w:rPr>
                <w:rFonts w:ascii="Arial" w:cs="Arial" w:eastAsia="Arial" w:hAnsi="Arial"/>
                <w:sz w:val="18"/>
                <w:szCs w:val="18"/>
                <w:color w:val="auto"/>
              </w:rPr>
              <w:t>Lease liabilities (2)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160" w:type="dxa"/>
            <w:vAlign w:val="bottom"/>
          </w:tcPr>
          <w:p>
            <w:pPr>
              <w:spacing w:after="0"/>
              <w:rPr>
                <w:sz w:val="18"/>
                <w:szCs w:val="18"/>
                <w:color w:val="auto"/>
              </w:rPr>
            </w:pPr>
          </w:p>
        </w:tc>
      </w:tr>
      <w:tr>
        <w:trPr>
          <w:trHeight w:val="21"/>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Consolidated Statements of Financial Condition.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Consolidated Statements of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Maturity analysis of our lease liabilities at March 31, 2020 based on required contractual payments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6"/>
              </w:rPr>
              <w:t>(In thousands)</w:t>
            </w:r>
          </w:p>
        </w:tc>
      </w:tr>
      <w:tr>
        <w:trPr>
          <w:trHeight w:val="216"/>
        </w:trPr>
        <w:tc>
          <w:tcPr>
            <w:tcW w:w="42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ending December 31, 2020</w:t>
            </w:r>
          </w:p>
        </w:tc>
        <w:tc>
          <w:tcPr>
            <w:tcW w:w="6180" w:type="dxa"/>
            <w:vAlign w:val="bottom"/>
            <w:gridSpan w:val="2"/>
            <w:shd w:val="clear" w:color="auto" w:fill="CCEEFF"/>
          </w:tcPr>
          <w:p>
            <w:pPr>
              <w:ind w:left="57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2021</w:t>
            </w:r>
          </w:p>
        </w:tc>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2023</w:t>
            </w:r>
          </w:p>
        </w:tc>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2025 and thereafter</w:t>
            </w:r>
          </w:p>
        </w:tc>
        <w:tc>
          <w:tcPr>
            <w:tcW w:w="5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5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100" w:type="dxa"/>
            <w:vAlign w:val="bottom"/>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5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4240" w:type="dxa"/>
            <w:vAlign w:val="bottom"/>
          </w:tcPr>
          <w:p>
            <w:pPr>
              <w:spacing w:after="0"/>
              <w:rPr>
                <w:sz w:val="24"/>
                <w:szCs w:val="24"/>
                <w:color w:val="auto"/>
              </w:rPr>
            </w:pPr>
          </w:p>
        </w:tc>
        <w:tc>
          <w:tcPr>
            <w:tcW w:w="5780" w:type="dxa"/>
            <w:vAlign w:val="bottom"/>
          </w:tcPr>
          <w:p>
            <w:pPr>
              <w:jc w:val="right"/>
              <w:ind w:right="4239"/>
              <w:spacing w:after="0"/>
              <w:rPr>
                <w:sz w:val="20"/>
                <w:szCs w:val="20"/>
                <w:color w:val="auto"/>
              </w:rPr>
            </w:pPr>
            <w:r>
              <w:rPr>
                <w:rFonts w:ascii="Arial" w:cs="Arial" w:eastAsia="Arial" w:hAnsi="Arial"/>
                <w:sz w:val="14"/>
                <w:szCs w:val="14"/>
                <w:color w:val="auto"/>
              </w:rPr>
              <w:t>57</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240" w:type="dxa"/>
            <w:vAlign w:val="bottom"/>
            <w:tcBorders>
              <w:bottom w:val="single" w:sz="8" w:color="auto"/>
            </w:tcBorders>
          </w:tcPr>
          <w:p>
            <w:pPr>
              <w:spacing w:after="0"/>
              <w:rPr>
                <w:sz w:val="4"/>
                <w:szCs w:val="4"/>
                <w:color w:val="auto"/>
              </w:rPr>
            </w:pPr>
          </w:p>
        </w:tc>
        <w:tc>
          <w:tcPr>
            <w:tcW w:w="57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ANAGEMENT</w:t>
      </w:r>
      <w:r>
        <w:rPr>
          <w:rFonts w:ascii="Arial" w:cs="Arial" w:eastAsia="Arial" w:hAnsi="Arial"/>
          <w:sz w:val="22"/>
          <w:szCs w:val="22"/>
          <w:b w:val="1"/>
          <w:bCs w:val="1"/>
          <w:color w:val="auto"/>
        </w:rPr>
        <w:t>’</w:t>
      </w:r>
      <w:r>
        <w:rPr>
          <w:rFonts w:ascii="Arial" w:cs="Arial" w:eastAsia="Arial" w:hAnsi="Arial"/>
          <w:sz w:val="14"/>
          <w:szCs w:val="14"/>
          <w:b w:val="1"/>
          <w:bCs w:val="1"/>
          <w:color w:val="auto"/>
        </w:rPr>
        <w:t>S</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ISCUSSION AND</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NALYSIS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OF </w:t>
      </w:r>
      <w:r>
        <w:rPr>
          <w:rFonts w:ascii="Arial" w:cs="Arial" w:eastAsia="Arial" w:hAnsi="Arial"/>
          <w:sz w:val="21"/>
          <w:szCs w:val="21"/>
          <w:b w:val="1"/>
          <w:bCs w:val="1"/>
          <w:color w:val="auto"/>
        </w:rPr>
        <w:t>F</w:t>
      </w:r>
      <w:r>
        <w:rPr>
          <w:rFonts w:ascii="Arial" w:cs="Arial" w:eastAsia="Arial" w:hAnsi="Arial"/>
          <w:sz w:val="15"/>
          <w:szCs w:val="15"/>
          <w:b w:val="1"/>
          <w:bCs w:val="1"/>
          <w:color w:val="auto"/>
        </w:rPr>
        <w:t xml:space="preserve">INANCIAL </w:t>
      </w:r>
      <w:r>
        <w:rPr>
          <w:rFonts w:ascii="Arial" w:cs="Arial" w:eastAsia="Arial" w:hAnsi="Arial"/>
          <w:sz w:val="21"/>
          <w:szCs w:val="21"/>
          <w:b w:val="1"/>
          <w:bCs w:val="1"/>
          <w:color w:val="auto"/>
        </w:rPr>
        <w:t>C</w:t>
      </w:r>
      <w:r>
        <w:rPr>
          <w:rFonts w:ascii="Arial" w:cs="Arial" w:eastAsia="Arial" w:hAnsi="Arial"/>
          <w:sz w:val="15"/>
          <w:szCs w:val="15"/>
          <w:b w:val="1"/>
          <w:bCs w:val="1"/>
          <w:color w:val="auto"/>
        </w:rPr>
        <w:t xml:space="preserve">ONDITION AND </w:t>
      </w:r>
      <w:r>
        <w:rPr>
          <w:rFonts w:ascii="Arial" w:cs="Arial" w:eastAsia="Arial" w:hAnsi="Arial"/>
          <w:sz w:val="21"/>
          <w:szCs w:val="21"/>
          <w:b w:val="1"/>
          <w:bCs w:val="1"/>
          <w:color w:val="auto"/>
        </w:rPr>
        <w:t>R</w:t>
      </w:r>
      <w:r>
        <w:rPr>
          <w:rFonts w:ascii="Arial" w:cs="Arial" w:eastAsia="Arial" w:hAnsi="Arial"/>
          <w:sz w:val="15"/>
          <w:szCs w:val="15"/>
          <w:b w:val="1"/>
          <w:bCs w:val="1"/>
          <w:color w:val="auto"/>
        </w:rPr>
        <w:t xml:space="preserve">ESULTS OF </w:t>
      </w:r>
      <w:r>
        <w:rPr>
          <w:rFonts w:ascii="Arial" w:cs="Arial" w:eastAsia="Arial" w:hAnsi="Arial"/>
          <w:sz w:val="21"/>
          <w:szCs w:val="21"/>
          <w:b w:val="1"/>
          <w:bCs w:val="1"/>
          <w:color w:val="auto"/>
        </w:rPr>
        <w:t>O</w:t>
      </w:r>
      <w:r>
        <w:rPr>
          <w:rFonts w:ascii="Arial" w:cs="Arial" w:eastAsia="Arial" w:hAnsi="Arial"/>
          <w:sz w:val="15"/>
          <w:szCs w:val="15"/>
          <w:b w:val="1"/>
          <w:bCs w:val="1"/>
          <w:color w:val="auto"/>
        </w:rPr>
        <w:t>PERATIONS</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Introduction</w:t>
      </w:r>
      <w:r>
        <w:rPr>
          <w:rFonts w:ascii="Arial" w:cs="Arial" w:eastAsia="Arial" w:hAnsi="Arial"/>
          <w:sz w:val="19"/>
          <w:szCs w:val="19"/>
          <w:color w:val="auto"/>
        </w:rPr>
        <w:t>. The following section presents additional information to assess the financial condition and results of operations of</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Bank Corporation (“IBCP”), its wholly-owned bank, Independent Bank (the "Bank"), and their subsidiaries. This section should be read in conjunction with the Condensed Consolidated Financial Statements. We also encourage you to read our 2019 Annual Report on Form 10-K filed with the U.S. Securities and Exchange Commission ("SEC"). That report includes a list of risk factors that you should consider in connection with any decision to buy or sell our securities.</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Overview</w:t>
      </w:r>
      <w:r>
        <w:rPr>
          <w:rFonts w:ascii="Arial" w:cs="Arial" w:eastAsia="Arial" w:hAnsi="Arial"/>
          <w:sz w:val="22"/>
          <w:szCs w:val="22"/>
          <w:color w:val="auto"/>
        </w:rPr>
        <w:t>. We provide banking services to customers located primarily in Michigan’s Lower Peninsula. We also have three loan</w:t>
      </w:r>
      <w:r>
        <w:rPr>
          <w:rFonts w:ascii="Arial" w:cs="Arial" w:eastAsia="Arial" w:hAnsi="Arial"/>
          <w:sz w:val="22"/>
          <w:szCs w:val="22"/>
          <w:b w:val="1"/>
          <w:bCs w:val="1"/>
          <w:color w:val="auto"/>
        </w:rPr>
        <w:t xml:space="preserve"> </w:t>
      </w:r>
      <w:r>
        <w:rPr>
          <w:rFonts w:ascii="Arial" w:cs="Arial" w:eastAsia="Arial" w:hAnsi="Arial"/>
          <w:sz w:val="22"/>
          <w:szCs w:val="22"/>
          <w:color w:val="auto"/>
        </w:rPr>
        <w:t>production offices in Ohio (Columbus, Fairlawn and Toledo). As a result, our success depends to a great extent upon the economic conditions in Michigan’s Lower Peninsula.</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 xml:space="preserve">Recent Developments. </w:t>
      </w:r>
      <w:r>
        <w:rPr>
          <w:rFonts w:ascii="Arial" w:cs="Arial" w:eastAsia="Arial" w:hAnsi="Arial"/>
          <w:sz w:val="19"/>
          <w:szCs w:val="19"/>
          <w:color w:val="auto"/>
        </w:rPr>
        <w:t>On March 11, 2020, the World Health Organization declared COVID-19, the disease caused by the novel</w:t>
      </w:r>
      <w:r>
        <w:rPr>
          <w:rFonts w:ascii="Arial" w:cs="Arial" w:eastAsia="Arial" w:hAnsi="Arial"/>
          <w:sz w:val="19"/>
          <w:szCs w:val="19"/>
          <w:b w:val="1"/>
          <w:bCs w:val="1"/>
          <w:color w:val="auto"/>
        </w:rPr>
        <w:t xml:space="preserve"> </w:t>
      </w:r>
      <w:r>
        <w:rPr>
          <w:rFonts w:ascii="Arial" w:cs="Arial" w:eastAsia="Arial" w:hAnsi="Arial"/>
          <w:sz w:val="19"/>
          <w:szCs w:val="19"/>
          <w:color w:val="auto"/>
        </w:rPr>
        <w:t>coronavirus, a pandemic as a result of the global spread of the coronavirus illness. In response to the outbreak, federal and state authorities in the U.S. introduced various measures to try to limit or slow the spread of the virus, including travel restrictions, nonessential business closures, stay-at-home orders, and strict social distancing. The Governor of Michigan issued her first "stay home, stay safe" executive order effective March 24, 2020. In general that order and subsequent modifications require individuals in Michigan to stay at home or their place of residence, except for certain specified activities and for work by critical infrastructure workers, work by persons necessary to conduct minimum basic business operations, work by those performing necessary government activities and certain other permitted activities. In general, businesses may not require workers to leave their homes except to the extent those workers are necessary to sustain or protect human life, to conduct certain minimum basic business operations or to perform certain permitted activities. As a result of these actions, Michigan has already experienced a significant increase in unemployment. It is possible that Michigan's Governor may continue some form of executive order throughout the Company's second quarter.</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COVID-19 pandemic and related executive orders and federal government pandemic response guidance has had and continues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These factors may continue for a significant period of time.</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spread of COVID-19 has caused us to modify our business practices (such as limiting our branch lobbies to appointment only, requiring roughly 80% of our non-branch personnel to work remotely and expanded sick and vacation time), and we may take further actions as may be required or as we determine to be prudent. There is no certainty that such measures will be sufficient to mitigate the risks posed by COVID-19.</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It is against this backdrop that we discuss our results of operations and financial condition in the first quarter of 2020 as compared to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ESULTS OF</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PERATIONS</w:t>
      </w:r>
    </w:p>
    <w:p>
      <w:pPr>
        <w:spacing w:after="0" w:line="23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Summary. </w:t>
      </w:r>
      <w:r>
        <w:rPr>
          <w:rFonts w:ascii="Arial" w:cs="Arial" w:eastAsia="Arial" w:hAnsi="Arial"/>
          <w:sz w:val="19"/>
          <w:szCs w:val="19"/>
          <w:color w:val="auto"/>
        </w:rPr>
        <w:t>We recorded net income of $4.8 million and $9.4 million, respectively, during the three months ended March 31,</w:t>
      </w:r>
      <w:r>
        <w:rPr>
          <w:rFonts w:ascii="Arial" w:cs="Arial" w:eastAsia="Arial" w:hAnsi="Arial"/>
          <w:sz w:val="19"/>
          <w:szCs w:val="19"/>
          <w:b w:val="1"/>
          <w:bCs w:val="1"/>
          <w:color w:val="auto"/>
        </w:rPr>
        <w:t xml:space="preserve"> </w:t>
      </w:r>
      <w:r>
        <w:rPr>
          <w:rFonts w:ascii="Arial" w:cs="Arial" w:eastAsia="Arial" w:hAnsi="Arial"/>
          <w:sz w:val="19"/>
          <w:szCs w:val="19"/>
          <w:color w:val="auto"/>
        </w:rPr>
        <w:t>2020 and 2019. The decrease in 2020 first quarter results as compared to 2019 reflects increases in provision for loan losses and non-interest expense that were partially offset by an increase in non-interest income and a decrease in income tax expense.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ratios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60" w:type="dxa"/>
            <w:vAlign w:val="bottom"/>
            <w:gridSpan w:val="7"/>
          </w:tcPr>
          <w:p>
            <w:pPr>
              <w:jc w:val="right"/>
              <w:ind w:right="680"/>
              <w:spacing w:after="0"/>
              <w:rPr>
                <w:sz w:val="20"/>
                <w:szCs w:val="20"/>
                <w:color w:val="auto"/>
              </w:rPr>
            </w:pPr>
            <w:r>
              <w:rPr>
                <w:rFonts w:ascii="Arial" w:cs="Arial" w:eastAsia="Arial" w:hAnsi="Arial"/>
                <w:sz w:val="18"/>
                <w:szCs w:val="18"/>
                <w:color w:val="auto"/>
              </w:rPr>
              <w:t>Three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42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2020</w:t>
            </w:r>
          </w:p>
        </w:tc>
        <w:tc>
          <w:tcPr>
            <w:tcW w:w="940" w:type="dxa"/>
            <w:vAlign w:val="bottom"/>
            <w:gridSpan w:val="4"/>
          </w:tcPr>
          <w:p>
            <w:pPr>
              <w:ind w:left="140"/>
              <w:spacing w:after="0"/>
              <w:rPr>
                <w:sz w:val="20"/>
                <w:szCs w:val="20"/>
                <w:color w:val="auto"/>
              </w:rPr>
            </w:pPr>
            <w:r>
              <w:rPr>
                <w:rFonts w:ascii="Arial" w:cs="Arial" w:eastAsia="Arial" w:hAnsi="Arial"/>
                <w:sz w:val="18"/>
                <w:szCs w:val="18"/>
                <w:color w:val="auto"/>
                <w:w w:val="97"/>
              </w:rPr>
              <w:t>March 31,</w:t>
            </w:r>
          </w:p>
        </w:tc>
        <w:tc>
          <w:tcPr>
            <w:tcW w:w="8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4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income (annualized) to</w:t>
            </w:r>
          </w:p>
        </w:tc>
        <w:tc>
          <w:tcPr>
            <w:tcW w:w="35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assets</w:t>
            </w:r>
          </w:p>
        </w:tc>
        <w:tc>
          <w:tcPr>
            <w:tcW w:w="3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0.54%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Average shareholders’ equity</w:t>
            </w:r>
          </w:p>
        </w:tc>
        <w:tc>
          <w:tcPr>
            <w:tcW w:w="3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w w:val="97"/>
              </w:rPr>
              <w:t>5.54%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2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0.22</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0.39</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3920" w:type="dxa"/>
            <w:vAlign w:val="bottom"/>
          </w:tcPr>
          <w:p>
            <w:pPr>
              <w:spacing w:after="0"/>
              <w:rPr>
                <w:sz w:val="24"/>
                <w:szCs w:val="24"/>
                <w:color w:val="auto"/>
              </w:rPr>
            </w:pPr>
          </w:p>
        </w:tc>
        <w:tc>
          <w:tcPr>
            <w:tcW w:w="3520" w:type="dxa"/>
            <w:vAlign w:val="bottom"/>
          </w:tcPr>
          <w:p>
            <w:pPr>
              <w:jc w:val="right"/>
              <w:ind w:right="1656"/>
              <w:spacing w:after="0"/>
              <w:rPr>
                <w:sz w:val="20"/>
                <w:szCs w:val="20"/>
                <w:color w:val="auto"/>
              </w:rPr>
            </w:pPr>
            <w:r>
              <w:rPr>
                <w:rFonts w:ascii="Arial" w:cs="Arial" w:eastAsia="Arial" w:hAnsi="Arial"/>
                <w:sz w:val="14"/>
                <w:szCs w:val="14"/>
                <w:color w:val="auto"/>
              </w:rPr>
              <w:t>59</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Net interest income. </w:t>
      </w:r>
      <w:r>
        <w:rPr>
          <w:rFonts w:ascii="Arial" w:cs="Arial" w:eastAsia="Arial" w:hAnsi="Arial"/>
          <w:sz w:val="19"/>
          <w:szCs w:val="19"/>
          <w:color w:val="auto"/>
        </w:rPr>
        <w:t>Net interest income is the most important source of our earnings and thus is critical in evaluating our</w:t>
      </w:r>
      <w:r>
        <w:rPr>
          <w:rFonts w:ascii="Arial" w:cs="Arial" w:eastAsia="Arial" w:hAnsi="Arial"/>
          <w:sz w:val="19"/>
          <w:szCs w:val="19"/>
          <w:b w:val="1"/>
          <w:bCs w:val="1"/>
          <w:color w:val="auto"/>
        </w:rPr>
        <w:t xml:space="preserve"> </w:t>
      </w:r>
      <w:r>
        <w:rPr>
          <w:rFonts w:ascii="Arial" w:cs="Arial" w:eastAsia="Arial" w:hAnsi="Arial"/>
          <w:sz w:val="19"/>
          <w:szCs w:val="19"/>
          <w:color w:val="auto"/>
        </w:rPr>
        <w:t>results 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or interest-rate risk, in particular, can adversely impact our net interest income.</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net interest income totaled $30.2 million during the first quarter of 2020, a decrease of $0.05 million, or 0.20% from the year-ago period. This decrease primarily reflects a 25 basis point decrease in our tax equivalent net interest income as a percent of average interest-earning assets (the “net interest margin”) that was partially offset by a $198.8 million increase in average interest-earning assets.</w:t>
      </w:r>
    </w:p>
    <w:p>
      <w:pPr>
        <w:spacing w:after="0" w:line="212"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Interest and fees on loans include $0.3 million and $0.4 million for the first quarter of 2020 and 2019, respectively, of accretion of the discount recorded on loans acquired in the acquisition of TCSB Bancorp, Inc. (“TCSB,” the “Merger”) on April 1, 2018.</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increase in average interest-earning assets primarily reflects loan growth utilizing funds from increases in deposits and borrowed funds. The decrease in the net interest margin reflects the impact of lower market interest rates and a flattening of the yield curve during 2019, as well as the rapid decline in interest rates during the first quarter of 2020.</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net interest income is also adversely impacted by our level of non-accrual loans. In the first quarter of 2020 non-accrual loans averaged $11.1 million compared to $9.1 million in the first quarter of 2019. In addition, in the first quarter of 2020 we had net recoveries of $0.16 million of unpaid interest on loans placed on or taken off non-accrual or on loans previously charged-off compared to net recoveries of $0.23 million in the first quarter of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Average Balances and Tax Equivalent Rates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Three months ended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62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March 31,</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w w:val="98"/>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ind w:left="28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26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Average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Balance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Interest</w:t>
            </w:r>
          </w:p>
        </w:tc>
        <w:tc>
          <w:tcPr>
            <w:tcW w:w="20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(Dollars in thousands)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2,758,909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31,688</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2,613,182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32,600</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5.03%</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6"/>
                <w:szCs w:val="16"/>
                <w:color w:val="auto"/>
              </w:rPr>
              <w:t xml:space="preserve">Tax-exempt loans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4.96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8,689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3,059</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389,845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3,006</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59,300</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490</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56,889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469</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65,213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18,359</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18,359</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264</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Interest Earning Assets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3,350,948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4.28</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3,152,177</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36,753</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49,610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34,240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170,586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jc w:val="right"/>
              <w:ind w:right="31"/>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3,565,829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3,357,003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Savings and interest-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bearing checking</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1,615,589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1,930</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0.48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1,361,057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1,486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2,770</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688,434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Other borrowings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99,535</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66,058</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Interest Bearing Liabilities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2,309,995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0.94</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2,115,549</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Non-interest bearing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855,838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859,605</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51,033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40,257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348,963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341,592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Total liabilities and shareholders’ equity</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3,565,829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3,357,003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30,312</w:t>
            </w:r>
          </w:p>
        </w:tc>
        <w:tc>
          <w:tcPr>
            <w:tcW w:w="1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30,360</w:t>
            </w: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jc w:val="right"/>
              <w:ind w:right="31"/>
              <w:spacing w:after="0" w:line="201" w:lineRule="exact"/>
              <w:rPr>
                <w:sz w:val="20"/>
                <w:szCs w:val="20"/>
                <w:color w:val="auto"/>
              </w:rPr>
            </w:pPr>
            <w:r>
              <w:rPr>
                <w:rFonts w:ascii="Arial" w:cs="Arial" w:eastAsia="Arial" w:hAnsi="Arial"/>
                <w:sz w:val="18"/>
                <w:szCs w:val="18"/>
                <w:color w:val="auto"/>
              </w:rPr>
              <w:t>Net Interest Income as a Percent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Average Interest Earning Assets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3.88%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20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on tax-exempt loans and securities is presented on a fully tax equivalent basis assuming a marginal tax rate of 21%.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 of Non-GAAP Financial Measures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510"/>
              <w:spacing w:after="0"/>
              <w:rPr>
                <w:sz w:val="20"/>
                <w:szCs w:val="20"/>
                <w:color w:val="auto"/>
              </w:rPr>
            </w:pPr>
            <w:r>
              <w:rPr>
                <w:rFonts w:ascii="Arial" w:cs="Arial" w:eastAsia="Arial" w:hAnsi="Arial"/>
                <w:sz w:val="18"/>
                <w:szCs w:val="18"/>
                <w:color w:val="auto"/>
                <w:w w:val="92"/>
              </w:rPr>
              <w:t>March 31,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Margin, Fully Taxable Equivalent ("FTE")</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85"/>
              </w:rPr>
              <w:t>in</w:t>
            </w:r>
          </w:p>
        </w:tc>
        <w:tc>
          <w:tcPr>
            <w:tcW w:w="11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30,191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30,243</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Add: taxable equivalent adjustment</w:t>
            </w:r>
          </w:p>
        </w:tc>
        <w:tc>
          <w:tcPr>
            <w:tcW w:w="220" w:type="dxa"/>
            <w:vAlign w:val="bottom"/>
          </w:tcPr>
          <w:p>
            <w:pPr>
              <w:spacing w:after="0"/>
              <w:rPr>
                <w:sz w:val="18"/>
                <w:szCs w:val="18"/>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30,312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30,360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Pr>
          <w:p>
            <w:pPr>
              <w:spacing w:after="0" w:line="210" w:lineRule="exact"/>
              <w:rPr>
                <w:sz w:val="20"/>
                <w:szCs w:val="20"/>
                <w:color w:val="auto"/>
              </w:rPr>
            </w:pPr>
            <w:r>
              <w:rPr>
                <w:rFonts w:ascii="Arial" w:cs="Arial" w:eastAsia="Arial" w:hAnsi="Arial"/>
                <w:sz w:val="15"/>
                <w:szCs w:val="15"/>
                <w:color w:val="auto"/>
              </w:rPr>
              <w:t xml:space="preserve">Net interest margin (GAAP) </w:t>
            </w:r>
            <w:r>
              <w:rPr>
                <w:rFonts w:ascii="Arial" w:cs="Arial" w:eastAsia="Arial" w:hAnsi="Arial"/>
                <w:sz w:val="24"/>
                <w:szCs w:val="24"/>
                <w:color w:val="auto"/>
                <w:vertAlign w:val="superscript"/>
              </w:rPr>
              <w:t>(1)</w:t>
            </w:r>
          </w:p>
        </w:tc>
        <w:tc>
          <w:tcPr>
            <w:tcW w:w="22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4"/>
                <w:szCs w:val="24"/>
                <w:color w:val="auto"/>
                <w:vertAlign w:val="superscript"/>
              </w:rPr>
              <w:t>(1)</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Provision for loan losses. </w:t>
      </w:r>
      <w:r>
        <w:rPr>
          <w:rFonts w:ascii="Arial" w:cs="Arial" w:eastAsia="Arial" w:hAnsi="Arial"/>
          <w:sz w:val="22"/>
          <w:szCs w:val="22"/>
          <w:color w:val="auto"/>
        </w:rPr>
        <w:t>We have elected to delay the adoption of CECL as permitted by Section 4014 of the CARES Act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utilize the existing incurred loss impairment methodology to calculate our allowance for loan losses and our provision for loan losses. See note #2 to the Condensed Consolidated Financial Statements included within this report for our discussion on CECL implementation.</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provision for loan losses was $6.7 million and $0.7 million during the three months ended March 31, 2020 and 2019, respectively. The provision reflects our assessment of the allowance for loan losses taking into consideration factors such as loan growth,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 in the first quarter of 2020.</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Non-interest income. </w:t>
      </w:r>
      <w:r>
        <w:rPr>
          <w:rFonts w:ascii="Arial" w:cs="Arial" w:eastAsia="Arial" w:hAnsi="Arial"/>
          <w:sz w:val="22"/>
          <w:szCs w:val="22"/>
          <w:color w:val="auto"/>
        </w:rPr>
        <w:t>Non-interest income is a significant element in assessing our results of operations. Non-interest income</w:t>
      </w:r>
      <w:r>
        <w:rPr>
          <w:rFonts w:ascii="Arial" w:cs="Arial" w:eastAsia="Arial" w:hAnsi="Arial"/>
          <w:sz w:val="22"/>
          <w:szCs w:val="22"/>
          <w:b w:val="1"/>
          <w:bCs w:val="1"/>
          <w:color w:val="auto"/>
        </w:rPr>
        <w:t xml:space="preserve"> </w:t>
      </w:r>
      <w:r>
        <w:rPr>
          <w:rFonts w:ascii="Arial" w:cs="Arial" w:eastAsia="Arial" w:hAnsi="Arial"/>
          <w:sz w:val="22"/>
          <w:szCs w:val="22"/>
          <w:color w:val="auto"/>
        </w:rPr>
        <w:t>totaled $11.0 million during the first quarter of 2020 compared to $10.0 million in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non-interest income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Non-Interest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Interchange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1100" w:type="dxa"/>
            <w:vAlign w:val="bottom"/>
            <w:gridSpan w:val="2"/>
          </w:tcPr>
          <w:p>
            <w:pPr>
              <w:jc w:val="right"/>
              <w:ind w:right="76"/>
              <w:spacing w:after="0"/>
              <w:rPr>
                <w:sz w:val="20"/>
                <w:szCs w:val="20"/>
                <w:color w:val="auto"/>
              </w:rPr>
            </w:pPr>
            <w:r>
              <w:rPr>
                <w:rFonts w:ascii="Arial" w:cs="Arial" w:eastAsia="Arial" w:hAnsi="Arial"/>
                <w:sz w:val="18"/>
                <w:szCs w:val="18"/>
                <w:color w:val="auto"/>
              </w:rPr>
              <w:t>(5,300)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11,004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9,959</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Comparing first quarter of 2020 to first quarter of 2019:</w:t>
      </w:r>
    </w:p>
    <w:p>
      <w:pPr>
        <w:spacing w:after="0" w:line="24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Service charges on deposit accounts decreased principally due to a decrease in non-sufficient funds charges.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Interchange income increased due primarily to an increase in debit card transactions.</w:t>
      </w:r>
    </w:p>
    <w:p>
      <w:pPr>
        <w:spacing w:after="0" w:line="231"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Net gains on mortgage loans increased to $8.8 million in the first quarter of 2020 from $3.6 million in the first quarter of 2019. Mortgage loan sales totaled $262.3 million and $154.5 million in the first quarters of 2020 and 2019 respectively. Mortgage loans originated totaled $311.1 million in the first quarter of 2020 compared to $137.8 million in the first quarter of 2019. Mortgage loan activity is summarized as follows: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Mortgage Loan Activity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Three months ended</w:t>
            </w:r>
          </w:p>
        </w:tc>
      </w:tr>
      <w:tr>
        <w:trPr>
          <w:trHeight w:val="216"/>
        </w:trPr>
        <w:tc>
          <w:tcPr>
            <w:tcW w:w="5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52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20"/>
                <w:szCs w:val="20"/>
                <w:color w:val="auto"/>
              </w:rPr>
            </w:pPr>
          </w:p>
        </w:tc>
      </w:tr>
      <w:tr>
        <w:trPr>
          <w:trHeight w:val="216"/>
        </w:trPr>
        <w:tc>
          <w:tcPr>
            <w:tcW w:w="5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71"/>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3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311,078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137,758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Mortgage loans sold</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262,260</w:t>
            </w: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154,525</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8,840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w w:val="96"/>
              </w:rPr>
              <w:t>Net gains as a percent of mortgage loans sold ("Loan Sales Margin")</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w:t>
            </w: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Loan Sales Margin</w:t>
            </w: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0.78</w:t>
            </w:r>
          </w:p>
        </w:tc>
        <w:tc>
          <w:tcPr>
            <w:tcW w:w="3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0.58</w:t>
            </w:r>
          </w:p>
        </w:tc>
      </w:tr>
      <w:tr>
        <w:trPr>
          <w:trHeight w:val="581"/>
        </w:trPr>
        <w:tc>
          <w:tcPr>
            <w:tcW w:w="5280" w:type="dxa"/>
            <w:vAlign w:val="bottom"/>
          </w:tcPr>
          <w:p>
            <w:pPr>
              <w:spacing w:after="0"/>
              <w:rPr>
                <w:sz w:val="24"/>
                <w:szCs w:val="24"/>
                <w:color w:val="auto"/>
              </w:rPr>
            </w:pPr>
          </w:p>
        </w:tc>
        <w:tc>
          <w:tcPr>
            <w:tcW w:w="3320" w:type="dxa"/>
            <w:vAlign w:val="bottom"/>
          </w:tcPr>
          <w:p>
            <w:pPr>
              <w:jc w:val="right"/>
              <w:ind w:right="2819"/>
              <w:spacing w:after="0"/>
              <w:rPr>
                <w:sz w:val="20"/>
                <w:szCs w:val="20"/>
                <w:color w:val="auto"/>
              </w:rPr>
            </w:pPr>
            <w:r>
              <w:rPr>
                <w:rFonts w:ascii="Arial" w:cs="Arial" w:eastAsia="Arial" w:hAnsi="Arial"/>
                <w:sz w:val="14"/>
                <w:szCs w:val="14"/>
                <w:color w:val="auto"/>
              </w:rPr>
              <w:t>63</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52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increase in mortgage loans originated is due primarily to lower interest rates spurring higher mortgage loan refinance volumes. Mortgage loans sold increased due to a higher mix of salable loans in our origination volumes and the rise in mortgage loan refinance activity. These factors resulted in net gains on mortgage loans increasing in the first quarter of 2020 as compared to the first quarter of 2019.</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Loan Sales Margin is impacted by several factors including competition and the manner in which the loan is sold. Net gains on mortgage loans are also impacted by recording fair value accounting adjustments. Excluding the aforementioned fair value accounting adjustments, as well as portfolio mortgage loan sales of $28.7 million and $70.4 million in the first quarters of 2020 and 2019, respectively, the Loan Sales Margin would have been 2.57% and 2.59% for these respective periods. The changes in the fair value accounting adjustments are primarily due to changes in the amount of commitments to originate mortgage loans for sale.</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gains (losses) on securities were relatively nominal for the comparative quarterly periods. We recorded net gains of $0.3 million on securities for the first quarters of both 2020 and 2019. We recorded no net impairment losses in either 2020 or 2019 for other than temporary impairment of securities available for sale. See “Securities” below and note #3 to the Condensed Consolidated Financial Statements.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Mortgage loan servicing, net, generated losses of $5.3 million and $1.2 million in the first quarters of 2020 and 2019, respectively. The significant variances in mortgage loan servicing, net are primarily due to changes in the fair value of capitalized mortgage loan servicing rights associated with changes in mortgage loan interest rates and expected future prepayment levels. This activity is summarized in the following table: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Mortgage Servicing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color w:val="auto"/>
                <w:w w:val="89"/>
              </w:rPr>
              <w:t>Three months ended</w:t>
            </w:r>
          </w:p>
        </w:tc>
      </w:tr>
      <w:tr>
        <w:trPr>
          <w:trHeight w:val="216"/>
        </w:trPr>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Mortgage loan servicing</w:t>
            </w:r>
          </w:p>
        </w:tc>
        <w:tc>
          <w:tcPr>
            <w:tcW w:w="24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(Dollars in thousands)</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r>
      <w:tr>
        <w:trPr>
          <w:trHeight w:val="216"/>
        </w:trPr>
        <w:tc>
          <w:tcPr>
            <w:tcW w:w="7520" w:type="dxa"/>
            <w:vAlign w:val="bottom"/>
          </w:tcPr>
          <w:p>
            <w:pPr>
              <w:ind w:left="180"/>
              <w:spacing w:after="0"/>
              <w:rPr>
                <w:sz w:val="20"/>
                <w:szCs w:val="20"/>
                <w:color w:val="auto"/>
              </w:rPr>
            </w:pPr>
            <w:r>
              <w:rPr>
                <w:rFonts w:ascii="Arial" w:cs="Arial" w:eastAsia="Arial" w:hAnsi="Arial"/>
                <w:sz w:val="18"/>
                <w:szCs w:val="18"/>
                <w:color w:val="auto"/>
              </w:rPr>
              <w:t>Fair value change due to price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(5,931)</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(2,203)</w:t>
            </w:r>
          </w:p>
        </w:tc>
      </w:tr>
      <w:tr>
        <w:trPr>
          <w:trHeight w:val="216"/>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change due to pay-downs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r>
      <w:tr>
        <w:trPr>
          <w:trHeight w:val="27"/>
        </w:trPr>
        <w:tc>
          <w:tcPr>
            <w:tcW w:w="75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r>
      <w:tr>
        <w:trPr>
          <w:trHeight w:val="20"/>
        </w:trPr>
        <w:tc>
          <w:tcPr>
            <w:tcW w:w="7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significant variance in the fair value change due to price relates primarily to the decline in mortgage loan interest rates in the first quarter of 2020. That decline increased projected prepayment rates for mortgage loans serviced for others, leading to a decrease in fair value.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Activity related to capitalized mortgage loan servicing rights is as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Capitalized Mortgage Loan Servicing Rights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216"/>
        </w:trPr>
        <w:tc>
          <w:tcPr>
            <w:tcW w:w="5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r>
      <w:tr>
        <w:trPr>
          <w:trHeight w:val="216"/>
        </w:trPr>
        <w:tc>
          <w:tcPr>
            <w:tcW w:w="5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3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21,400</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Servicing rights acquired</w:t>
            </w: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23"/>
        </w:trPr>
        <w:tc>
          <w:tcPr>
            <w:tcW w:w="522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76"/>
              <w:spacing w:after="0"/>
              <w:rPr>
                <w:sz w:val="20"/>
                <w:szCs w:val="20"/>
                <w:color w:val="auto"/>
              </w:rPr>
            </w:pPr>
            <w:r>
              <w:rPr>
                <w:rFonts w:ascii="Arial" w:cs="Arial" w:eastAsia="Arial" w:hAnsi="Arial"/>
                <w:sz w:val="18"/>
                <w:szCs w:val="18"/>
                <w:color w:val="auto"/>
              </w:rPr>
              <w:t>(6,974)</w:t>
            </w: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(2,691)</w:t>
            </w:r>
          </w:p>
        </w:tc>
      </w:tr>
      <w:tr>
        <w:trPr>
          <w:trHeight w:val="257"/>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At March 31, 2020 we were servicing approximately $2.68 billion in mortgage loans for others on which servicing rights have been capitalized. This servicing portfolio had a weighted average coupon rate of 4.18% and a weighted average service fee of approximately 25.8 basis points. Capitalized mortgage loan servicing rights at March 31, 2020 totaled $14.8 million, representing approximately 55 basis points on the related amount of mortgage loans serviced for others.</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Investment and insurance commissions represent revenues generated on the sale or management of investments and insurance for our customers. These revenues increased on a year-to-date basis in 2020 as compared to 2019 primarily due to slower sales in the first quarter of 2019.</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Income from bank owned life insurance (“BOLI”) was relatively consistent in the first quarter of 2020 compared to the first quarter of 2019. Our BOLI separate account is primarily invested in agency mortgage-backed securities. The crediting rate (on which the earnings are based) reflects the performance of the separate account. The total cash surrender value of our BOLI was $55.0 million and $55.7 million at March 31, 2020 and December 31, 2019, respectively.</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Other non-interest income decreased in the first quarter of 2020 compared to 2019, due primarily to $0.38 million of recoveries recorded in the first quarter of 2019 on TCSB loans that had been charged-off prior to the Merger.</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Non-interest expense. </w:t>
      </w:r>
      <w:r>
        <w:rPr>
          <w:rFonts w:ascii="Arial" w:cs="Arial" w:eastAsia="Arial" w:hAnsi="Arial"/>
          <w:sz w:val="22"/>
          <w:szCs w:val="22"/>
          <w:color w:val="auto"/>
        </w:rPr>
        <w:t>Non-interest expense is an important component of our results of operations. We strive to efficiently</w:t>
      </w:r>
      <w:r>
        <w:rPr>
          <w:rFonts w:ascii="Arial" w:cs="Arial" w:eastAsia="Arial" w:hAnsi="Arial"/>
          <w:sz w:val="22"/>
          <w:szCs w:val="22"/>
          <w:b w:val="1"/>
          <w:bCs w:val="1"/>
          <w:color w:val="auto"/>
        </w:rPr>
        <w:t xml:space="preserve"> </w:t>
      </w:r>
      <w:r>
        <w:rPr>
          <w:rFonts w:ascii="Arial" w:cs="Arial" w:eastAsia="Arial" w:hAnsi="Arial"/>
          <w:sz w:val="22"/>
          <w:szCs w:val="22"/>
          <w:color w:val="auto"/>
        </w:rPr>
        <w:t>manage our cost structure.</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Non-interest expense increased by $0.7 million to $28.7 million in the first quarter of 2020 compared to the first quarter of 2019.</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non-interest expense are as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Non-Interest Expense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ind w:left="260"/>
              <w:spacing w:after="0"/>
              <w:rPr>
                <w:sz w:val="20"/>
                <w:szCs w:val="20"/>
                <w:color w:val="auto"/>
              </w:rPr>
            </w:pPr>
            <w:r>
              <w:rPr>
                <w:rFonts w:ascii="Arial" w:cs="Arial" w:eastAsia="Arial" w:hAnsi="Arial"/>
                <w:sz w:val="18"/>
                <w:szCs w:val="18"/>
                <w:color w:val="auto"/>
              </w:rPr>
              <w:t>Three months ended</w:t>
            </w:r>
          </w:p>
        </w:tc>
      </w:tr>
      <w:tr>
        <w:trPr>
          <w:trHeight w:val="216"/>
        </w:trPr>
        <w:tc>
          <w:tcPr>
            <w:tcW w:w="5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0"/>
                <w:szCs w:val="20"/>
                <w:color w:val="auto"/>
              </w:rPr>
            </w:pPr>
          </w:p>
        </w:tc>
      </w:tr>
      <w:tr>
        <w:trPr>
          <w:trHeight w:val="216"/>
        </w:trPr>
        <w:tc>
          <w:tcPr>
            <w:tcW w:w="5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60" w:type="dxa"/>
            <w:vAlign w:val="bottom"/>
            <w:gridSpan w:val="3"/>
          </w:tcPr>
          <w:p>
            <w:pPr>
              <w:jc w:val="right"/>
              <w:ind w:right="630"/>
              <w:spacing w:after="0"/>
              <w:rPr>
                <w:sz w:val="20"/>
                <w:szCs w:val="20"/>
                <w:color w:val="auto"/>
              </w:rPr>
            </w:pPr>
            <w:r>
              <w:rPr>
                <w:rFonts w:ascii="Arial" w:cs="Arial" w:eastAsia="Arial" w:hAnsi="Arial"/>
                <w:sz w:val="17"/>
                <w:szCs w:val="17"/>
                <w:color w:val="auto"/>
                <w:w w:val="73"/>
              </w:rPr>
              <w:t>thousands)</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2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10,703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r>
      <w:tr>
        <w:trPr>
          <w:trHeight w:val="223"/>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1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Compensation and employee benefits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16,509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16,351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Data processing</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2,144</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Interchange expense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859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805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Communications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803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683</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393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FDIC deposit insurance</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370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184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Costs related to unfunded lending commitments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6"/>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losses on other real estate and repossessed assets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Credit card and bank service fees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loss reimbursement on sold loans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r>
      <w:tr>
        <w:trPr>
          <w:trHeight w:val="257"/>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expense</w:t>
            </w:r>
          </w:p>
        </w:tc>
        <w:tc>
          <w:tcPr>
            <w:tcW w:w="1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Compensation and employee benefits expenses, in total, increased $0.2 million on a quarterly comparative basis.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Compensation expense increased by $0.2 million in the first quarter of 2020 compared to the first quarter of 2019. The increase in 2020 is primarily due to annual compensation increases that were predominantly effective on January 1, 2020.</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Performance-based compensation for the first quarter of 2020 decreased by $0.1 million versus the same period in 2019, due primarily to a lower accrual for anticipated incentive compensation based on our estimated full-year performance as compared to goals.</w:t>
      </w:r>
    </w:p>
    <w:p>
      <w:pPr>
        <w:spacing w:after="0" w:line="213"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Data processing expenses increased $0.2 million in the first quarter of 2020 compared to the first quarter of 2019. The increase was due primarily to our retail mortgage loan processing system as well as increases in mobile-banking related costs (due to higher usage and additional features).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ind w:right="120"/>
        <w:spacing w:after="0" w:line="274" w:lineRule="auto"/>
        <w:rPr>
          <w:sz w:val="20"/>
          <w:szCs w:val="20"/>
          <w:color w:val="auto"/>
        </w:rPr>
      </w:pPr>
      <w:r>
        <w:rPr>
          <w:rFonts w:ascii="Arial" w:cs="Arial" w:eastAsia="Arial" w:hAnsi="Arial"/>
          <w:sz w:val="21"/>
          <w:szCs w:val="21"/>
          <w:color w:val="auto"/>
        </w:rPr>
        <w:t>Interchange expense primarily represents our third-party cost to process debit card transactions. This cost increased in the first quarter of 2020 compared to the first quarter of 2019 due principally to an increase in transaction volume.</w:t>
      </w:r>
    </w:p>
    <w:p>
      <w:pPr>
        <w:spacing w:after="0" w:line="178"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Loan and collection expenses reflect costs related to lending activity, including the management and collection of non-performing loans and other problem credits. The increased expenses in 2020 as compared to 2019 primarily reflects a higher level of lending activity.</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amortization of intangible assets relates to the Merger and prior branch acquisitions and the amortization of the deposit customer relationship value, including core deposit value, which was acquired in connection with those acquisitions. We had remaining unamortized intangible assets of $5.1 million and $5.3 million at March 31 2020 and December 31, 2019, respectively. See note #7 to the Condensed Consolidated Financial Statements for a schedule of future amortization of intangible assets.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provision for loss reimbursement on sold loans was an expense of $0.04 million and $0.11 million in the first quarter of 2020 and the first quarter of 2019, respectively. This provision represents our estimate of incurred losses related to mortgage loans that we have sold to investors (primarily Fannie Mae, Freddie Mac, Ginnie Mae and the Federal Home Loan Bank of Indianapolis). The decrease in provision during the first quarter of 2020 as compared to the same period in 2019 is due primarily to lower loan defaults. Since we sell mortgage loans without recourse, loss reimbursements only occur in those instances where we have breached a representation or warranty or other contractual requirement related to the loan sale. The reserve for loss reimbursements on sold mortgage loans totaled $0.92 million and $0.88 million at March 31, 2020 and December 31, 2019, respectively. This reserve is included in accrued expenses and other liabilities in our Condensed Consolidated Statements of Financial Condition.</w:t>
      </w:r>
    </w:p>
    <w:p>
      <w:pPr>
        <w:spacing w:after="0" w:line="211" w:lineRule="exact"/>
        <w:rPr>
          <w:sz w:val="20"/>
          <w:szCs w:val="20"/>
          <w:color w:val="auto"/>
        </w:rPr>
      </w:pPr>
    </w:p>
    <w:p>
      <w:pPr>
        <w:jc w:val="both"/>
        <w:ind w:right="20"/>
        <w:spacing w:after="0" w:line="236" w:lineRule="auto"/>
        <w:rPr>
          <w:sz w:val="20"/>
          <w:szCs w:val="20"/>
          <w:color w:val="auto"/>
        </w:rPr>
      </w:pPr>
      <w:r>
        <w:rPr>
          <w:rFonts w:ascii="Arial" w:cs="Arial" w:eastAsia="Arial" w:hAnsi="Arial"/>
          <w:sz w:val="22"/>
          <w:szCs w:val="22"/>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w:t>
      </w:r>
    </w:p>
    <w:p>
      <w:pPr>
        <w:spacing w:after="0" w:line="208"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We recorded an income tax expense of $0.9 million and $2.2 million in the first quarters of 2020 and 2019,</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respectively.</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March 31, 2020 and 2019 and at December 31, 2019 that the realization of substantially all of our deferred tax assets continues to be more likely than not.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INANCIAL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ONDITION</w:t>
      </w:r>
    </w:p>
    <w:p>
      <w:pPr>
        <w:spacing w:after="0" w:line="23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Summary. </w:t>
      </w:r>
      <w:r>
        <w:rPr>
          <w:rFonts w:ascii="Arial" w:cs="Arial" w:eastAsia="Arial" w:hAnsi="Arial"/>
          <w:sz w:val="22"/>
          <w:szCs w:val="22"/>
          <w:color w:val="auto"/>
        </w:rPr>
        <w:t>Our total assets increased by $67.7 million during the first quarter of 2020. Loans, excluding loans held for sale,</w:t>
      </w:r>
      <w:r>
        <w:rPr>
          <w:rFonts w:ascii="Arial" w:cs="Arial" w:eastAsia="Arial" w:hAnsi="Arial"/>
          <w:sz w:val="22"/>
          <w:szCs w:val="22"/>
          <w:b w:val="1"/>
          <w:bCs w:val="1"/>
          <w:color w:val="auto"/>
        </w:rPr>
        <w:t xml:space="preserve"> </w:t>
      </w:r>
      <w:r>
        <w:rPr>
          <w:rFonts w:ascii="Arial" w:cs="Arial" w:eastAsia="Arial" w:hAnsi="Arial"/>
          <w:sz w:val="22"/>
          <w:szCs w:val="22"/>
          <w:color w:val="auto"/>
        </w:rPr>
        <w:t>were $2.72 billion at March 31, 2020, compared to $2.73 billion at December 31, 2019. Growth in commercial loans of $14.9 million and installment loans of $7.1 million were more than offset by a decline in mortgage loans of $28.9 million, due primarily to the securitization and/or sale of $28.7 million of portfolio mortgage loans during the quarter. (See "Portfolio Loans and asset quality.")</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Deposits totaled $3.08 billion at March 31, 2020, an increase of $46.8 million from December 31, 2019. The increase in deposits is primarily due to growth in non-interest bearing deposits, savings and interest bearing checking deposits and reciprocal deposits that were partially offset by a decline in time and brokered time deposits.</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Securities. </w:t>
      </w:r>
      <w:r>
        <w:rPr>
          <w:rFonts w:ascii="Arial" w:cs="Arial" w:eastAsia="Arial" w:hAnsi="Arial"/>
          <w:sz w:val="22"/>
          <w:szCs w:val="22"/>
          <w:color w:val="auto"/>
        </w:rPr>
        <w:t>We maintain diversified securities portfolios, which include obligations of U.S. government-sponsored agencies,</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issued by states and 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Amortized</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Fair</w:t>
            </w:r>
          </w:p>
        </w:tc>
      </w:tr>
      <w:tr>
        <w:trPr>
          <w:trHeight w:val="223"/>
        </w:trPr>
        <w:tc>
          <w:tcPr>
            <w:tcW w:w="9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19"/>
                <w:szCs w:val="19"/>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March 31,</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590,572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10,051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594,284</w:t>
            </w:r>
          </w:p>
        </w:tc>
      </w:tr>
      <w:tr>
        <w:trPr>
          <w:trHeight w:val="230"/>
        </w:trPr>
        <w:tc>
          <w:tcPr>
            <w:tcW w:w="940" w:type="dxa"/>
            <w:vAlign w:val="bottom"/>
          </w:tcPr>
          <w:p>
            <w:pPr>
              <w:ind w:left="180"/>
              <w:spacing w:after="0"/>
              <w:rPr>
                <w:sz w:val="20"/>
                <w:szCs w:val="20"/>
                <w:color w:val="auto"/>
              </w:rPr>
            </w:pPr>
            <w:r>
              <w:rPr>
                <w:rFonts w:ascii="Arial" w:cs="Arial" w:eastAsia="Arial" w:hAnsi="Arial"/>
                <w:sz w:val="18"/>
                <w:szCs w:val="18"/>
                <w:color w:val="auto"/>
                <w:w w:val="89"/>
              </w:rPr>
              <w:t>December</w:t>
            </w:r>
          </w:p>
        </w:tc>
        <w:tc>
          <w:tcPr>
            <w:tcW w:w="2480" w:type="dxa"/>
            <w:vAlign w:val="bottom"/>
          </w:tcPr>
          <w:p>
            <w:pPr>
              <w:ind w:left="20"/>
              <w:spacing w:after="0"/>
              <w:rPr>
                <w:sz w:val="20"/>
                <w:szCs w:val="20"/>
                <w:color w:val="auto"/>
              </w:rPr>
            </w:pPr>
            <w:r>
              <w:rPr>
                <w:rFonts w:ascii="Arial" w:cs="Arial" w:eastAsia="Arial" w:hAnsi="Arial"/>
                <w:sz w:val="18"/>
                <w:szCs w:val="18"/>
                <w:color w:val="auto"/>
              </w:rPr>
              <w:t>31, 2019</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513,668</w:t>
            </w:r>
          </w:p>
        </w:tc>
        <w:tc>
          <w:tcPr>
            <w:tcW w:w="220" w:type="dxa"/>
            <w:vAlign w:val="bottom"/>
          </w:tcPr>
          <w:p>
            <w:pPr>
              <w:spacing w:after="0"/>
              <w:rPr>
                <w:sz w:val="20"/>
                <w:szCs w:val="20"/>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5,782</w:t>
            </w:r>
          </w:p>
        </w:tc>
        <w:tc>
          <w:tcPr>
            <w:tcW w:w="3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518,400</w:t>
            </w:r>
          </w:p>
        </w:tc>
      </w:tr>
    </w:tbl>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Securities available for sale increased $75.9 million during the first three months of 2020. 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 We recorded no impairment losses related to other than temporary impairment on securities available for sale in either of the first quarter of 2020 or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Sales of securities were as follows (See “Non-interest income.”):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of Securities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r>
      <w:tr>
        <w:trPr>
          <w:trHeight w:val="216"/>
        </w:trPr>
        <w:tc>
          <w:tcPr>
            <w:tcW w:w="4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47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 in</w:t>
            </w:r>
          </w:p>
        </w:tc>
        <w:tc>
          <w:tcPr>
            <w:tcW w:w="1360" w:type="dxa"/>
            <w:vAlign w:val="bottom"/>
            <w:gridSpan w:val="3"/>
          </w:tcPr>
          <w:p>
            <w:pPr>
              <w:jc w:val="right"/>
              <w:ind w:right="610"/>
              <w:spacing w:after="0"/>
              <w:rPr>
                <w:sz w:val="20"/>
                <w:szCs w:val="20"/>
                <w:color w:val="auto"/>
              </w:rPr>
            </w:pPr>
            <w:r>
              <w:rPr>
                <w:rFonts w:ascii="Arial" w:cs="Arial" w:eastAsia="Arial" w:hAnsi="Arial"/>
                <w:sz w:val="18"/>
                <w:szCs w:val="18"/>
                <w:color w:val="auto"/>
                <w:w w:val="71"/>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3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21,743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42,236</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gains</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Gross losses</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impairment charges</w:t>
            </w:r>
          </w:p>
        </w:tc>
        <w:tc>
          <w:tcPr>
            <w:tcW w:w="2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3"/>
        </w:trPr>
        <w:tc>
          <w:tcPr>
            <w:tcW w:w="4720" w:type="dxa"/>
            <w:vAlign w:val="bottom"/>
          </w:tcPr>
          <w:p>
            <w:pPr>
              <w:ind w:left="180"/>
              <w:spacing w:after="0"/>
              <w:rPr>
                <w:sz w:val="20"/>
                <w:szCs w:val="20"/>
                <w:color w:val="auto"/>
              </w:rPr>
            </w:pPr>
            <w:r>
              <w:rPr>
                <w:rFonts w:ascii="Arial" w:cs="Arial" w:eastAsia="Arial" w:hAnsi="Arial"/>
                <w:sz w:val="18"/>
                <w:szCs w:val="18"/>
                <w:color w:val="auto"/>
              </w:rPr>
              <w:t>Fair value adjustments</w:t>
            </w:r>
          </w:p>
        </w:tc>
        <w:tc>
          <w:tcPr>
            <w:tcW w:w="2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r>
      <w:tr>
        <w:trPr>
          <w:trHeight w:val="257"/>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gains (losses)</w:t>
            </w:r>
          </w:p>
        </w:tc>
        <w:tc>
          <w:tcPr>
            <w:tcW w:w="2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253</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Portfolio Loans and asset quality. </w:t>
      </w:r>
      <w:r>
        <w:rPr>
          <w:rFonts w:ascii="Arial" w:cs="Arial" w:eastAsia="Arial" w:hAnsi="Arial"/>
          <w:sz w:val="22"/>
          <w:szCs w:val="22"/>
          <w:color w:val="auto"/>
        </w:rPr>
        <w:t>The Paycheck Protection Program, administered by the Small Business Association (“SBA”),</w:t>
      </w:r>
      <w:r>
        <w:rPr>
          <w:rFonts w:ascii="Arial" w:cs="Arial" w:eastAsia="Arial" w:hAnsi="Arial"/>
          <w:sz w:val="22"/>
          <w:szCs w:val="22"/>
          <w:b w:val="1"/>
          <w:bCs w:val="1"/>
          <w:color w:val="auto"/>
        </w:rPr>
        <w:t xml:space="preserve"> </w:t>
      </w:r>
      <w:r>
        <w:rPr>
          <w:rFonts w:ascii="Arial" w:cs="Arial" w:eastAsia="Arial" w:hAnsi="Arial"/>
          <w:sz w:val="22"/>
          <w:szCs w:val="22"/>
          <w:color w:val="auto"/>
        </w:rPr>
        <w:t>is a short-term, forgivable loan program primarily intended to help businesses impacted by COVID-19 to continue paying their employees.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A short summary of the program follows:</w:t>
      </w:r>
    </w:p>
    <w:p>
      <w:pPr>
        <w:spacing w:after="0" w:line="24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Two year term with payments deferred for six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percent interest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collateral or personal guarantees required;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fees paid by the borrower, rather lenders are paid a fee through the SBA according to a set schedule based on loan size,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Loans are forgivable if at least 75% of the loan proceeds are used for payroll with the remainder being used for rent, mortgage interest and/or utilities.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participation in the program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Paycheck Protection Program Volume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tcPr>
          <w:p>
            <w:pPr>
              <w:spacing w:after="0"/>
              <w:rPr>
                <w:sz w:val="20"/>
                <w:szCs w:val="20"/>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color w:val="auto"/>
                <w:w w:val="95"/>
              </w:rPr>
              <w:t>As of April 29, 2020</w:t>
            </w: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Amount (#)</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Amount ($)</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Applications received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255,830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Approved by Independent Bank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255,317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SBA loan # assigned(1)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252,755</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Closed and funded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170,687</w:t>
            </w:r>
          </w:p>
        </w:tc>
      </w:tr>
    </w:tbl>
    <w:p>
      <w:pPr>
        <w:spacing w:after="0" w:line="21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Denotes that an application has been accepted by the SBA and that PPP funds are reserved for that application.</w:t>
      </w:r>
    </w:p>
    <w:p>
      <w:pPr>
        <w:spacing w:after="0" w:line="24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Congress and the major bank regulatory agencies have encouraged banks to work with their borrowers to provide short-term loan payment relief during the COVID-19 national emergency. On March 22, 2020, an interagency statement was released by the Board of Governors of the Federal Reserve System, the Federal Deposit Insurance Corporation, the Office of the Comptroller of the Currency, the Consumer Financial Protection Bureau, the State Banking Regulators and the National Credit Union Administration that contained their interpretation as to which modifications would qualify for these exceptions. In general, to qualify for this exception: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modified loan must be current when the modification is made;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modification must be short term in nature (up to six months),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Modifications may include payment deferrals, fee waivers, extensions of repayment terms or other delays in payment that are insignificant.</w:t>
      </w:r>
    </w:p>
    <w:p>
      <w:pPr>
        <w:spacing w:after="0" w:line="1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addition, section 4013 of the CARES Act provides temporary relief from the accounting and reporting requirements for troubled debt restructurings (“TDRs”) regarding certain loan modifications to our customers.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response to our customers’ needs during this time of economic uncertainty we’ve initiated forbearance programs for our retail (Mortgage and Installment loans) and our commercial customers. We also have similar programs for mortgage loans that we service for others.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accommodations as of April 29, 2020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Commercial and Retail Loan COVID-19 Accomodations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p>
        </w:tc>
        <w:tc>
          <w:tcPr>
            <w:tcW w:w="2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Covid-19 Accomodations</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 of Total</w:t>
            </w:r>
          </w:p>
        </w:tc>
      </w:tr>
      <w:tr>
        <w:trPr>
          <w:trHeight w:val="223"/>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Category</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Customers (#)</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Loans (#)</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6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gridSpan w:val="4"/>
          </w:tcPr>
          <w:p>
            <w:pPr>
              <w:spacing w:after="0"/>
              <w:rPr>
                <w:sz w:val="20"/>
                <w:szCs w:val="20"/>
                <w:color w:val="auto"/>
              </w:rPr>
            </w:pPr>
            <w:r>
              <w:rPr>
                <w:rFonts w:ascii="Arial" w:cs="Arial" w:eastAsia="Arial" w:hAnsi="Arial"/>
                <w:sz w:val="18"/>
                <w:szCs w:val="18"/>
                <w:color w:val="auto"/>
                <w:w w:val="86"/>
              </w:rPr>
              <w:t>(Dollars 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1,181,599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Mortgage portfolio loans</w:t>
            </w:r>
          </w:p>
        </w:tc>
        <w:tc>
          <w:tcPr>
            <w:tcW w:w="1160" w:type="dxa"/>
            <w:vAlign w:val="bottom"/>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18"/>
                <w:szCs w:val="18"/>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79,184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1,069,967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 &amp; Other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305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466,549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7"/>
        </w:trPr>
        <w:tc>
          <w:tcPr>
            <w:tcW w:w="46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Pr>
          <w:p>
            <w:pPr>
              <w:spacing w:after="0"/>
              <w:rPr>
                <w:sz w:val="18"/>
                <w:szCs w:val="18"/>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982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232,589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2,718,115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r>
      <w:tr>
        <w:trPr>
          <w:trHeight w:val="21"/>
        </w:trPr>
        <w:tc>
          <w:tcPr>
            <w:tcW w:w="4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 others(1)</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912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133,698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2,684,258</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1)We have delegated authority from all investors to grant these deferrals on their behalf.</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addition to the communities served by our Bank branch and loan production office network, our principal lending 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than as compared to past periods. These fixed rate mortgage loans generally have terms from 15 to 30 years, do not have prepayment penalties and expose us to more interest rate risk. To date, our interest rate risk profile has not changed significantly. However, we are carefully monitoring this change in the composition of our Portfolio Loans and the impact of potential future changes in interest rates on our changes in market value of portfolio equity and changes in net interest income. (See “Asset/liability management.”). As a result, we have added and may continue to add some longer-term borrowings, may utilize derivatives (interest rate swaps and interest rate caps) to manage interest rate risk and may continue to sell some fixed rate jumbo and other portfolio mortgage loans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 summary of our Portfolio Loans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color w:val="auto"/>
              </w:rPr>
              <w:t>Real estate(1)</w:t>
            </w:r>
          </w:p>
        </w:tc>
        <w:tc>
          <w:tcPr>
            <w:tcW w:w="1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first mortgages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843,746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166,040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166,735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and land development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Other(2)</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704,541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693,580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448,297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316,715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318,504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Agricultural</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2,718,115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2,725,023</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2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Non-performing assets </w:t>
      </w:r>
      <w:r>
        <w:rPr>
          <w:rFonts w:ascii="Arial" w:cs="Arial" w:eastAsia="Arial" w:hAnsi="Arial"/>
          <w:sz w:val="35"/>
          <w:szCs w:val="35"/>
          <w:b w:val="1"/>
          <w:bCs w:val="1"/>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350"/>
              <w:spacing w:after="0"/>
              <w:rPr>
                <w:sz w:val="20"/>
                <w:szCs w:val="20"/>
                <w:color w:val="auto"/>
              </w:rPr>
            </w:pPr>
            <w:r>
              <w:rPr>
                <w:rFonts w:ascii="Arial" w:cs="Arial" w:eastAsia="Arial" w:hAnsi="Arial"/>
                <w:sz w:val="18"/>
                <w:szCs w:val="18"/>
                <w:color w:val="auto"/>
                <w:w w:val="94"/>
              </w:rPr>
              <w:t>March 31,</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December 31,</w:t>
            </w:r>
          </w:p>
        </w:tc>
      </w:tr>
      <w:tr>
        <w:trPr>
          <w:trHeight w:val="237"/>
        </w:trPr>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r>
      <w:tr>
        <w:trPr>
          <w:trHeight w:val="216"/>
        </w:trPr>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(Dollars</w:t>
            </w: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in</w:t>
            </w:r>
          </w:p>
        </w:tc>
        <w:tc>
          <w:tcPr>
            <w:tcW w:w="12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10,178</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Total non-accrual loans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17,454</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10,178</w:t>
            </w:r>
          </w:p>
        </w:tc>
        <w:tc>
          <w:tcPr>
            <w:tcW w:w="18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Less: Government guaranteed loans</w:t>
            </w: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646</w:t>
            </w:r>
          </w:p>
        </w:tc>
      </w:tr>
      <w:tr>
        <w:trPr>
          <w:trHeight w:val="216"/>
        </w:trPr>
        <w:tc>
          <w:tcPr>
            <w:tcW w:w="6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Total non-performing loans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16,778</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18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Other real estate and repossessed assets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1,865</w:t>
            </w:r>
          </w:p>
        </w:tc>
      </w:tr>
      <w:tr>
        <w:trPr>
          <w:trHeight w:val="257"/>
        </w:trPr>
        <w:tc>
          <w:tcPr>
            <w:tcW w:w="6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0"/>
        </w:trPr>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12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Non-performing assets to total assets</w:t>
            </w: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274.32</w:t>
            </w:r>
          </w:p>
        </w:tc>
      </w:tr>
    </w:tbl>
    <w:p>
      <w:pPr>
        <w:spacing w:after="0" w:line="219" w:lineRule="exact"/>
        <w:rPr>
          <w:sz w:val="20"/>
          <w:szCs w:val="20"/>
          <w:color w:val="auto"/>
        </w:rPr>
      </w:pPr>
    </w:p>
    <w:p>
      <w:pPr>
        <w:spacing w:after="0"/>
        <w:tabs>
          <w:tab w:leader="none" w:pos="320" w:val="left"/>
        </w:tabs>
        <w:rPr>
          <w:sz w:val="20"/>
          <w:szCs w:val="20"/>
          <w:color w:val="auto"/>
        </w:rPr>
      </w:pPr>
      <w:r>
        <w:rPr>
          <w:rFonts w:ascii="Arial" w:cs="Arial" w:eastAsia="Arial" w:hAnsi="Arial"/>
          <w:sz w:val="29"/>
          <w:szCs w:val="29"/>
          <w:color w:val="auto"/>
          <w:vertAlign w:val="superscript"/>
        </w:rPr>
        <w:t>(1)</w:t>
      </w:r>
      <w:r>
        <w:rPr>
          <w:sz w:val="20"/>
          <w:szCs w:val="20"/>
          <w:color w:val="auto"/>
        </w:rPr>
        <w:tab/>
      </w:r>
      <w:r>
        <w:rPr>
          <w:rFonts w:ascii="Arial" w:cs="Arial" w:eastAsia="Arial" w:hAnsi="Arial"/>
          <w:sz w:val="16"/>
          <w:szCs w:val="16"/>
          <w:color w:val="auto"/>
        </w:rPr>
        <w:t>Excludes loans classified as "trouble debt restructured" that are not past due.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Troubled debt restructurings ("TDR")</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97"/>
              </w:rPr>
              <w:t>March 31, 2020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4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39,253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48,177</w:t>
            </w:r>
          </w:p>
        </w:tc>
      </w:tr>
      <w:tr>
        <w:trPr>
          <w:trHeight w:val="223"/>
        </w:trPr>
        <w:tc>
          <w:tcPr>
            <w:tcW w:w="4020" w:type="dxa"/>
            <w:vAlign w:val="bottom"/>
          </w:tcPr>
          <w:p>
            <w:pPr>
              <w:spacing w:after="0" w:line="216" w:lineRule="exact"/>
              <w:rPr>
                <w:sz w:val="20"/>
                <w:szCs w:val="20"/>
                <w:color w:val="auto"/>
              </w:rPr>
            </w:pPr>
            <w:r>
              <w:rPr>
                <w:rFonts w:ascii="Arial" w:cs="Arial" w:eastAsia="Arial" w:hAnsi="Arial"/>
                <w:sz w:val="16"/>
                <w:szCs w:val="16"/>
                <w:color w:val="auto"/>
              </w:rPr>
              <w:t xml:space="preserve">Non-performing TDR's </w:t>
            </w:r>
            <w:r>
              <w:rPr>
                <w:rFonts w:ascii="Arial" w:cs="Arial" w:eastAsia="Arial" w:hAnsi="Arial"/>
                <w:sz w:val="25"/>
                <w:szCs w:val="25"/>
                <w:color w:val="auto"/>
                <w:vertAlign w:val="superscript"/>
              </w:rPr>
              <w:t>(2)</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line="216" w:lineRule="exact"/>
              <w:rPr>
                <w:sz w:val="20"/>
                <w:szCs w:val="20"/>
                <w:color w:val="auto"/>
              </w:rPr>
            </w:pPr>
            <w:r>
              <w:rPr>
                <w:rFonts w:ascii="Arial" w:cs="Arial" w:eastAsia="Arial" w:hAnsi="Arial"/>
                <w:sz w:val="16"/>
                <w:szCs w:val="16"/>
                <w:color w:val="auto"/>
              </w:rPr>
              <w:t>2,095</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2,359</w:t>
            </w:r>
          </w:p>
        </w:tc>
      </w:tr>
      <w:tr>
        <w:trPr>
          <w:trHeight w:val="25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41,348</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4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2"/>
              </w:rPr>
              <w:t>December 31, 2019</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0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4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(In thousands)</w:t>
            </w: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47,575</w:t>
            </w:r>
          </w:p>
        </w:tc>
      </w:tr>
      <w:tr>
        <w:trPr>
          <w:trHeight w:val="223"/>
        </w:trPr>
        <w:tc>
          <w:tcPr>
            <w:tcW w:w="4020" w:type="dxa"/>
            <w:vAlign w:val="bottom"/>
          </w:tcPr>
          <w:p>
            <w:pPr>
              <w:spacing w:after="0" w:line="216" w:lineRule="exact"/>
              <w:rPr>
                <w:sz w:val="20"/>
                <w:szCs w:val="20"/>
                <w:color w:val="auto"/>
              </w:rPr>
            </w:pPr>
            <w:r>
              <w:rPr>
                <w:rFonts w:ascii="Arial" w:cs="Arial" w:eastAsia="Arial" w:hAnsi="Arial"/>
                <w:sz w:val="16"/>
                <w:szCs w:val="16"/>
                <w:color w:val="auto"/>
              </w:rPr>
              <w:t xml:space="preserve">Non-performing TDR's </w:t>
            </w:r>
            <w:r>
              <w:rPr>
                <w:rFonts w:ascii="Arial" w:cs="Arial" w:eastAsia="Arial" w:hAnsi="Arial"/>
                <w:sz w:val="25"/>
                <w:szCs w:val="25"/>
                <w:color w:val="auto"/>
                <w:vertAlign w:val="superscript"/>
              </w:rPr>
              <w:t>(2)</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line="216" w:lineRule="exact"/>
              <w:rPr>
                <w:sz w:val="20"/>
                <w:szCs w:val="20"/>
                <w:color w:val="auto"/>
              </w:rPr>
            </w:pPr>
            <w:r>
              <w:rPr>
                <w:rFonts w:ascii="Arial" w:cs="Arial" w:eastAsia="Arial" w:hAnsi="Arial"/>
                <w:sz w:val="16"/>
                <w:szCs w:val="16"/>
                <w:color w:val="auto"/>
              </w:rPr>
              <w:t>2,607</w:t>
            </w:r>
            <w:r>
              <w:rPr>
                <w:rFonts w:ascii="Arial" w:cs="Arial" w:eastAsia="Arial" w:hAnsi="Arial"/>
                <w:sz w:val="25"/>
                <w:szCs w:val="25"/>
                <w:color w:val="auto"/>
                <w:vertAlign w:val="superscript"/>
              </w:rPr>
              <w:t>(3)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3,147</w:t>
            </w:r>
          </w:p>
        </w:tc>
      </w:tr>
      <w:tr>
        <w:trPr>
          <w:trHeight w:val="257"/>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Non-performing loans increased by $7.2 million since year-end 2019 due to an increase in non-performing commercial loans and reflects the migration of one specific loan relationship to non-accrual. Excluding the migration of this one specific loan relationship, generally, stable economic conditions in our market areas, as well as our collection and resolution efforts, had resulted in a downward trend in non-performing loans. However, we are still experiencing some loan defaults, particularly related to commercial loans secured by income-producing property and mortgage loans secured by resort/vacation property. The credit impact of the COVID-19 pandemic, and more specifically the closing of much of the economy in order to contain it may have a negative impact on the level of non-performing loans and assets but as yet, the magnitude of that impact is undeterminable.</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Non-performing loans exclude performing loans that are classified as TDRs. Performing TDRs totaled $48.2 million, or 1.8% of total Portfolio Loans, and $47.6 million, or 1.7% of total Portfolio Loans, at March 31, 2020 and December 31, 2019, respectively. The increase in the amount of performing TDRs in the first quarter of 2020 primarily reflects an increase in commercial performing TDRs.</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Other real estate and repossessed assets totaled $1.5 million and $1.9 million at March 31, 2020 and December 31, 2019, respectively.</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tables reflect activity in and the allocation of the allowance for loan losses (“AFLL”).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Allowance for loan losses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6"/>
          </w:tcPr>
          <w:p>
            <w:pPr>
              <w:jc w:val="center"/>
              <w:ind w:right="720"/>
              <w:spacing w:after="0"/>
              <w:rPr>
                <w:sz w:val="20"/>
                <w:szCs w:val="20"/>
                <w:color w:val="auto"/>
              </w:rPr>
            </w:pPr>
            <w:r>
              <w:rPr>
                <w:rFonts w:ascii="Arial" w:cs="Arial" w:eastAsia="Arial" w:hAnsi="Arial"/>
                <w:sz w:val="18"/>
                <w:szCs w:val="18"/>
                <w:color w:val="auto"/>
                <w:w w:val="89"/>
              </w:rPr>
              <w:t>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5"/>
            <w:vMerge w:val="restart"/>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center"/>
              <w:ind w:left="190"/>
              <w:spacing w:after="0"/>
              <w:rPr>
                <w:sz w:val="20"/>
                <w:szCs w:val="20"/>
                <w:color w:val="auto"/>
              </w:rPr>
            </w:pPr>
            <w:r>
              <w:rPr>
                <w:rFonts w:ascii="Arial" w:cs="Arial" w:eastAsia="Arial" w:hAnsi="Arial"/>
                <w:sz w:val="18"/>
                <w:szCs w:val="18"/>
                <w:color w:val="auto"/>
                <w:w w:val="89"/>
              </w:rPr>
              <w:t>March 31,</w:t>
            </w:r>
          </w:p>
        </w:tc>
        <w:tc>
          <w:tcPr>
            <w:tcW w:w="1220" w:type="dxa"/>
            <w:vAlign w:val="bottom"/>
            <w:gridSpan w:val="3"/>
            <w:vMerge w:val="restart"/>
          </w:tcPr>
          <w:p>
            <w:pPr>
              <w:jc w:val="right"/>
              <w:spacing w:after="0"/>
              <w:rPr>
                <w:sz w:val="20"/>
                <w:szCs w:val="20"/>
                <w:color w:val="auto"/>
              </w:rPr>
            </w:pPr>
            <w:r>
              <w:rPr>
                <w:rFonts w:ascii="Arial" w:cs="Arial" w:eastAsia="Arial" w:hAnsi="Arial"/>
                <w:sz w:val="18"/>
                <w:szCs w:val="18"/>
                <w:color w:val="auto"/>
              </w:rPr>
              <w:t>2019</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5"/>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vMerge w:val="continue"/>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4"/>
          </w:tcPr>
          <w:p>
            <w:pPr>
              <w:jc w:val="right"/>
              <w:ind w:right="110"/>
              <w:spacing w:after="0" w:line="201" w:lineRule="exact"/>
              <w:rPr>
                <w:sz w:val="20"/>
                <w:szCs w:val="20"/>
                <w:color w:val="auto"/>
              </w:rPr>
            </w:pPr>
            <w:r>
              <w:rPr>
                <w:rFonts w:ascii="Arial" w:cs="Arial" w:eastAsia="Arial" w:hAnsi="Arial"/>
                <w:sz w:val="18"/>
                <w:szCs w:val="18"/>
                <w:color w:val="auto"/>
              </w:rPr>
              <w:t>Unfunded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Loans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Commitments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Loans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gridSpan w:val="8"/>
          </w:tcPr>
          <w:p>
            <w:pPr>
              <w:jc w:val="center"/>
              <w:ind w:right="260"/>
              <w:spacing w:after="0"/>
              <w:rPr>
                <w:sz w:val="20"/>
                <w:szCs w:val="20"/>
                <w:color w:val="auto"/>
              </w:rPr>
            </w:pPr>
            <w:r>
              <w:rPr>
                <w:rFonts w:ascii="Arial" w:cs="Arial" w:eastAsia="Arial" w:hAnsi="Arial"/>
                <w:sz w:val="18"/>
                <w:szCs w:val="18"/>
                <w:color w:val="auto"/>
                <w:w w:val="91"/>
              </w:rPr>
              <w:t>(Dollars 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26,148</w:t>
            </w:r>
          </w:p>
        </w:tc>
        <w:tc>
          <w:tcPr>
            <w:tcW w:w="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24,888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Additions (deductions)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Recoveries credited to allowance</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charged against the allowance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Additions included in non-interest expense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4"/>
              </w:rPr>
              <w:t>Net loans charged against the allowance to average Portfolio Loans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96"/>
        </w:trPr>
        <w:tc>
          <w:tcPr>
            <w:tcW w:w="5140" w:type="dxa"/>
            <w:vAlign w:val="bottom"/>
          </w:tcPr>
          <w:p>
            <w:pPr>
              <w:spacing w:after="0"/>
              <w:rPr>
                <w:sz w:val="20"/>
                <w:szCs w:val="20"/>
                <w:color w:val="auto"/>
              </w:rPr>
            </w:pPr>
            <w:r>
              <w:rPr>
                <w:rFonts w:ascii="Arial" w:cs="Arial" w:eastAsia="Arial" w:hAnsi="Arial"/>
                <w:sz w:val="22"/>
                <w:szCs w:val="22"/>
                <w:b w:val="1"/>
                <w:bCs w:val="1"/>
                <w:color w:val="auto"/>
              </w:rPr>
              <w:t>Allocation of the Allowance for Loan Losses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March 31,</w:t>
            </w:r>
          </w:p>
        </w:tc>
        <w:tc>
          <w:tcPr>
            <w:tcW w:w="180" w:type="dxa"/>
            <w:vAlign w:val="bottom"/>
          </w:tcPr>
          <w:p>
            <w:pPr>
              <w:spacing w:after="0"/>
              <w:rPr>
                <w:sz w:val="24"/>
                <w:szCs w:val="24"/>
                <w:color w:val="auto"/>
              </w:rPr>
            </w:pPr>
          </w:p>
        </w:tc>
        <w:tc>
          <w:tcPr>
            <w:tcW w:w="1340" w:type="dxa"/>
            <w:vAlign w:val="bottom"/>
            <w:gridSpan w:val="5"/>
          </w:tcPr>
          <w:p>
            <w:pPr>
              <w:jc w:val="center"/>
              <w:ind w:right="2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(Dollars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w w:val="99"/>
              </w:rPr>
              <w:t>in</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thousands)</w:t>
            </w: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8,138</w:t>
            </w:r>
          </w:p>
        </w:tc>
        <w:tc>
          <w:tcPr>
            <w:tcW w:w="800" w:type="dxa"/>
            <w:vAlign w:val="bottom"/>
            <w:gridSpan w:val="2"/>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6,155</w:t>
            </w: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adversely rated commercial loans</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2,357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2,502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8,764</w:t>
            </w:r>
          </w:p>
        </w:tc>
        <w:tc>
          <w:tcPr>
            <w:tcW w:w="8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13,609</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8,727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32,495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26,148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AFLL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when they are deemed uncollectible or reach a predetermined number of days past due based on product, industry practice and other factors. Collection efforts may continue and recoveries may occur after a loan is charged against the AFLL.</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While we use relevant information to recognize losses on loans, additional provisions for related losses may be necessary based on changes in economic conditions, customer circumstances and other credit risk factors.</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AFLL increased $6.3 million to $32.5 million at March 31, 2020 from $26.1 million at December 31, 2019 and was equal to 1.20% and 0.96% of total Portfolio Loans at March 31, 2020 and December 31, 2019, respectively.</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Two of the four components of the AFLL outlined above increased during the first quarter of 2020. The AFLL related to specific loans increased $2.0 million during the first quarter of 2020 due primarily to a $7.5 million increase in the amount of such loans. The AFLL related to other adversely rated commercial loans decreased $0.1 million during the first quarter of 2020, primarily due to a decrease of $8.6 million in the balance of such loans included in this component. The AFLL related to historical losses decreased $0.4 million during the first quarter of 2020, and the AFLL related to subjective factors increased $4.9 million during the first three months of 2020, due largely to the economic shock of COVID-19, the executive orders suspending all businesses and operations that are not necessary to sustain or protect life, or involved in critical infrastructure, the significant increase in unemployment claims, especially in the State of Michigan, and heightened requests for payment relief from our borrowers.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Deposits and borrowings. </w:t>
      </w:r>
      <w:r>
        <w:rPr>
          <w:rFonts w:ascii="Arial" w:cs="Arial" w:eastAsia="Arial" w:hAnsi="Arial"/>
          <w:sz w:val="21"/>
          <w:szCs w:val="21"/>
          <w:color w:val="auto"/>
        </w:rPr>
        <w:t>Historically, the loyalty of our customer base has allowed us to price deposits competitively,</w:t>
      </w:r>
      <w:r>
        <w:rPr>
          <w:rFonts w:ascii="Arial" w:cs="Arial" w:eastAsia="Arial" w:hAnsi="Arial"/>
          <w:sz w:val="21"/>
          <w:szCs w:val="21"/>
          <w:b w:val="1"/>
          <w:bCs w:val="1"/>
          <w:color w:val="auto"/>
        </w:rPr>
        <w:t xml:space="preserve"> </w:t>
      </w:r>
      <w:r>
        <w:rPr>
          <w:rFonts w:ascii="Arial" w:cs="Arial" w:eastAsia="Arial" w:hAnsi="Arial"/>
          <w:sz w:val="21"/>
          <w:szCs w:val="21"/>
          <w:color w:val="auto"/>
        </w:rPr>
        <w:t>contributing to a net interest 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9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77"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Deposits totaled $3.08 billion and $3.04 billion at March 31, 2020 and December 31, 2019, respectively. The increase in deposits is primarily due to growth in non-interest bearing deposits, savings and interest bearing checking deposits and reciprocal deposits that were partially offset by a decline in time and brokered time deposits. Reciprocal deposits totaled $464.6 million and $431.0 million at March 31, 2020 and December 31, 2019, respectively. These deposits represent demand, money market and time deposits from our customers that have been placed through Promontory Interfinancial Network’s Insured Cash Sweep</w:t>
      </w:r>
      <w:r>
        <w:rPr>
          <w:rFonts w:ascii="Arial" w:cs="Arial" w:eastAsia="Arial" w:hAnsi="Arial"/>
          <w:sz w:val="34"/>
          <w:szCs w:val="34"/>
          <w:color w:val="auto"/>
          <w:vertAlign w:val="superscript"/>
        </w:rPr>
        <w:t>®</w:t>
      </w:r>
      <w:r>
        <w:rPr>
          <w:rFonts w:ascii="Arial" w:cs="Arial" w:eastAsia="Arial" w:hAnsi="Arial"/>
          <w:sz w:val="21"/>
          <w:szCs w:val="21"/>
          <w:color w:val="auto"/>
        </w:rPr>
        <w:t xml:space="preserve"> service and Certificate of Deposit Account Registry Service</w:t>
      </w:r>
      <w:r>
        <w:rPr>
          <w:rFonts w:ascii="Arial" w:cs="Arial" w:eastAsia="Arial" w:hAnsi="Arial"/>
          <w:sz w:val="34"/>
          <w:szCs w:val="34"/>
          <w:color w:val="auto"/>
          <w:vertAlign w:val="superscript"/>
        </w:rPr>
        <w:t>®</w:t>
      </w:r>
      <w:r>
        <w:rPr>
          <w:rFonts w:ascii="Arial" w:cs="Arial" w:eastAsia="Arial" w:hAnsi="Arial"/>
          <w:sz w:val="21"/>
          <w:szCs w:val="21"/>
          <w:color w:val="auto"/>
        </w:rPr>
        <w:t>. These services allow our customers to access multi-million dollar FDIC deposit insurance on deposit balances greater than the standard FDIC insurance maximum. The continued increase in reciprocal deposits is due in part to an automated sweep product that we introduced in mid-2018 as well as the marketing and sales efforts of our treasury management team.</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cannot be sure that we will be able to maintain our current level of core deposits. In particular, those deposits that are uninsured may be susceptible to outflow. At March 31, 2020, we had approximately $513.0 million of uninsured deposits. A reduction in core deposits would likely increase our need to rely on wholesale funding sources.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213" w:lineRule="exact"/>
        <w:rPr>
          <w:sz w:val="20"/>
          <w:szCs w:val="20"/>
          <w:color w:val="auto"/>
        </w:rPr>
      </w:pPr>
    </w:p>
    <w:p>
      <w:pPr>
        <w:ind w:right="100"/>
        <w:spacing w:after="0" w:line="328" w:lineRule="auto"/>
        <w:rPr>
          <w:sz w:val="20"/>
          <w:szCs w:val="20"/>
          <w:color w:val="auto"/>
        </w:rPr>
      </w:pPr>
      <w:r>
        <w:rPr>
          <w:rFonts w:ascii="Arial" w:cs="Arial" w:eastAsia="Arial" w:hAnsi="Arial"/>
          <w:sz w:val="19"/>
          <w:szCs w:val="19"/>
          <w:color w:val="auto"/>
        </w:rPr>
        <w:t>Other borrowings, comprised primarily of advances from the FHLB and FRB (at March 31, 2020) as well as federal funds sold (at December 31, 2019), totaled $102.0 million and $88.6 million at March 31, 2020 and December 31, 2019, respectively.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described above, we utilize wholesale funding, including federal funds purchased, FHLB and FRB borrowings and Brokered CDs to augment our core deposits and fund a portion of our assets. At March 31, 2020, our use of such wholesale funding sources (including reciprocal deposits) amounted to approximately $721.5 million, or 22.7% of total funding (deposits and all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historically employed derivative financial instruments to manage our exposure to changes in interest rates. During the first three months of 2020 and 2019, we entered into $21.2 million and $8.4 million (aggregate notional amounts), respectively, of interest rate swaps with commercial loan customers, which were offset with interest rate swaps that the Bank entered into with a broker-dealer. We recorded $0.17 million and $0.07 million of fee income related to these transactions during the first three months of 2020 and 2019, respectively. See note #6 to the Condensed Consolidated Financial Statements included within this report for more information on our derivative financial instruments.</w:t>
      </w:r>
    </w:p>
    <w:p>
      <w:pPr>
        <w:spacing w:after="0" w:line="19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color w:val="auto"/>
        </w:rPr>
        <w:t xml:space="preserve">Liquidity and capital resources. </w:t>
      </w:r>
      <w:r>
        <w:rPr>
          <w:rFonts w:ascii="Arial" w:cs="Arial" w:eastAsia="Arial" w:hAnsi="Arial"/>
          <w:sz w:val="22"/>
          <w:szCs w:val="22"/>
          <w:color w:val="auto"/>
        </w:rPr>
        <w:t>Liquidity risk is the risk of being unable to timely meet obligations as they come due at a</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funding cost or without 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Our primary sources of funds include our deposit base, secured advances from the FHLB and FRB, federal funds purchased borrowing facilities with other banks, and access to the capital markets (for Brokered CDs).</w:t>
      </w:r>
    </w:p>
    <w:p>
      <w:pPr>
        <w:spacing w:after="0" w:line="202" w:lineRule="exact"/>
        <w:rPr>
          <w:sz w:val="20"/>
          <w:szCs w:val="20"/>
          <w:color w:val="auto"/>
        </w:rPr>
      </w:pPr>
    </w:p>
    <w:p>
      <w:pPr>
        <w:jc w:val="both"/>
        <w:ind w:right="100"/>
        <w:spacing w:after="0" w:line="279" w:lineRule="auto"/>
        <w:rPr>
          <w:sz w:val="20"/>
          <w:szCs w:val="20"/>
          <w:color w:val="auto"/>
        </w:rPr>
      </w:pPr>
      <w:r>
        <w:rPr>
          <w:rFonts w:ascii="Arial" w:cs="Arial" w:eastAsia="Arial" w:hAnsi="Arial"/>
          <w:sz w:val="19"/>
          <w:szCs w:val="19"/>
          <w:color w:val="auto"/>
        </w:rPr>
        <w:t>At March 31, 2020, we had $466.1 million of time deposits that mature in the next 12 months. Historically, a majority of these maturing time deposits are renewed by our customers. Additionally, $2.53 billion of our deposits at March 31, 2020,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204"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We believe that we currently have adequate liquidity at our Bank because of our cash and cash equivalents, our portfolio of securities available for sale, our access to secured advances from the FHLB and FRB and our ability to issue Brokered CDs.</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also believe that the available cash on hand at the parent company (including time deposits) of approximately $9.4 million as of March 31, 2020 provides sufficient liquidity resources at the parent company to meet operating expenses, to make interest payments on the subordinated debentures, and, along with dividends from the Bank, to pay projected cash dividends on our common stock.</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Capitalization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30"/>
              <w:spacing w:after="0"/>
              <w:rPr>
                <w:sz w:val="20"/>
                <w:szCs w:val="20"/>
                <w:color w:val="auto"/>
              </w:rPr>
            </w:pPr>
            <w:r>
              <w:rPr>
                <w:rFonts w:ascii="Arial" w:cs="Arial" w:eastAsia="Arial" w:hAnsi="Arial"/>
                <w:sz w:val="18"/>
                <w:szCs w:val="18"/>
                <w:color w:val="auto"/>
                <w:w w:val="94"/>
              </w:rPr>
              <w:t>March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r>
      <w:tr>
        <w:trPr>
          <w:trHeight w:val="237"/>
        </w:trPr>
        <w:tc>
          <w:tcPr>
            <w:tcW w:w="4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6"/>
        </w:trPr>
        <w:tc>
          <w:tcPr>
            <w:tcW w:w="4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(In</w:t>
            </w:r>
          </w:p>
        </w:tc>
        <w:tc>
          <w:tcPr>
            <w:tcW w:w="1440" w:type="dxa"/>
            <w:vAlign w:val="bottom"/>
            <w:gridSpan w:val="4"/>
          </w:tcPr>
          <w:p>
            <w:pPr>
              <w:jc w:val="right"/>
              <w:ind w:right="670"/>
              <w:spacing w:after="0"/>
              <w:rPr>
                <w:sz w:val="20"/>
                <w:szCs w:val="20"/>
                <w:color w:val="auto"/>
              </w:rPr>
            </w:pPr>
            <w:r>
              <w:rPr>
                <w:rFonts w:ascii="Arial" w:cs="Arial" w:eastAsia="Arial" w:hAnsi="Arial"/>
                <w:sz w:val="18"/>
                <w:szCs w:val="18"/>
                <w:color w:val="auto"/>
                <w:w w:val="74"/>
              </w:rPr>
              <w:t>thousands)</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39,456</w:t>
            </w: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Amount not qualifying as regulatory capital</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(1,224)</w:t>
            </w:r>
          </w:p>
        </w:tc>
      </w:tr>
      <w:tr>
        <w:trPr>
          <w:trHeight w:val="223"/>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qualifying as regulatory capital</w:t>
            </w: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38,249</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Shareholders’ equity</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352,344</w:t>
            </w: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r>
      <w:tr>
        <w:trPr>
          <w:trHeight w:val="223"/>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(3,786)</w:t>
            </w:r>
          </w:p>
        </w:tc>
      </w:tr>
      <w:tr>
        <w:trPr>
          <w:trHeight w:val="223"/>
        </w:trPr>
        <w:tc>
          <w:tcPr>
            <w:tcW w:w="47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15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335,618</w:t>
            </w:r>
          </w:p>
        </w:tc>
        <w:tc>
          <w:tcPr>
            <w:tcW w:w="1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350,169</w:t>
            </w:r>
          </w:p>
        </w:tc>
        <w:tc>
          <w:tcPr>
            <w:tcW w:w="100" w:type="dxa"/>
            <w:vAlign w:val="bottom"/>
            <w:tcBorders>
              <w:top w:val="single" w:sz="8" w:color="CCEEFF"/>
            </w:tcBorders>
          </w:tcPr>
          <w:p>
            <w:pPr>
              <w:spacing w:after="0"/>
              <w:rPr>
                <w:sz w:val="19"/>
                <w:szCs w:val="19"/>
                <w:color w:val="auto"/>
              </w:rPr>
            </w:pPr>
          </w:p>
        </w:tc>
      </w:tr>
      <w:tr>
        <w:trPr>
          <w:trHeight w:val="257"/>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capitalization</w:t>
            </w:r>
          </w:p>
        </w:tc>
        <w:tc>
          <w:tcPr>
            <w:tcW w:w="1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373,867</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We currently have four special purpose entities with $39.5 million of outstanding cumulative trust preferred securities as of March 31, 2020.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March 31, 2020 and December 31, 2019.</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Common shareholders’ equity decreased to $335.6 million at March 31, 2020, from $350.2 million at December 31, 2019, due primarily to our net income that was more than offset by an increase in our accumulated other comprehensive loss, by share repurchases and cash dividend payments. Our tangible common equity (“TCE”) totaled $302.2 million and $316.5 million, respectively, at those same dates. Our ratio of TCE to tangible assets was 8.40% and 8.96% at March 31, 2020, and December 31, 2019, respectively. TCE and the ratio of TCE to tangible assets are non-GAAP measures. TCE represents total common equity less goodwill and other intangible assets.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December 2019, our Board of Directors authorized a 2020 share repurchase plan. Under the terms of the 2020 share repurchase plan, we were authorized to buy back up 1,120,000, or approximately 5% of our outstanding common stock. During the first three months of 2020, the Company repurchased 678,929 shares at a weighted average purchase price of $20.30 per share.</w:t>
      </w:r>
    </w:p>
    <w:p>
      <w:pPr>
        <w:spacing w:after="0" w:line="21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pay a quarterly cash dividend on our common stock. These dividends totaled $0.20 per share and $.18 per share in the first quarters of 2020 and 2019, respectively. We generally favor a dividend payout ratio between 30% and 50% of net income.</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March 31, 2020 and December 31, 2019, our Bank (and holding company) continued to meet the requirements to be considered “well-capitalized” under federal regulatory standards (also see note #10 to the Condensed Consolidated Financial Statements included within this report).</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Asset/liability management. </w:t>
      </w:r>
      <w:r>
        <w:rPr>
          <w:rFonts w:ascii="Arial" w:cs="Arial" w:eastAsia="Arial" w:hAnsi="Arial"/>
          <w:sz w:val="22"/>
          <w:szCs w:val="22"/>
          <w:color w:val="auto"/>
        </w:rPr>
        <w:t>Interest-rate risk is created by differences in the cash flow characteristics of our assets and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liabilities. Options embedded in certain financial instruments, including caps on adjustable-rate loans as well as borrowers’ rights to prepay fixed-rate loans, also create interest-rate risk.</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MARKET VALUE OF PORTFOLIO EQUITY AND NET INTEREST INCOME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Market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Net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Portfolio</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4"/>
        </w:trPr>
        <w:tc>
          <w:tcPr>
            <w:tcW w:w="5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Change in Interest Rates</w:t>
            </w:r>
          </w:p>
        </w:tc>
        <w:tc>
          <w:tcPr>
            <w:tcW w:w="140" w:type="dxa"/>
            <w:vAlign w:val="bottom"/>
          </w:tcPr>
          <w:p>
            <w:pPr>
              <w:spacing w:after="0"/>
              <w:rPr>
                <w:sz w:val="16"/>
                <w:szCs w:val="16"/>
                <w:color w:val="auto"/>
              </w:rPr>
            </w:pPr>
          </w:p>
        </w:tc>
        <w:tc>
          <w:tcPr>
            <w:tcW w:w="120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93"/>
              </w:rPr>
              <w:t>Equity(1)</w:t>
            </w:r>
          </w:p>
        </w:tc>
        <w:tc>
          <w:tcPr>
            <w:tcW w:w="1360" w:type="dxa"/>
            <w:vAlign w:val="bottom"/>
            <w:gridSpan w:val="2"/>
          </w:tcPr>
          <w:p>
            <w:pPr>
              <w:jc w:val="right"/>
              <w:ind w:right="52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120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1"/>
              </w:rPr>
              <w:t>Income(2)</w:t>
            </w:r>
          </w:p>
        </w:tc>
        <w:tc>
          <w:tcPr>
            <w:tcW w:w="1260" w:type="dxa"/>
            <w:vAlign w:val="bottom"/>
            <w:gridSpan w:val="2"/>
          </w:tcPr>
          <w:p>
            <w:pPr>
              <w:jc w:val="right"/>
              <w:ind w:right="420"/>
              <w:spacing w:after="0" w:line="194" w:lineRule="exact"/>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8"/>
        </w:trPr>
        <w:tc>
          <w:tcPr>
            <w:tcW w:w="1900" w:type="dxa"/>
            <w:vAlign w:val="bottom"/>
            <w:tcBorders>
              <w:top w:val="single" w:sz="8" w:color="auto"/>
            </w:tcBorders>
          </w:tcPr>
          <w:p>
            <w:pPr>
              <w:spacing w:after="0"/>
              <w:rPr>
                <w:sz w:val="2"/>
                <w:szCs w:val="2"/>
                <w:color w:val="auto"/>
              </w:rPr>
            </w:pPr>
          </w:p>
        </w:tc>
        <w:tc>
          <w:tcPr>
            <w:tcW w:w="4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463,100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464,900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6.58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124,800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436,200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375,300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(13.96)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116,500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472,500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123,900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100 basis point rise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478,800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123,300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467,200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100 basis point decline</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412,100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118,100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0712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21" w:lineRule="exact"/>
        <w:rPr>
          <w:sz w:val="20"/>
          <w:szCs w:val="20"/>
          <w:color w:val="auto"/>
        </w:rPr>
      </w:pPr>
    </w:p>
    <w:p>
      <w:pPr>
        <w:jc w:val="both"/>
        <w:ind w:left="340" w:hanging="332"/>
        <w:spacing w:after="0" w:line="255"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2" w:lineRule="exact"/>
        <w:rPr>
          <w:rFonts w:ascii="Arial" w:cs="Arial" w:eastAsia="Arial" w:hAnsi="Arial"/>
          <w:sz w:val="18"/>
          <w:szCs w:val="18"/>
          <w:color w:val="auto"/>
        </w:rPr>
      </w:pPr>
    </w:p>
    <w:p>
      <w:pPr>
        <w:ind w:left="340" w:hanging="332"/>
        <w:spacing w:after="0" w:line="323"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52" w:lineRule="exact"/>
        <w:rPr>
          <w:sz w:val="20"/>
          <w:szCs w:val="20"/>
          <w:color w:val="auto"/>
        </w:rPr>
      </w:pPr>
    </w:p>
    <w:p>
      <w:pPr>
        <w:spacing w:after="0" w:line="280" w:lineRule="auto"/>
        <w:rPr>
          <w:sz w:val="20"/>
          <w:szCs w:val="20"/>
          <w:color w:val="auto"/>
        </w:rPr>
      </w:pPr>
      <w:r>
        <w:rPr>
          <w:rFonts w:ascii="Arial" w:cs="Arial" w:eastAsia="Arial" w:hAnsi="Arial"/>
          <w:sz w:val="21"/>
          <w:szCs w:val="21"/>
          <w:b w:val="1"/>
          <w:bCs w:val="1"/>
          <w:color w:val="auto"/>
        </w:rPr>
        <w:t xml:space="preserve">Accounting standards update. </w:t>
      </w:r>
      <w:r>
        <w:rPr>
          <w:rFonts w:ascii="Arial" w:cs="Arial" w:eastAsia="Arial" w:hAnsi="Arial"/>
          <w:sz w:val="21"/>
          <w:szCs w:val="21"/>
          <w:color w:val="auto"/>
        </w:rPr>
        <w:t>See note #2 to the Condensed Consolidated Financial Statements included elsewhere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report for details on recently issued accounting pronouncements and their impact on our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Fair valuation of financial instruments. </w:t>
      </w:r>
      <w:r>
        <w:rPr>
          <w:rFonts w:ascii="Arial" w:cs="Arial" w:eastAsia="Arial" w:hAnsi="Arial"/>
          <w:sz w:val="19"/>
          <w:szCs w:val="19"/>
          <w:color w:val="auto"/>
        </w:rPr>
        <w:t>Financial Accounting Standards Board (“FASB”) Accounting Standards Codification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ITIGATION</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ATTERS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RITICAL</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OLICIES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accounting and reporting policies are in accordance with accounting principles generally accepted in the United States of America and conform to general practices within the banking industry. Accounting and reporting policies for the AFLL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2019.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Item 3.</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Q</w:t>
      </w:r>
      <w:r>
        <w:rPr>
          <w:rFonts w:ascii="Arial" w:cs="Arial" w:eastAsia="Arial" w:hAnsi="Arial"/>
          <w:sz w:val="14"/>
          <w:szCs w:val="14"/>
          <w:b w:val="1"/>
          <w:bCs w:val="1"/>
          <w:color w:val="auto"/>
        </w:rPr>
        <w:t>UANTITATIVE AND</w:t>
      </w:r>
      <w:r>
        <w:rPr>
          <w:rFonts w:ascii="Arial" w:cs="Arial" w:eastAsia="Arial" w:hAnsi="Arial"/>
          <w:sz w:val="22"/>
          <w:szCs w:val="22"/>
          <w:b w:val="1"/>
          <w:bCs w:val="1"/>
          <w:color w:val="auto"/>
        </w:rPr>
        <w:t xml:space="preserve"> Q</w:t>
      </w:r>
      <w:r>
        <w:rPr>
          <w:rFonts w:ascii="Arial" w:cs="Arial" w:eastAsia="Arial" w:hAnsi="Arial"/>
          <w:sz w:val="14"/>
          <w:szCs w:val="14"/>
          <w:b w:val="1"/>
          <w:bCs w:val="1"/>
          <w:color w:val="auto"/>
        </w:rPr>
        <w:t>UALITATIVE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ISCLOSURES ABOUT</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ARKET</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ISK</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See applicable disclosures set forth in “Management’s Discussion and Analysis of Financial Condition and Results of Operations” in Item 2 under the caption “Asset/liability management.”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Item 4.</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ONTROLS AND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ROCEDURES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45" w:lineRule="exact"/>
        <w:rPr>
          <w:sz w:val="20"/>
          <w:szCs w:val="20"/>
          <w:color w:val="auto"/>
        </w:rPr>
      </w:pPr>
    </w:p>
    <w:p>
      <w:pPr>
        <w:jc w:val="both"/>
        <w:ind w:left="340" w:right="20"/>
        <w:spacing w:after="0" w:line="297" w:lineRule="auto"/>
        <w:rPr>
          <w:sz w:val="20"/>
          <w:szCs w:val="20"/>
          <w:color w:val="auto"/>
        </w:rPr>
      </w:pPr>
      <w:r>
        <w:rPr>
          <w:rFonts w:ascii="Arial" w:cs="Arial" w:eastAsia="Arial" w:hAnsi="Arial"/>
          <w:sz w:val="19"/>
          <w:szCs w:val="19"/>
          <w:color w:val="auto"/>
        </w:rPr>
        <w:t>With the participation of management, our chief executive officer and chief financial officer, after evaluating the effectiveness of our disclosure controls and procedures (as defined in Exchange Act Rules 13a – 15(e) and 15d – 15(e)) for the period ended March 31, 2020, have concluded that, as of such date, our disclosure controls and procedures were effective.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Controls.</w:t>
      </w:r>
    </w:p>
    <w:p>
      <w:pPr>
        <w:spacing w:after="0" w:line="245" w:lineRule="exact"/>
        <w:rPr>
          <w:sz w:val="20"/>
          <w:szCs w:val="20"/>
          <w:color w:val="auto"/>
        </w:rPr>
      </w:pPr>
    </w:p>
    <w:p>
      <w:pPr>
        <w:jc w:val="both"/>
        <w:ind w:left="340"/>
        <w:spacing w:after="0" w:line="250" w:lineRule="auto"/>
        <w:rPr>
          <w:sz w:val="20"/>
          <w:szCs w:val="20"/>
          <w:color w:val="auto"/>
        </w:rPr>
      </w:pPr>
      <w:r>
        <w:rPr>
          <w:rFonts w:ascii="Arial" w:cs="Arial" w:eastAsia="Arial" w:hAnsi="Arial"/>
          <w:sz w:val="22"/>
          <w:szCs w:val="22"/>
          <w:color w:val="auto"/>
        </w:rPr>
        <w:t>During the quarter ended March 31, 2020, there were no changes in our internal control over financial reporting that materially affected, or are reasonably likely to materially affect, our internal control over financial reporting.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Part II</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Item1 A.Risk Factors</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to the risk factors disclosed in the Company’s Annual Report on Form 10-K for the year ended December 31, 2019, the following risk factors apply to the Company:</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Global health concerns relating to the COVID-19 pandemic and related government actions have resulted in significant disruptions and increased economic uncertainty. Government restrictions and recommendations designed to contain the virus and limit its effects have substantially limited the activities of individuals and the operations of businesses in the markets we serve.</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Governor of Michigan issued her first "stay home, stay safe" executive order effective March 24, 2020. In general that order and subsequent modifications require individuals in Michigan to stay at home or their place of residence, except for certain specified activities and for work by critical infrastructure workers, work by persons necessary to conduct minimum basic business operations, work by those performing necessary government activities and certain other permitted activities. In general, businesses may not require workers to leave their homes except to the extent those workers are necessary to sustain or protect human life, to conduct certain minimum basic business operations or to perform certain permitted activities. As a result of these actions, Michigan has already experienced a significant increase in unemployment. It is possible that Michigan's Governor may continue some form of executive order throughout the Company's second quarter.</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COVID-19 pandemic and related executive orders and federal government pandemic response guidance has had and continues to have a significant effect on us, our customers and the markets we serve. Our business, results of operations and financial condition may be adversely affected by a number of factors that could impact us and our customers, including but not limited to:</w:t>
      </w:r>
    </w:p>
    <w:p>
      <w:pPr>
        <w:spacing w:after="0" w:line="21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activity and high levels of unemployment may cause increases in loan delinquencies, foreclosures and defaults;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allowance for loan losses may be necessary;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party disruptions, including outages at network providers, on-line banking vendors and other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cyber and payment fraud risk, as cybercriminals attempt to profit from the disruption, given increased online and remote activity;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operational failures due to changes in our normal business practices necessitated by the pandemic and related governmental actions; and/or</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key personnel or significant numbers of our employees being unable to work effectively, including because of illness or restrictions in connection with COVID-19.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These factors may continue for a significant period of time. The COVID-19 pandemic may also have the effect of heightening many of the other risks we face, including the risks described in the section entitled “Risk Factors” in our Form 10-K for the fiscal year ended December 31, 2019.</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spread of COVID-19 has caused us to modify our business practices (such as limiting our branch lobbies to appointment only, requiring roughly 80% of our non-branch personnel to work remotely and expanded sick and vacation time), and we may take further actions as may be required or as we determine to be prudent. There is no certainty that such measures will be sufficient to mitigate the risks posed by COVID-19.</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extent to which the COVID-19 pandemic will impact our business, results of operations and financial condition will depend on future developments, which are highly uncertain and difficult to predict. Those developments and factors include, the duration and spread of the pandemic, its severity, the actions to contain the pandemic or address its impact, and how quickly and to what extent normal economic and operating conditions can resume. We do not yet know the full extent of the impact. However, the effects could have a material adverse impact on our business, financial condition and results of operations.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As a participating lender in the U.S. Small Business Administration (“SBA”) Paycheck Protection Program (“PPP”), the Company and the Bank are subject to additional risks regarding the Bank’s processing of loans for the PPP and risks that the SBA may not fund some or all PPP loan guaranties.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March 27, 2020, President Trump signed the Coronavirus Aid, Relief, and Economic Security Act (“CARES Act”), which included a $349 billion loan program administered through the SBA referred to as the PPP. Under the PPP, small businesses and other entities and individuals can apply for loans from existing SBA lenders and other approved regulated lenders that enroll in the program, subject to numerous limitations and eligibility criteria. The Bank is participating as a lender in the PPP. The PPP opened on April 3, 2020; however, because of the short timeframe between the passing of the CARES Act and the opening of the PPP, there is some ambiguity in the laws, rules and guidance regarding the operation of the PPP, which exposes us to potential risks relating to noncompliance with the PPP. On or about April 16, 2020, the SBA notified lenders that the $349 billion earmarked for the PPP was exhausted.</w:t>
      </w:r>
    </w:p>
    <w:p>
      <w:pPr>
        <w:spacing w:after="0" w:line="207" w:lineRule="exact"/>
        <w:rPr>
          <w:sz w:val="20"/>
          <w:szCs w:val="20"/>
          <w:color w:val="auto"/>
        </w:rPr>
      </w:pPr>
    </w:p>
    <w:p>
      <w:pPr>
        <w:jc w:val="both"/>
        <w:spacing w:after="0" w:line="247" w:lineRule="exact"/>
        <w:rPr>
          <w:sz w:val="20"/>
          <w:szCs w:val="20"/>
          <w:color w:val="auto"/>
        </w:rPr>
      </w:pPr>
      <w:r>
        <w:rPr>
          <w:rFonts w:ascii="Arial" w:cs="Arial" w:eastAsia="Arial" w:hAnsi="Arial"/>
          <w:sz w:val="19"/>
          <w:szCs w:val="19"/>
          <w:color w:val="auto"/>
        </w:rPr>
        <w:t>Since the initiation of the PPP, several larger banks have been subject to litigation regarding the protocols and procedures that they used in processing applications for the PPP. We may be exposed to the risk of similar litigation, from both customers and non</w:t>
      </w:r>
      <w:r>
        <w:rPr>
          <w:rFonts w:ascii="MS PGothic" w:cs="MS PGothic" w:eastAsia="MS PGothic" w:hAnsi="MS PGothic"/>
          <w:sz w:val="19"/>
          <w:szCs w:val="19"/>
          <w:color w:val="auto"/>
        </w:rPr>
        <w:t>‑</w:t>
      </w:r>
      <w:r>
        <w:rPr>
          <w:rFonts w:ascii="Arial" w:cs="Arial" w:eastAsia="Arial" w:hAnsi="Arial"/>
          <w:sz w:val="19"/>
          <w:szCs w:val="19"/>
          <w:color w:val="auto"/>
        </w:rPr>
        <w:t>customers that approached us regarding PPP loans, regarding our policies and procedures used in processing applications for the PPP. If any such litigation is filed against the Company or the Bank and is not resolved in a manner favorable to us, it could result in financial liability or adversely affect our reputation. In addition, litigation can be costly, regardless of outcome. Any financial liability, litigation costs or reputational damage caused by PPP related litigation could have an adverse impact on our business, financial condition and results of operations.</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also have credit risk on PPP loans if a determination is made by the SBA that there is a deficiency in the manner in which the loan was originated, funded, or serviced by the Bank, such as an issue with the eligibility of a borrower to receive a PPP loan, which may or may not be related to the ambiguity in the laws, rules and guidance regarding the operation of the PPP.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b w:val="1"/>
          <w:bCs w:val="1"/>
          <w:i w:val="1"/>
          <w:iCs w:val="1"/>
          <w:color w:val="auto"/>
        </w:rPr>
        <w:t>Our business is subject to additional risks in the near term related to our plan to complete a core data processing systems conversion.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We are at the beginning of the process to convert our core data processing system to a new system hosted by a different vendor. A systems conversion of this nature is extremely complicated, time-consuming, and resource intensive. The process will be even more challenging in light of the COVID-19 pandemic, including the challenges presented as a result of a portion of our workforce working remotely. The timing and success of this systems conversion is also heavily dependent on the reliability of the vendors for both our existing and new systems. If either or both of these vendors experience workforce shortages due to the pandemic or otherwise, it could impact our ability to complete the systems conversion on the timeline and budget currently expected. Difficulties in completing the conversion could also negatively impact our operations and financial performance.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24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first quarter of 2020, the Company issued 374 shares of common stock to non-employee directors on a current basis and 3,458 shares of common stock to the trust for distribution to directors on a deferred basis. These shares were issued on January 1, 2020 representing aggregate fees of $0.08 million. The shares on a current basis were issued at a price of $22.65 per share and the shares on a deferred basis were issued at a price of $20.39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shows certain information relating to repurchases of common stock for the three-months ended March 31,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Shares Authorized</w:t>
            </w:r>
          </w:p>
        </w:tc>
      </w:tr>
      <w:tr>
        <w:trPr>
          <w:trHeight w:val="216"/>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Average Price</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7"/>
        </w:trPr>
        <w:tc>
          <w:tcPr>
            <w:tcW w:w="4060" w:type="dxa"/>
            <w:vAlign w:val="bottom"/>
          </w:tcPr>
          <w:p>
            <w:pPr>
              <w:ind w:left="2360"/>
              <w:spacing w:after="0"/>
              <w:rPr>
                <w:sz w:val="20"/>
                <w:szCs w:val="20"/>
                <w:color w:val="auto"/>
              </w:rPr>
            </w:pPr>
            <w:r>
              <w:rPr>
                <w:rFonts w:ascii="Arial" w:cs="Arial" w:eastAsia="Arial" w:hAnsi="Arial"/>
                <w:sz w:val="18"/>
                <w:szCs w:val="18"/>
                <w:color w:val="auto"/>
              </w:rPr>
              <w:t>Period</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Shares Purchased (1)</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Paid Per Share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2020</w:t>
            </w:r>
          </w:p>
        </w:tc>
        <w:tc>
          <w:tcPr>
            <w:tcW w:w="28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88,306</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21.92</w:t>
            </w:r>
          </w:p>
        </w:tc>
        <w:tc>
          <w:tcPr>
            <w:tcW w:w="1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62,610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1,057,390</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February 2020</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356,066</w:t>
            </w:r>
          </w:p>
        </w:tc>
        <w:tc>
          <w:tcPr>
            <w:tcW w:w="5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21.74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313,618</w:t>
            </w:r>
          </w:p>
        </w:tc>
        <w:tc>
          <w:tcPr>
            <w:tcW w:w="1440" w:type="dxa"/>
            <w:vAlign w:val="bottom"/>
          </w:tcPr>
          <w:p>
            <w:pPr>
              <w:jc w:val="right"/>
              <w:spacing w:after="0"/>
              <w:rPr>
                <w:sz w:val="20"/>
                <w:szCs w:val="20"/>
                <w:color w:val="auto"/>
              </w:rPr>
            </w:pPr>
            <w:r>
              <w:rPr>
                <w:rFonts w:ascii="Arial" w:cs="Arial" w:eastAsia="Arial" w:hAnsi="Arial"/>
                <w:sz w:val="18"/>
                <w:szCs w:val="18"/>
                <w:color w:val="auto"/>
              </w:rPr>
              <w:t>743,772</w:t>
            </w:r>
          </w:p>
        </w:tc>
        <w:tc>
          <w:tcPr>
            <w:tcW w:w="100" w:type="dxa"/>
            <w:vAlign w:val="bottom"/>
          </w:tcPr>
          <w:p>
            <w:pPr>
              <w:spacing w:after="0"/>
              <w:rPr>
                <w:sz w:val="18"/>
                <w:szCs w:val="18"/>
                <w:color w:val="auto"/>
              </w:rPr>
            </w:pPr>
          </w:p>
        </w:tc>
      </w:tr>
      <w:tr>
        <w:trPr>
          <w:trHeight w:val="223"/>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2020</w:t>
            </w:r>
          </w:p>
        </w:tc>
        <w:tc>
          <w:tcPr>
            <w:tcW w:w="12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303,366</w:t>
            </w: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302,701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jc w:val="right"/>
              <w:ind w:right="10"/>
              <w:spacing w:after="0"/>
              <w:rPr>
                <w:sz w:val="20"/>
                <w:szCs w:val="20"/>
                <w:color w:val="auto"/>
              </w:rPr>
            </w:pPr>
            <w:r>
              <w:rPr>
                <w:rFonts w:ascii="Arial" w:cs="Arial" w:eastAsia="Arial" w:hAnsi="Arial"/>
                <w:sz w:val="18"/>
                <w:szCs w:val="18"/>
                <w:color w:val="auto"/>
              </w:rPr>
              <w:t>747,738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20.47</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678,929</w:t>
            </w:r>
          </w:p>
        </w:tc>
        <w:tc>
          <w:tcPr>
            <w:tcW w:w="1440" w:type="dxa"/>
            <w:vAlign w:val="bottom"/>
          </w:tcPr>
          <w:p>
            <w:pPr>
              <w:jc w:val="right"/>
              <w:spacing w:after="0"/>
              <w:rPr>
                <w:sz w:val="20"/>
                <w:szCs w:val="20"/>
                <w:color w:val="auto"/>
              </w:rPr>
            </w:pPr>
            <w:r>
              <w:rPr>
                <w:rFonts w:ascii="Arial" w:cs="Arial" w:eastAsia="Arial" w:hAnsi="Arial"/>
                <w:sz w:val="18"/>
                <w:szCs w:val="18"/>
                <w:color w:val="auto"/>
              </w:rPr>
              <w:t>441,071</w:t>
            </w:r>
          </w:p>
        </w:tc>
        <w:tc>
          <w:tcPr>
            <w:tcW w:w="10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301"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January, February and March include 25,696 shares, 1,813 and 665 shares, respectively, withheld from the shares that would otherwise have been issued to certain officers in order to satisfy tax withholding obligations resulting from the vesting of restricted stock as well as satisfy tax withholding obligations and stock option exercise price resulting from the exercise of stock options. February also includes 40,635 shares of our common stock purchased in the open market by the Independent Bank Corporation Employee Stock Ownership Trust as part of our employee stock ownership plan.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52" w:lineRule="exact"/>
        <w:rPr>
          <w:sz w:val="20"/>
          <w:szCs w:val="20"/>
          <w:color w:val="auto"/>
        </w:rPr>
      </w:pPr>
    </w:p>
    <w:p>
      <w:pPr>
        <w:ind w:left="700" w:hanging="325"/>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8"/>
          <w:szCs w:val="18"/>
          <w:color w:val="auto"/>
        </w:rPr>
      </w:pPr>
    </w:p>
    <w:p>
      <w:pPr>
        <w:ind w:left="1140" w:hanging="446"/>
        <w:spacing w:after="0" w:line="250" w:lineRule="auto"/>
        <w:rPr>
          <w:rFonts w:ascii="Arial" w:cs="Arial" w:eastAsia="Arial" w:hAnsi="Arial"/>
          <w:sz w:val="18"/>
          <w:szCs w:val="18"/>
          <w:color w:val="0000EE"/>
        </w:rPr>
      </w:pPr>
      <w:hyperlink w:anchor="page89">
        <w:r>
          <w:rPr>
            <w:rFonts w:ascii="Arial" w:cs="Arial" w:eastAsia="Arial" w:hAnsi="Arial"/>
            <w:sz w:val="18"/>
            <w:szCs w:val="18"/>
            <w:u w:val="single" w:color="auto"/>
            <w:color w:val="0000EE"/>
          </w:rPr>
          <w:t>31.1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140" w:hanging="446"/>
        <w:spacing w:after="0" w:line="250" w:lineRule="auto"/>
        <w:rPr>
          <w:rFonts w:ascii="Arial" w:cs="Arial" w:eastAsia="Arial" w:hAnsi="Arial"/>
          <w:sz w:val="18"/>
          <w:szCs w:val="18"/>
          <w:color w:val="0000EE"/>
        </w:rPr>
      </w:pPr>
      <w:hyperlink w:anchor="page90">
        <w:r>
          <w:rPr>
            <w:rFonts w:ascii="Arial" w:cs="Arial" w:eastAsia="Arial" w:hAnsi="Arial"/>
            <w:sz w:val="18"/>
            <w:szCs w:val="18"/>
            <w:u w:val="single" w:color="auto"/>
            <w:color w:val="0000EE"/>
          </w:rPr>
          <w:t>31.2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302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140" w:hanging="446"/>
        <w:spacing w:after="0" w:line="250" w:lineRule="auto"/>
        <w:rPr>
          <w:rFonts w:ascii="Arial" w:cs="Arial" w:eastAsia="Arial" w:hAnsi="Arial"/>
          <w:sz w:val="18"/>
          <w:szCs w:val="18"/>
          <w:color w:val="0000EE"/>
        </w:rPr>
      </w:pPr>
      <w:hyperlink w:anchor="page91">
        <w:r>
          <w:rPr>
            <w:rFonts w:ascii="Arial" w:cs="Arial" w:eastAsia="Arial" w:hAnsi="Arial"/>
            <w:sz w:val="18"/>
            <w:szCs w:val="18"/>
            <w:u w:val="single" w:color="auto"/>
            <w:color w:val="0000EE"/>
          </w:rPr>
          <w:t>32.1</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Executive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1140" w:hanging="446"/>
        <w:spacing w:after="0" w:line="250" w:lineRule="auto"/>
        <w:rPr>
          <w:rFonts w:ascii="Arial" w:cs="Arial" w:eastAsia="Arial" w:hAnsi="Arial"/>
          <w:sz w:val="18"/>
          <w:szCs w:val="18"/>
          <w:color w:val="0000EE"/>
        </w:rPr>
      </w:pPr>
      <w:hyperlink w:anchor="page92">
        <w:r>
          <w:rPr>
            <w:rFonts w:ascii="Arial" w:cs="Arial" w:eastAsia="Arial" w:hAnsi="Arial"/>
            <w:sz w:val="18"/>
            <w:szCs w:val="18"/>
            <w:u w:val="single" w:color="auto"/>
            <w:color w:val="0000EE"/>
          </w:rPr>
          <w:t>32.2</w:t>
        </w:r>
        <w:r>
          <w:rPr>
            <w:rFonts w:ascii="Arial" w:cs="Arial" w:eastAsia="Arial" w:hAnsi="Arial"/>
            <w:sz w:val="18"/>
            <w:szCs w:val="18"/>
            <w:color w:val="0000EE"/>
          </w:rPr>
          <w:t xml:space="preserve"> </w:t>
        </w:r>
      </w:hyperlink>
      <w:r>
        <w:rPr>
          <w:rFonts w:ascii="Arial" w:cs="Arial" w:eastAsia="Arial" w:hAnsi="Arial"/>
          <w:sz w:val="18"/>
          <w:szCs w:val="18"/>
          <w:color w:val="000000"/>
        </w:rPr>
        <w:t>Certificate</w:t>
      </w:r>
      <w:r>
        <w:rPr>
          <w:rFonts w:ascii="Arial" w:cs="Arial" w:eastAsia="Arial" w:hAnsi="Arial"/>
          <w:sz w:val="18"/>
          <w:szCs w:val="18"/>
          <w:color w:val="0000EE"/>
        </w:rPr>
        <w:t xml:space="preserve"> </w:t>
      </w:r>
      <w:r>
        <w:rPr>
          <w:rFonts w:ascii="Arial" w:cs="Arial" w:eastAsia="Arial" w:hAnsi="Arial"/>
          <w:sz w:val="18"/>
          <w:szCs w:val="18"/>
          <w:color w:val="000000"/>
        </w:rPr>
        <w:t>of the Chief Financial Officer of Independent Bank Corporation pursuant to Section 906 of the Sarbanes-Oxley Act of 2002 (18</w:t>
      </w:r>
      <w:r>
        <w:rPr>
          <w:rFonts w:ascii="Arial" w:cs="Arial" w:eastAsia="Arial" w:hAnsi="Arial"/>
          <w:sz w:val="18"/>
          <w:szCs w:val="18"/>
          <w:color w:val="0000EE"/>
        </w:rPr>
        <w:t xml:space="preserve"> </w:t>
      </w:r>
      <w:r>
        <w:rPr>
          <w:rFonts w:ascii="Arial" w:cs="Arial" w:eastAsia="Arial" w:hAnsi="Arial"/>
          <w:sz w:val="18"/>
          <w:szCs w:val="18"/>
          <w:color w:val="000000"/>
        </w:rPr>
        <w:t>U.S.C. 1350).</w:t>
      </w:r>
    </w:p>
    <w:p>
      <w:pPr>
        <w:ind w:left="700"/>
        <w:spacing w:after="0"/>
        <w:rPr>
          <w:rFonts w:ascii="Arial" w:cs="Arial" w:eastAsia="Arial" w:hAnsi="Arial"/>
          <w:sz w:val="18"/>
          <w:szCs w:val="18"/>
          <w:color w:val="0000EE"/>
        </w:rPr>
      </w:pPr>
      <w:r>
        <w:rPr>
          <w:rFonts w:ascii="Arial" w:cs="Arial" w:eastAsia="Arial" w:hAnsi="Arial"/>
          <w:sz w:val="18"/>
          <w:szCs w:val="18"/>
          <w:color w:val="auto"/>
        </w:rPr>
        <w:t>101.INS Instance Document</w:t>
      </w:r>
    </w:p>
    <w:p>
      <w:pPr>
        <w:spacing w:after="0" w:line="9" w:lineRule="exact"/>
        <w:rPr>
          <w:rFonts w:ascii="Arial" w:cs="Arial" w:eastAsia="Arial" w:hAnsi="Arial"/>
          <w:sz w:val="18"/>
          <w:szCs w:val="18"/>
          <w:color w:val="0000EE"/>
        </w:rPr>
      </w:pPr>
    </w:p>
    <w:p>
      <w:pPr>
        <w:ind w:left="700"/>
        <w:spacing w:after="0"/>
        <w:rPr>
          <w:rFonts w:ascii="Arial" w:cs="Arial" w:eastAsia="Arial" w:hAnsi="Arial"/>
          <w:sz w:val="18"/>
          <w:szCs w:val="18"/>
          <w:color w:val="0000EE"/>
        </w:rPr>
      </w:pPr>
      <w:r>
        <w:rPr>
          <w:rFonts w:ascii="Arial" w:cs="Arial" w:eastAsia="Arial" w:hAnsi="Arial"/>
          <w:sz w:val="18"/>
          <w:szCs w:val="18"/>
          <w:color w:val="auto"/>
        </w:rPr>
        <w:t>101.SCH XBRL Taxonomy Extension Schema Document</w:t>
      </w:r>
    </w:p>
    <w:p>
      <w:pPr>
        <w:spacing w:after="0" w:line="9" w:lineRule="exact"/>
        <w:rPr>
          <w:rFonts w:ascii="Arial" w:cs="Arial" w:eastAsia="Arial" w:hAnsi="Arial"/>
          <w:sz w:val="18"/>
          <w:szCs w:val="18"/>
          <w:color w:val="0000EE"/>
        </w:rPr>
      </w:pPr>
    </w:p>
    <w:p>
      <w:pPr>
        <w:ind w:left="700"/>
        <w:spacing w:after="0"/>
        <w:rPr>
          <w:rFonts w:ascii="Arial" w:cs="Arial" w:eastAsia="Arial" w:hAnsi="Arial"/>
          <w:sz w:val="18"/>
          <w:szCs w:val="18"/>
          <w:color w:val="0000EE"/>
        </w:rPr>
      </w:pPr>
      <w:r>
        <w:rPr>
          <w:rFonts w:ascii="Arial" w:cs="Arial" w:eastAsia="Arial" w:hAnsi="Arial"/>
          <w:sz w:val="18"/>
          <w:szCs w:val="18"/>
          <w:color w:val="auto"/>
        </w:rPr>
        <w:t>101.CAL XBRL Taxonomy Extension Calculation Linkbase Document</w:t>
      </w:r>
    </w:p>
    <w:p>
      <w:pPr>
        <w:spacing w:after="0" w:line="9" w:lineRule="exact"/>
        <w:rPr>
          <w:rFonts w:ascii="Arial" w:cs="Arial" w:eastAsia="Arial" w:hAnsi="Arial"/>
          <w:sz w:val="18"/>
          <w:szCs w:val="18"/>
          <w:color w:val="0000EE"/>
        </w:rPr>
      </w:pPr>
    </w:p>
    <w:p>
      <w:pPr>
        <w:ind w:left="700"/>
        <w:spacing w:after="0"/>
        <w:rPr>
          <w:rFonts w:ascii="Arial" w:cs="Arial" w:eastAsia="Arial" w:hAnsi="Arial"/>
          <w:sz w:val="18"/>
          <w:szCs w:val="18"/>
          <w:color w:val="0000EE"/>
        </w:rPr>
      </w:pPr>
      <w:r>
        <w:rPr>
          <w:rFonts w:ascii="Arial" w:cs="Arial" w:eastAsia="Arial" w:hAnsi="Arial"/>
          <w:sz w:val="18"/>
          <w:szCs w:val="18"/>
          <w:color w:val="auto"/>
        </w:rPr>
        <w:t>101.DEF XBRL Taxonomy Extension Definition Linkbase Document</w:t>
      </w:r>
    </w:p>
    <w:p>
      <w:pPr>
        <w:spacing w:after="0" w:line="9" w:lineRule="exact"/>
        <w:rPr>
          <w:rFonts w:ascii="Arial" w:cs="Arial" w:eastAsia="Arial" w:hAnsi="Arial"/>
          <w:sz w:val="18"/>
          <w:szCs w:val="18"/>
          <w:color w:val="0000EE"/>
        </w:rPr>
      </w:pPr>
    </w:p>
    <w:p>
      <w:pPr>
        <w:ind w:left="700"/>
        <w:spacing w:after="0"/>
        <w:rPr>
          <w:rFonts w:ascii="Arial" w:cs="Arial" w:eastAsia="Arial" w:hAnsi="Arial"/>
          <w:sz w:val="18"/>
          <w:szCs w:val="18"/>
          <w:color w:val="0000EE"/>
        </w:rPr>
      </w:pPr>
      <w:r>
        <w:rPr>
          <w:rFonts w:ascii="Arial" w:cs="Arial" w:eastAsia="Arial" w:hAnsi="Arial"/>
          <w:sz w:val="18"/>
          <w:szCs w:val="18"/>
          <w:color w:val="auto"/>
        </w:rPr>
        <w:t>101.LAB XBRL Taxonomy Extension Label Linkbase Document</w:t>
      </w:r>
    </w:p>
    <w:p>
      <w:pPr>
        <w:spacing w:after="0" w:line="9" w:lineRule="exact"/>
        <w:rPr>
          <w:rFonts w:ascii="Arial" w:cs="Arial" w:eastAsia="Arial" w:hAnsi="Arial"/>
          <w:sz w:val="18"/>
          <w:szCs w:val="18"/>
          <w:color w:val="0000EE"/>
        </w:rPr>
      </w:pPr>
    </w:p>
    <w:p>
      <w:pPr>
        <w:ind w:left="700"/>
        <w:spacing w:after="0"/>
        <w:rPr>
          <w:rFonts w:ascii="Arial" w:cs="Arial" w:eastAsia="Arial" w:hAnsi="Arial"/>
          <w:sz w:val="18"/>
          <w:szCs w:val="18"/>
          <w:color w:val="0000EE"/>
        </w:rPr>
      </w:pPr>
      <w:r>
        <w:rPr>
          <w:rFonts w:ascii="Arial" w:cs="Arial" w:eastAsia="Arial" w:hAnsi="Arial"/>
          <w:sz w:val="18"/>
          <w:szCs w:val="18"/>
          <w:color w:val="auto"/>
        </w:rPr>
        <w:t>101.PRE XBRL Taxonomy Extension Presentation Linkbase Document</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-2051050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-1639570</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-1090930</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Arial" w:cs="Arial" w:eastAsia="Arial" w:hAnsi="Arial"/>
          <w:sz w:val="18"/>
          <w:szCs w:val="18"/>
          <w:color w:val="0000EE"/>
        </w:rPr>
      </w:pPr>
    </w:p>
    <w:p>
      <w:pPr>
        <w:spacing w:after="0" w:line="202"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May 5, 2020</w:t>
            </w:r>
          </w:p>
        </w:tc>
        <w:tc>
          <w:tcPr>
            <w:tcW w:w="2100" w:type="dxa"/>
            <w:vAlign w:val="bottom"/>
          </w:tcPr>
          <w:p>
            <w:pPr>
              <w:ind w:left="178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 Stephen A. Erickson</w:t>
            </w:r>
          </w:p>
        </w:tc>
      </w:tr>
      <w:tr>
        <w:trPr>
          <w:trHeight w:val="230"/>
        </w:trPr>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Arial" w:cs="Arial" w:eastAsia="Arial" w:hAnsi="Arial"/>
                <w:sz w:val="18"/>
                <w:szCs w:val="18"/>
                <w:color w:val="auto"/>
              </w:rPr>
              <w:t>Stephen A. Erickson, Principal Financial Officer</w:t>
            </w:r>
          </w:p>
        </w:tc>
      </w:tr>
      <w:tr>
        <w:trPr>
          <w:trHeight w:val="438"/>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May 5, 2020</w:t>
            </w:r>
          </w:p>
        </w:tc>
        <w:tc>
          <w:tcPr>
            <w:tcW w:w="2100" w:type="dxa"/>
            <w:vAlign w:val="bottom"/>
          </w:tcPr>
          <w:p>
            <w:pPr>
              <w:ind w:left="178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 James J. Twarozynski</w:t>
            </w:r>
          </w:p>
        </w:tc>
      </w:tr>
      <w:tr>
        <w:trPr>
          <w:trHeight w:val="230"/>
        </w:trPr>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Arial" w:cs="Arial" w:eastAsia="Arial" w:hAnsi="Arial"/>
                <w:sz w:val="18"/>
                <w:szCs w:val="18"/>
                <w:color w:val="auto"/>
              </w:rPr>
              <w:t>James J. Twarozynski, Principal Accounting Officer</w:t>
            </w:r>
          </w:p>
        </w:tc>
      </w:tr>
      <w:tr>
        <w:trPr>
          <w:trHeight w:val="635"/>
        </w:trPr>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100" w:type="dxa"/>
            <w:vAlign w:val="bottom"/>
          </w:tcPr>
          <w:p>
            <w:pPr>
              <w:jc w:val="right"/>
              <w:ind w:right="156"/>
              <w:spacing w:after="0"/>
              <w:rPr>
                <w:sz w:val="20"/>
                <w:szCs w:val="20"/>
                <w:color w:val="auto"/>
              </w:rPr>
            </w:pPr>
            <w:r>
              <w:rPr>
                <w:rFonts w:ascii="Arial" w:cs="Arial" w:eastAsia="Arial" w:hAnsi="Arial"/>
                <w:sz w:val="14"/>
                <w:szCs w:val="14"/>
                <w:color w:val="auto"/>
              </w:rPr>
              <w:t>87</w:t>
            </w:r>
          </w:p>
        </w:tc>
        <w:tc>
          <w:tcPr>
            <w:tcW w:w="5300" w:type="dxa"/>
            <w:vAlign w:val="bottom"/>
          </w:tcPr>
          <w:p>
            <w:pPr>
              <w:spacing w:after="0"/>
              <w:rPr>
                <w:sz w:val="24"/>
                <w:szCs w:val="24"/>
                <w:color w:val="auto"/>
              </w:rPr>
            </w:pPr>
          </w:p>
        </w:tc>
      </w:tr>
      <w:tr>
        <w:trPr>
          <w:trHeight w:val="100"/>
        </w:trPr>
        <w:tc>
          <w:tcPr>
            <w:tcW w:w="46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53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William B. Kessel, certify that:</w:t>
      </w:r>
    </w:p>
    <w:p>
      <w:pPr>
        <w:spacing w:after="0" w:line="240"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91"/>
        </w:trPr>
        <w:tc>
          <w:tcPr>
            <w:tcW w:w="5620" w:type="dxa"/>
            <w:vAlign w:val="bottom"/>
          </w:tcPr>
          <w:p>
            <w:pPr>
              <w:spacing w:after="0"/>
              <w:rPr>
                <w:sz w:val="20"/>
                <w:szCs w:val="20"/>
                <w:color w:val="auto"/>
              </w:rPr>
            </w:pPr>
            <w:r>
              <w:rPr>
                <w:rFonts w:ascii="Arial" w:cs="Arial" w:eastAsia="Arial" w:hAnsi="Arial"/>
                <w:sz w:val="18"/>
                <w:szCs w:val="18"/>
                <w:color w:val="auto"/>
              </w:rPr>
              <w:t>Date: May 5, 2020</w:t>
            </w:r>
          </w:p>
        </w:tc>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William B. Kessel</w:t>
            </w:r>
          </w:p>
        </w:tc>
        <w:tc>
          <w:tcPr>
            <w:tcW w:w="408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620" w:type="dxa"/>
            <w:vAlign w:val="bottom"/>
          </w:tcPr>
          <w:p>
            <w:pPr>
              <w:spacing w:after="0"/>
              <w:rPr>
                <w:sz w:val="20"/>
                <w:szCs w:val="20"/>
                <w:color w:val="auto"/>
              </w:rPr>
            </w:pPr>
          </w:p>
        </w:tc>
        <w:tc>
          <w:tcPr>
            <w:tcW w:w="5620" w:type="dxa"/>
            <w:vAlign w:val="bottom"/>
            <w:gridSpan w:val="2"/>
          </w:tcPr>
          <w:p>
            <w:pPr>
              <w:ind w:left="360"/>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5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8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 Stephen A. Erickson, certify that:</w:t>
      </w:r>
    </w:p>
    <w:p>
      <w:pPr>
        <w:spacing w:after="0" w:line="24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23"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6"/>
          <w:szCs w:val="16"/>
          <w:color w:val="auto"/>
        </w:rPr>
      </w:pPr>
    </w:p>
    <w:p>
      <w:pPr>
        <w:jc w:val="both"/>
        <w:ind w:left="660" w:hanging="652"/>
        <w:spacing w:after="0" w:line="250"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644"/>
        <w:spacing w:after="0" w:line="281"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50"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hanging="644"/>
        <w:spacing w:after="0" w:line="265"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220" w:hanging="644"/>
        <w:spacing w:after="0" w:line="260"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INDEPENDENT BANK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5, 2020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Stephen A. Erickson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Stephen A. Erickson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EXECUTIVE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I, William B. Kessel, President and Chief Executive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274" w:lineRule="auto"/>
        <w:tabs>
          <w:tab w:leader="none" w:pos="1504"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quarterly report on Form 10-Q for the quarterly period ended March 31, 2020, which this statement accompanies, fully complies with requirements of Section 13(a) or 15(d) of the Securities Exchange Act of 1934 and;</w:t>
      </w:r>
    </w:p>
    <w:p>
      <w:pPr>
        <w:spacing w:after="0" w:line="177" w:lineRule="exact"/>
        <w:rPr>
          <w:rFonts w:ascii="Arial" w:cs="Arial" w:eastAsia="Arial" w:hAnsi="Arial"/>
          <w:sz w:val="21"/>
          <w:szCs w:val="21"/>
          <w:color w:val="auto"/>
        </w:rPr>
      </w:pPr>
    </w:p>
    <w:p>
      <w:pPr>
        <w:ind w:right="300" w:firstLine="656"/>
        <w:spacing w:after="0" w:line="328" w:lineRule="auto"/>
        <w:tabs>
          <w:tab w:leader="none" w:pos="122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March 31, 2020,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620" w:type="dxa"/>
            <w:vAlign w:val="bottom"/>
          </w:tcPr>
          <w:p>
            <w:pPr>
              <w:spacing w:after="0"/>
              <w:rPr>
                <w:sz w:val="20"/>
                <w:szCs w:val="20"/>
                <w:color w:val="auto"/>
              </w:rPr>
            </w:pPr>
            <w:r>
              <w:rPr>
                <w:rFonts w:ascii="Arial" w:cs="Arial" w:eastAsia="Arial" w:hAnsi="Arial"/>
                <w:sz w:val="18"/>
                <w:szCs w:val="18"/>
                <w:color w:val="auto"/>
              </w:rPr>
              <w:t>Date: May 5, 2020</w:t>
            </w:r>
          </w:p>
        </w:tc>
        <w:tc>
          <w:tcPr>
            <w:tcW w:w="3120" w:type="dxa"/>
            <w:vAlign w:val="bottom"/>
            <w:gridSpan w:val="2"/>
          </w:tcPr>
          <w:p>
            <w:pPr>
              <w:ind w:left="100"/>
              <w:spacing w:after="0"/>
              <w:rPr>
                <w:sz w:val="20"/>
                <w:szCs w:val="20"/>
                <w:color w:val="auto"/>
              </w:rPr>
            </w:pPr>
            <w:r>
              <w:rPr>
                <w:rFonts w:ascii="Arial" w:cs="Arial" w:eastAsia="Arial" w:hAnsi="Arial"/>
                <w:sz w:val="18"/>
                <w:szCs w:val="18"/>
                <w:color w:val="auto"/>
              </w:rPr>
              <w:t>/s/ William B. Kessel</w:t>
            </w:r>
          </w:p>
        </w:tc>
      </w:tr>
      <w:tr>
        <w:trPr>
          <w:trHeight w:val="20"/>
        </w:trPr>
        <w:tc>
          <w:tcPr>
            <w:tcW w:w="5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30"/>
        </w:trPr>
        <w:tc>
          <w:tcPr>
            <w:tcW w:w="56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w w:val="92"/>
              </w:rPr>
              <w:t>President and Chief Executive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THE</w:t>
      </w:r>
    </w:p>
    <w:p>
      <w:pPr>
        <w:jc w:val="center"/>
        <w:spacing w:after="0" w:line="238" w:lineRule="auto"/>
        <w:rPr>
          <w:sz w:val="20"/>
          <w:szCs w:val="20"/>
          <w:color w:val="auto"/>
        </w:rPr>
      </w:pPr>
      <w:r>
        <w:rPr>
          <w:rFonts w:ascii="Arial" w:cs="Arial" w:eastAsia="Arial" w:hAnsi="Arial"/>
          <w:sz w:val="22"/>
          <w:szCs w:val="22"/>
          <w:color w:val="auto"/>
        </w:rPr>
        <w:t>CHIEF FINANCIAL OFFICER OF</w:t>
      </w:r>
    </w:p>
    <w:p>
      <w:pPr>
        <w:jc w:val="center"/>
        <w:spacing w:after="0"/>
        <w:rPr>
          <w:sz w:val="20"/>
          <w:szCs w:val="20"/>
          <w:color w:val="auto"/>
        </w:rPr>
      </w:pPr>
      <w:r>
        <w:rPr>
          <w:rFonts w:ascii="Arial" w:cs="Arial" w:eastAsia="Arial" w:hAnsi="Arial"/>
          <w:sz w:val="22"/>
          <w:szCs w:val="22"/>
          <w:color w:val="auto"/>
        </w:rPr>
        <w:t>INDEPENDENT BANK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Pursuant to Section 906 of the Sarbanes-Oxley Act of 2002 (18 U.S.C. 1350):</w:t>
      </w:r>
    </w:p>
    <w:p>
      <w:pPr>
        <w:spacing w:after="0" w:line="23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 Stephen A. Erickson, Chief Financial Officer of Independent Bank Corporation, certify, to the best of my knowledge and belief, pursuant to Section 906 of the Sarbanes-Oxley Act of 2002 (18 U.S.C. 1350) that:</w:t>
      </w:r>
    </w:p>
    <w:p>
      <w:pPr>
        <w:spacing w:after="0" w:line="202" w:lineRule="exact"/>
        <w:rPr>
          <w:sz w:val="20"/>
          <w:szCs w:val="20"/>
          <w:color w:val="auto"/>
        </w:rPr>
      </w:pPr>
    </w:p>
    <w:p>
      <w:pPr>
        <w:ind w:firstLine="656"/>
        <w:spacing w:after="0" w:line="274" w:lineRule="auto"/>
        <w:tabs>
          <w:tab w:leader="none" w:pos="1504"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quarterly report on Form 10-Q for the quarterly period ended March 31, 2020, which this statement accompanies, fully complies with requirements of Section 13(a) or 15(d) of the Securities Exchange Act of 1934 and;</w:t>
      </w:r>
    </w:p>
    <w:p>
      <w:pPr>
        <w:spacing w:after="0" w:line="177" w:lineRule="exact"/>
        <w:rPr>
          <w:rFonts w:ascii="Arial" w:cs="Arial" w:eastAsia="Arial" w:hAnsi="Arial"/>
          <w:sz w:val="21"/>
          <w:szCs w:val="21"/>
          <w:color w:val="auto"/>
        </w:rPr>
      </w:pPr>
    </w:p>
    <w:p>
      <w:pPr>
        <w:ind w:right="20" w:firstLine="656"/>
        <w:spacing w:after="0" w:line="328" w:lineRule="auto"/>
        <w:tabs>
          <w:tab w:leader="none" w:pos="1301"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March 31, 2020, fairly presents, in all material respects, the financial condition and results of operations of Independent Bank Corporation.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6"/>
              </w:rPr>
              <w:t>INDEPENDENT BANK CORPORATION</w:t>
            </w:r>
          </w:p>
        </w:tc>
      </w:tr>
      <w:tr>
        <w:trPr>
          <w:trHeight w:val="392"/>
        </w:trPr>
        <w:tc>
          <w:tcPr>
            <w:tcW w:w="5620" w:type="dxa"/>
            <w:vAlign w:val="bottom"/>
          </w:tcPr>
          <w:p>
            <w:pPr>
              <w:spacing w:after="0"/>
              <w:rPr>
                <w:sz w:val="20"/>
                <w:szCs w:val="20"/>
                <w:color w:val="auto"/>
              </w:rPr>
            </w:pPr>
            <w:r>
              <w:rPr>
                <w:rFonts w:ascii="Arial" w:cs="Arial" w:eastAsia="Arial" w:hAnsi="Arial"/>
                <w:sz w:val="18"/>
                <w:szCs w:val="18"/>
                <w:color w:val="auto"/>
              </w:rPr>
              <w:t>Date: May 5, 2020</w:t>
            </w:r>
          </w:p>
        </w:tc>
        <w:tc>
          <w:tcPr>
            <w:tcW w:w="1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9"/>
              </w:rPr>
              <w:t>/s/ Stephen A. Erickson</w:t>
            </w:r>
          </w:p>
        </w:tc>
        <w:tc>
          <w:tcPr>
            <w:tcW w:w="132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Stephen A. Erickson</w:t>
            </w:r>
          </w:p>
        </w:tc>
      </w:tr>
      <w:tr>
        <w:trPr>
          <w:trHeight w:val="230"/>
        </w:trPr>
        <w:tc>
          <w:tcPr>
            <w:tcW w:w="5620" w:type="dxa"/>
            <w:vAlign w:val="bottom"/>
          </w:tcPr>
          <w:p>
            <w:pPr>
              <w:spacing w:after="0"/>
              <w:rPr>
                <w:sz w:val="20"/>
                <w:szCs w:val="20"/>
                <w:color w:val="auto"/>
              </w:rPr>
            </w:pPr>
          </w:p>
        </w:tc>
        <w:tc>
          <w:tcPr>
            <w:tcW w:w="31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upperLetter"/>
      <w:start w:val="68"/>
    </w:lvl>
  </w:abstractNum>
  <w:abstractNum w:abstractNumId="8">
    <w:nsid w:val="79838CB2"/>
    <w:multiLevelType w:val="hybridMultilevel"/>
    <w:lvl w:ilvl="0">
      <w:lvlJc w:val="left"/>
      <w:lvlText w:val="%1."/>
      <w:numFmt w:val="decimal"/>
      <w:start w:val="5"/>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6"/>
    </w:lvl>
  </w:abstractNum>
  <w:abstractNum w:abstractNumId="11">
    <w:nsid w:val="189A769B"/>
    <w:multiLevelType w:val="hybridMultilevel"/>
    <w:lvl w:ilvl="0">
      <w:lvlJc w:val="left"/>
      <w:lvlText w:val="%1."/>
      <w:numFmt w:val="decimal"/>
      <w:start w:val="7"/>
    </w:lvl>
  </w:abstractNum>
  <w:abstractNum w:abstractNumId="12">
    <w:nsid w:val="54E49EB4"/>
    <w:multiLevelType w:val="hybridMultilevel"/>
    <w:lvl w:ilvl="0">
      <w:lvlJc w:val="left"/>
      <w:lvlText w:val="%1."/>
      <w:numFmt w:val="decimal"/>
      <w:start w:val="10"/>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2"/>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3"/>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decimal"/>
      <w:start w:val="14"/>
    </w:lvl>
  </w:abstractNum>
  <w:abstractNum w:abstractNumId="23">
    <w:nsid w:val="22221A70"/>
    <w:multiLevelType w:val="hybridMultilevel"/>
    <w:lvl w:ilvl="0">
      <w:lvlJc w:val="left"/>
      <w:lvlText w:val="%1."/>
      <w:numFmt w:val="decimal"/>
      <w:start w:val="15"/>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2020-05-05T16:29:36Z</dcterms:created>
  <dcterms:modified xsi:type="dcterms:W3CDTF">2020-05-05T16:29:36Z</dcterms:modified>
</cp:coreProperties>
</file>