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10-Q</w:t>
      </w:r>
    </w:p>
    <w:p>
      <w:pPr>
        <w:spacing w:after="0" w:line="208"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2023</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409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Michigan</w:t>
            </w:r>
          </w:p>
        </w:tc>
        <w:tc>
          <w:tcPr>
            <w:tcW w:w="100" w:type="dxa"/>
            <w:vAlign w:val="bottom"/>
          </w:tcPr>
          <w:p>
            <w:pPr>
              <w:spacing w:after="0"/>
              <w:rPr>
                <w:sz w:val="22"/>
                <w:szCs w:val="22"/>
                <w:color w:val="auto"/>
              </w:rPr>
            </w:pPr>
          </w:p>
        </w:tc>
        <w:tc>
          <w:tcPr>
            <w:tcW w:w="558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38-2032782</w:t>
            </w: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25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(616) 527-5820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address and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98"/>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which registered</w:t>
            </w:r>
          </w:p>
        </w:tc>
      </w:tr>
      <w:tr>
        <w:trPr>
          <w:trHeight w:val="243"/>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6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non-accelerated filer, smaller reporting company or an emerging growth company.</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common stock, no par value, 21,141,009 as of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Number(s)</w:t>
            </w: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w:t>
            </w:r>
          </w:p>
        </w:tc>
        <w:tc>
          <w:tcPr>
            <w:tcW w:w="90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34"/>
        </w:trPr>
        <w:tc>
          <w:tcPr>
            <w:tcW w:w="10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7260" w:type="dxa"/>
            <w:vAlign w:val="bottom"/>
            <w:tcBorders>
              <w:bottom w:val="single" w:sz="8" w:color="0000FF"/>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Financial Condition March 31, 2023 and December 31, 2022</w:t>
            </w:r>
          </w:p>
        </w:tc>
        <w:tc>
          <w:tcPr>
            <w:tcW w:w="1760" w:type="dxa"/>
            <w:vAlign w:val="bottom"/>
            <w:tcBorders>
              <w:bottom w:val="single" w:sz="8" w:color="CCEEFF"/>
            </w:tcBorders>
            <w:gridSpan w:val="4"/>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1000" w:type="dxa"/>
            <w:vAlign w:val="bottom"/>
          </w:tcPr>
          <w:p>
            <w:pPr>
              <w:spacing w:after="0"/>
              <w:rPr>
                <w:sz w:val="17"/>
                <w:szCs w:val="17"/>
                <w:color w:val="auto"/>
              </w:rPr>
            </w:pPr>
          </w:p>
        </w:tc>
        <w:tc>
          <w:tcPr>
            <w:tcW w:w="902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Operations Three-month periods ended March 31, 2023 and 2022</w:t>
            </w:r>
          </w:p>
        </w:tc>
        <w:tc>
          <w:tcPr>
            <w:tcW w:w="122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48"/>
        </w:trPr>
        <w:tc>
          <w:tcPr>
            <w:tcW w:w="100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5"/>
        </w:trPr>
        <w:tc>
          <w:tcPr>
            <w:tcW w:w="1000" w:type="dxa"/>
            <w:vAlign w:val="bottom"/>
            <w:tcBorders>
              <w:bottom w:val="single" w:sz="8" w:color="CCEEFF"/>
            </w:tcBorders>
            <w:shd w:val="clear" w:color="auto" w:fill="CCEEFF"/>
          </w:tcPr>
          <w:p>
            <w:pPr>
              <w:spacing w:after="0"/>
              <w:rPr>
                <w:sz w:val="21"/>
                <w:szCs w:val="21"/>
                <w:color w:val="auto"/>
              </w:rPr>
            </w:pPr>
          </w:p>
        </w:tc>
        <w:tc>
          <w:tcPr>
            <w:tcW w:w="9020" w:type="dxa"/>
            <w:vAlign w:val="bottom"/>
            <w:tcBorders>
              <w:bottom w:val="single" w:sz="8" w:color="0000FF"/>
            </w:tcBorders>
            <w:gridSpan w:val="1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Three-month periods ended March 31, 2023 and 2022</w:t>
            </w:r>
          </w:p>
        </w:tc>
        <w:tc>
          <w:tcPr>
            <w:tcW w:w="1220" w:type="dxa"/>
            <w:vAlign w:val="bottom"/>
            <w:tcBorders>
              <w:bottom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1000" w:type="dxa"/>
            <w:vAlign w:val="bottom"/>
            <w:tcBorders>
              <w:top w:val="single" w:sz="8" w:color="CCEEFF"/>
            </w:tcBorders>
          </w:tcPr>
          <w:p>
            <w:pPr>
              <w:spacing w:after="0"/>
              <w:rPr>
                <w:sz w:val="17"/>
                <w:szCs w:val="17"/>
                <w:color w:val="auto"/>
              </w:rPr>
            </w:pPr>
          </w:p>
        </w:tc>
        <w:tc>
          <w:tcPr>
            <w:tcW w:w="9020" w:type="dxa"/>
            <w:vAlign w:val="bottom"/>
            <w:tcBorders>
              <w:top w:val="single" w:sz="8" w:color="CCEE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 Three-month periods ended March 31, 2023 and 2022</w:t>
            </w:r>
          </w:p>
        </w:tc>
        <w:tc>
          <w:tcPr>
            <w:tcW w:w="1220" w:type="dxa"/>
            <w:vAlign w:val="bottom"/>
            <w:tcBorders>
              <w:top w:val="single" w:sz="8" w:color="CCEEFF"/>
            </w:tcBorders>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6</w:t>
            </w:r>
          </w:p>
        </w:tc>
      </w:tr>
      <w:tr>
        <w:trPr>
          <w:trHeight w:val="48"/>
        </w:trPr>
        <w:tc>
          <w:tcPr>
            <w:tcW w:w="100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5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100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0000FF"/>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Statements of Shareholders' Equity Three-month periods ended March 31, 2023 and 2022</w:t>
            </w:r>
          </w:p>
        </w:tc>
        <w:tc>
          <w:tcPr>
            <w:tcW w:w="7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7</w:t>
            </w:r>
          </w:p>
        </w:tc>
      </w:tr>
      <w:tr>
        <w:trPr>
          <w:trHeight w:val="203"/>
        </w:trPr>
        <w:tc>
          <w:tcPr>
            <w:tcW w:w="1000" w:type="dxa"/>
            <w:vAlign w:val="bottom"/>
          </w:tcPr>
          <w:p>
            <w:pPr>
              <w:spacing w:after="0"/>
              <w:rPr>
                <w:sz w:val="17"/>
                <w:szCs w:val="17"/>
                <w:color w:val="auto"/>
              </w:rPr>
            </w:pPr>
          </w:p>
        </w:tc>
        <w:tc>
          <w:tcPr>
            <w:tcW w:w="9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Notes to Interim Condensed Consolidated Financial Statements</w:t>
            </w:r>
          </w:p>
        </w:tc>
        <w:tc>
          <w:tcPr>
            <w:tcW w:w="122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8-53</w:t>
            </w:r>
          </w:p>
        </w:tc>
      </w:tr>
      <w:tr>
        <w:trPr>
          <w:trHeight w:val="34"/>
        </w:trPr>
        <w:tc>
          <w:tcPr>
            <w:tcW w:w="10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6"/>
        </w:trPr>
        <w:tc>
          <w:tcPr>
            <w:tcW w:w="10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80" w:type="dxa"/>
            <w:vAlign w:val="bottom"/>
            <w:tcBorders>
              <w:bottom w:val="single" w:sz="8" w:color="CCEEFF"/>
            </w:tcBorders>
            <w:gridSpan w:val="5"/>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54-70</w:t>
            </w:r>
          </w:p>
        </w:tc>
      </w:tr>
      <w:tr>
        <w:trPr>
          <w:trHeight w:val="203"/>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20" w:type="dxa"/>
            <w:vAlign w:val="bottom"/>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34"/>
        </w:trPr>
        <w:tc>
          <w:tcPr>
            <w:tcW w:w="10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5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22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71</w:t>
            </w:r>
          </w:p>
        </w:tc>
      </w:tr>
      <w:tr>
        <w:trPr>
          <w:trHeight w:val="270"/>
        </w:trPr>
        <w:tc>
          <w:tcPr>
            <w:tcW w:w="100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r>
      <w:tr>
        <w:trPr>
          <w:trHeight w:val="237"/>
        </w:trPr>
        <w:tc>
          <w:tcPr>
            <w:tcW w:w="10020" w:type="dxa"/>
            <w:vAlign w:val="bottom"/>
            <w:gridSpan w:val="1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PART II -   Other Information</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auto"/>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7700" w:type="dxa"/>
            <w:vAlign w:val="bottom"/>
            <w:tcBorders>
              <w:top w:val="single" w:sz="8" w:color="CCEEFF"/>
            </w:tcBorders>
            <w:gridSpan w:val="11"/>
          </w:tcPr>
          <w:p>
            <w:pPr>
              <w:spacing w:after="0"/>
              <w:rPr>
                <w:sz w:val="17"/>
                <w:szCs w:val="17"/>
                <w:color w:val="auto"/>
              </w:rPr>
            </w:pPr>
          </w:p>
        </w:tc>
        <w:tc>
          <w:tcPr>
            <w:tcW w:w="122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72</w:t>
            </w:r>
          </w:p>
        </w:tc>
      </w:tr>
      <w:tr>
        <w:trPr>
          <w:trHeight w:val="34"/>
        </w:trPr>
        <w:tc>
          <w:tcPr>
            <w:tcW w:w="10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1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20" w:type="dxa"/>
            <w:vAlign w:val="bottom"/>
            <w:gridSpan w:val="3"/>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72-73</w:t>
            </w:r>
          </w:p>
        </w:tc>
      </w:tr>
      <w:tr>
        <w:trPr>
          <w:trHeight w:val="203"/>
        </w:trPr>
        <w:tc>
          <w:tcPr>
            <w:tcW w:w="10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6"/>
          </w:tcPr>
          <w:p>
            <w:pPr>
              <w:spacing w:after="0"/>
              <w:rPr>
                <w:sz w:val="17"/>
                <w:szCs w:val="17"/>
                <w:color w:val="auto"/>
              </w:rPr>
            </w:pPr>
          </w:p>
        </w:tc>
        <w:tc>
          <w:tcPr>
            <w:tcW w:w="4680" w:type="dxa"/>
            <w:vAlign w:val="bottom"/>
            <w:tcBorders>
              <w:top w:val="single" w:sz="8" w:color="CCEEFF"/>
            </w:tcBorders>
            <w:gridSpan w:val="7"/>
          </w:tcPr>
          <w:p>
            <w:pPr>
              <w:spacing w:after="0"/>
              <w:rPr>
                <w:sz w:val="17"/>
                <w:szCs w:val="17"/>
                <w:color w:val="auto"/>
              </w:rPr>
            </w:pPr>
          </w:p>
        </w:tc>
        <w:tc>
          <w:tcPr>
            <w:tcW w:w="1220" w:type="dxa"/>
            <w:vAlign w:val="bottom"/>
            <w:tcBorders>
              <w:top w:val="single" w:sz="8" w:color="CCEEFF"/>
            </w:tcBorders>
            <w:gridSpan w:val="3"/>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925"/>
        </w:trPr>
        <w:tc>
          <w:tcPr>
            <w:tcW w:w="1000" w:type="dxa"/>
            <w:vAlign w:val="bottom"/>
          </w:tcPr>
          <w:p>
            <w:pPr>
              <w:spacing w:after="0"/>
              <w:rPr>
                <w:sz w:val="24"/>
                <w:szCs w:val="24"/>
                <w:color w:val="auto"/>
              </w:rPr>
            </w:pPr>
          </w:p>
        </w:tc>
        <w:tc>
          <w:tcPr>
            <w:tcW w:w="6440" w:type="dxa"/>
            <w:vAlign w:val="bottom"/>
            <w:gridSpan w:val="9"/>
          </w:tcPr>
          <w:p>
            <w:pPr>
              <w:ind w:left="45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5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generally and in the financial services industry, particularly economic conditions within Michigan and the regional and local real estate markets in which our bank operates;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our allowance for credit losses;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either nationally or regionally;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loan and deposit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direction of market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services of our management team;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legislation, which may have significant effects on us and the financial services industry.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2022,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 Item 1.</w:t>
            </w:r>
          </w:p>
        </w:tc>
        <w:tc>
          <w:tcPr>
            <w:tcW w:w="5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INDEPENDENT BANK CORPORATION AND SUBSIDIARIES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2960" w:type="dxa"/>
            <w:vAlign w:val="bottom"/>
          </w:tcPr>
          <w:p>
            <w:pPr>
              <w:spacing w:after="0"/>
              <w:rPr>
                <w:sz w:val="24"/>
                <w:szCs w:val="24"/>
                <w:color w:val="auto"/>
              </w:rPr>
            </w:pPr>
          </w:p>
        </w:tc>
        <w:tc>
          <w:tcPr>
            <w:tcW w:w="5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Condensed Consolidated Statements of Financial Condition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2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color w:val="auto"/>
              </w:rPr>
              <w:t>2022</w:t>
            </w:r>
          </w:p>
        </w:tc>
      </w:tr>
      <w:tr>
        <w:trPr>
          <w:trHeight w:val="196"/>
        </w:trPr>
        <w:tc>
          <w:tcPr>
            <w:tcW w:w="2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828"/>
              <w:spacing w:after="0"/>
              <w:rPr>
                <w:sz w:val="20"/>
                <w:szCs w:val="20"/>
                <w:color w:val="auto"/>
              </w:rPr>
            </w:pPr>
            <w:r>
              <w:rPr>
                <w:rFonts w:ascii="Times New Roman" w:cs="Times New Roman" w:eastAsia="Times New Roman" w:hAnsi="Times New Roman"/>
                <w:sz w:val="14"/>
                <w:szCs w:val="14"/>
                <w:color w:val="auto"/>
              </w:rPr>
              <w:t>(Unaudited)</w:t>
            </w:r>
          </w:p>
        </w:tc>
        <w:tc>
          <w:tcPr>
            <w:tcW w:w="1160" w:type="dxa"/>
            <w:vAlign w:val="bottom"/>
            <w:tcBorders>
              <w:bottom w:val="single" w:sz="8" w:color="auto"/>
            </w:tcBorders>
          </w:tcPr>
          <w:p>
            <w:pPr>
              <w:spacing w:after="0"/>
              <w:rPr>
                <w:sz w:val="17"/>
                <w:szCs w:val="17"/>
                <w:color w:val="auto"/>
              </w:rPr>
            </w:pPr>
          </w:p>
        </w:tc>
      </w:tr>
      <w:tr>
        <w:trPr>
          <w:trHeight w:val="135"/>
        </w:trPr>
        <w:tc>
          <w:tcPr>
            <w:tcW w:w="2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0" w:type="dxa"/>
            <w:vAlign w:val="bottom"/>
            <w:gridSpan w:val="4"/>
          </w:tcPr>
          <w:p>
            <w:pPr>
              <w:jc w:val="center"/>
              <w:ind w:right="188"/>
              <w:spacing w:after="0" w:line="135" w:lineRule="exact"/>
              <w:rPr>
                <w:sz w:val="20"/>
                <w:szCs w:val="20"/>
                <w:color w:val="auto"/>
              </w:rPr>
            </w:pPr>
            <w:r>
              <w:rPr>
                <w:rFonts w:ascii="Times New Roman" w:cs="Times New Roman" w:eastAsia="Times New Roman" w:hAnsi="Times New Roman"/>
                <w:sz w:val="14"/>
                <w:szCs w:val="14"/>
                <w:color w:val="auto"/>
              </w:rPr>
              <w:t>(In thousands, except share</w:t>
            </w:r>
          </w:p>
        </w:tc>
      </w:tr>
      <w:tr>
        <w:trPr>
          <w:trHeight w:val="188"/>
        </w:trPr>
        <w:tc>
          <w:tcPr>
            <w:tcW w:w="2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color w:val="auto"/>
              </w:rPr>
              <w:t>amounts)</w:t>
            </w:r>
          </w:p>
        </w:tc>
        <w:tc>
          <w:tcPr>
            <w:tcW w:w="1160" w:type="dxa"/>
            <w:vAlign w:val="bottom"/>
          </w:tcPr>
          <w:p>
            <w:pPr>
              <w:spacing w:after="0"/>
              <w:rPr>
                <w:sz w:val="16"/>
                <w:szCs w:val="16"/>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5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70,180</w:t>
            </w:r>
          </w:p>
        </w:tc>
      </w:tr>
      <w:tr>
        <w:trPr>
          <w:trHeight w:val="196"/>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5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179,196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w:t>
            </w:r>
          </w:p>
        </w:tc>
      </w:tr>
      <w:tr>
        <w:trPr>
          <w:trHeight w:val="203"/>
        </w:trPr>
        <w:tc>
          <w:tcPr>
            <w:tcW w:w="2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74,371</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767,526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779,347</w:t>
            </w:r>
          </w:p>
        </w:tc>
      </w:tr>
      <w:tr>
        <w:trPr>
          <w:trHeight w:val="21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$339,337 at March 31, 2023 and $335,418 at December 31, 2022 )</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374,818</w:t>
            </w:r>
          </w:p>
        </w:tc>
      </w:tr>
      <w:tr>
        <w:trPr>
          <w:trHeight w:val="195"/>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17,653</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26,518</w:t>
            </w:r>
          </w:p>
        </w:tc>
      </w:tr>
      <w:tr>
        <w:trPr>
          <w:trHeight w:val="195"/>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lower of cost or fair value</w:t>
            </w:r>
          </w:p>
        </w:tc>
        <w:tc>
          <w:tcPr>
            <w:tcW w:w="2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1,471,293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1,466,853</w:t>
            </w: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1,368,409</w:t>
            </w:r>
          </w:p>
        </w:tc>
      </w:tr>
      <w:tr>
        <w:trPr>
          <w:trHeight w:val="196"/>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5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630,287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630,090</w:t>
            </w:r>
          </w:p>
        </w:tc>
      </w:tr>
      <w:tr>
        <w:trPr>
          <w:trHeight w:val="203"/>
        </w:trPr>
        <w:tc>
          <w:tcPr>
            <w:tcW w:w="2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3,509,809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3,465,352</w:t>
            </w:r>
          </w:p>
        </w:tc>
      </w:tr>
      <w:tr>
        <w:trPr>
          <w:trHeight w:val="196"/>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(52,435)</w:t>
            </w:r>
          </w:p>
        </w:tc>
      </w:tr>
      <w:tr>
        <w:trPr>
          <w:trHeight w:val="203"/>
        </w:trPr>
        <w:tc>
          <w:tcPr>
            <w:tcW w:w="2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Net Loans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3,459,259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3,412,917</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35,893</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55,204</w:t>
            </w:r>
          </w:p>
        </w:tc>
      </w:tr>
      <w:tr>
        <w:trPr>
          <w:trHeight w:val="210"/>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42,489</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6"/>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5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128,904</w:t>
            </w:r>
          </w:p>
        </w:tc>
      </w:tr>
      <w:tr>
        <w:trPr>
          <w:trHeight w:val="228"/>
        </w:trPr>
        <w:tc>
          <w:tcPr>
            <w:tcW w:w="2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5,138,934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4,999,787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5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1,192,396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1,269,759</w:t>
            </w: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1,973,308</w:t>
            </w: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602,575</w:t>
            </w: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321,492</w:t>
            </w:r>
          </w:p>
        </w:tc>
      </w:tr>
      <w:tr>
        <w:trPr>
          <w:trHeight w:val="21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211,935</w:t>
            </w:r>
          </w:p>
        </w:tc>
      </w:tr>
      <w:tr>
        <w:trPr>
          <w:trHeight w:val="189"/>
        </w:trPr>
        <w:tc>
          <w:tcPr>
            <w:tcW w:w="2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Total Deposits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4,544,749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4,379,069</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86,006</w:t>
            </w: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5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39,433</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39,660</w:t>
            </w:r>
          </w:p>
        </w:tc>
      </w:tr>
      <w:tr>
        <w:trPr>
          <w:trHeight w:val="196"/>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520" w:type="dxa"/>
            <w:vAlign w:val="bottom"/>
            <w:tcBorders>
              <w:bottom w:val="single" w:sz="8" w:color="CCEEFF"/>
            </w:tcBorders>
          </w:tcPr>
          <w:p>
            <w:pPr>
              <w:spacing w:after="0"/>
              <w:rPr>
                <w:sz w:val="17"/>
                <w:szCs w:val="17"/>
                <w:color w:val="auto"/>
              </w:rPr>
            </w:pPr>
          </w:p>
        </w:tc>
        <w:tc>
          <w:tcPr>
            <w:tcW w:w="43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108,023</w:t>
            </w:r>
          </w:p>
        </w:tc>
      </w:tr>
      <w:tr>
        <w:trPr>
          <w:trHeight w:val="203"/>
        </w:trPr>
        <w:tc>
          <w:tcPr>
            <w:tcW w:w="2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4,771,220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4,652,191</w:t>
            </w: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6"/>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2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66"/>
        </w:trPr>
        <w:tc>
          <w:tcPr>
            <w:tcW w:w="8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no par value, 500,000,000 shares authorized; issued and outstanding: 21,138,303 shares at March 31, 2023 and</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19"/>
        </w:trPr>
        <w:tc>
          <w:tcPr>
            <w:tcW w:w="2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21,063,971 shares at December 31, 2022</w:t>
            </w:r>
          </w:p>
        </w:tc>
        <w:tc>
          <w:tcPr>
            <w:tcW w:w="5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320,991</w:t>
            </w:r>
          </w:p>
        </w:tc>
      </w:tr>
      <w:tr>
        <w:trPr>
          <w:trHeight w:val="20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5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119,368</w:t>
            </w:r>
          </w:p>
        </w:tc>
      </w:tr>
      <w:tr>
        <w:trPr>
          <w:trHeight w:val="24"/>
        </w:trPr>
        <w:tc>
          <w:tcPr>
            <w:tcW w:w="2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2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CCEEFF"/>
            </w:tcBorders>
            <w:shd w:val="clear" w:color="auto" w:fill="CCEEFF"/>
          </w:tcPr>
          <w:p>
            <w:pPr>
              <w:spacing w:after="0"/>
              <w:rPr>
                <w:sz w:val="19"/>
                <w:szCs w:val="19"/>
                <w:color w:val="auto"/>
              </w:rPr>
            </w:pPr>
          </w:p>
        </w:tc>
        <w:tc>
          <w:tcPr>
            <w:tcW w:w="4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(92,763)</w:t>
            </w:r>
          </w:p>
        </w:tc>
      </w:tr>
      <w:tr>
        <w:trPr>
          <w:trHeight w:val="189"/>
        </w:trPr>
        <w:tc>
          <w:tcPr>
            <w:tcW w:w="29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367,714</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347,596</w:t>
            </w:r>
          </w:p>
        </w:tc>
      </w:tr>
      <w:tr>
        <w:trPr>
          <w:trHeight w:val="228"/>
        </w:trPr>
        <w:tc>
          <w:tcPr>
            <w:tcW w:w="2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5,138,934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4,999,787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ectPr>
          <w:pgSz w:w="11900" w:h="16838" w:orient="portrait"/>
          <w:cols w:equalWidth="0" w:num="1">
            <w:col w:w="11240"/>
          </w:cols>
          <w:pgMar w:left="320" w:top="119"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20" w:type="dxa"/>
            <w:vAlign w:val="bottom"/>
          </w:tcPr>
          <w:p>
            <w:pPr>
              <w:spacing w:after="0"/>
              <w:rPr>
                <w:sz w:val="16"/>
                <w:szCs w:val="16"/>
                <w:color w:val="auto"/>
              </w:rPr>
            </w:pPr>
          </w:p>
        </w:tc>
        <w:tc>
          <w:tcPr>
            <w:tcW w:w="2340" w:type="dxa"/>
            <w:vAlign w:val="bottom"/>
            <w:gridSpan w:val="4"/>
          </w:tcPr>
          <w:p>
            <w:pPr>
              <w:jc w:val="center"/>
              <w:ind w:left="408"/>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08"/>
              <w:spacing w:after="0"/>
              <w:rPr>
                <w:sz w:val="20"/>
                <w:szCs w:val="20"/>
                <w:color w:val="auto"/>
              </w:rPr>
            </w:pPr>
            <w:r>
              <w:rPr>
                <w:rFonts w:ascii="Times New Roman" w:cs="Times New Roman" w:eastAsia="Times New Roman" w:hAnsi="Times New Roman"/>
                <w:sz w:val="14"/>
                <w:szCs w:val="14"/>
                <w:color w:val="auto"/>
              </w:rPr>
              <w:t>(Unaudited)</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420" w:type="dxa"/>
            <w:vAlign w:val="bottom"/>
          </w:tcPr>
          <w:p>
            <w:pPr>
              <w:spacing w:after="0"/>
              <w:rPr>
                <w:sz w:val="16"/>
                <w:szCs w:val="16"/>
                <w:color w:val="auto"/>
              </w:rPr>
            </w:pPr>
          </w:p>
        </w:tc>
        <w:tc>
          <w:tcPr>
            <w:tcW w:w="28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0" w:type="dxa"/>
            <w:vAlign w:val="bottom"/>
          </w:tcPr>
          <w:p>
            <w:pPr>
              <w:spacing w:after="0"/>
              <w:rPr>
                <w:sz w:val="1"/>
                <w:szCs w:val="1"/>
                <w:color w:val="auto"/>
              </w:rPr>
            </w:pPr>
          </w:p>
        </w:tc>
      </w:tr>
      <w:tr>
        <w:trPr>
          <w:trHeight w:val="19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44,294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28,418</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on securities</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0" w:type="dxa"/>
            <w:vAlign w:val="bottom"/>
          </w:tcPr>
          <w:p>
            <w:pPr>
              <w:spacing w:after="0"/>
              <w:rPr>
                <w:sz w:val="1"/>
                <w:szCs w:val="1"/>
                <w:color w:val="auto"/>
              </w:rPr>
            </w:pPr>
          </w:p>
        </w:tc>
      </w:tr>
      <w:tr>
        <w:trPr>
          <w:trHeight w:val="195"/>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Tax-exempt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investments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Interest Income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53,936</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34,741</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Interest Expense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Interest Income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33,001</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36,281</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34,574</w:t>
            </w:r>
          </w:p>
        </w:tc>
        <w:tc>
          <w:tcPr>
            <w:tcW w:w="0" w:type="dxa"/>
            <w:vAlign w:val="bottom"/>
          </w:tcPr>
          <w:p>
            <w:pPr>
              <w:spacing w:after="0"/>
              <w:rPr>
                <w:sz w:val="1"/>
                <w:szCs w:val="1"/>
                <w:color w:val="auto"/>
              </w:rPr>
            </w:pPr>
          </w:p>
        </w:tc>
      </w:tr>
      <w:tr>
        <w:trPr>
          <w:trHeight w:val="175"/>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Interchange income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Mortgage loans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Non-interest Income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10,551</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18,948</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20,130</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Data processing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Occupancy, net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Interchange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FDIC deposit insurance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Communications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Legal and professional</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95"/>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Loan and collection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Advertising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206"/>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Recoveries related to unfunded lending commitments</w:t>
            </w: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30,957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31,450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Income Before Income Tax</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22,072</w:t>
            </w:r>
          </w:p>
        </w:tc>
        <w:tc>
          <w:tcPr>
            <w:tcW w:w="0" w:type="dxa"/>
            <w:vAlign w:val="bottom"/>
          </w:tcPr>
          <w:p>
            <w:pPr>
              <w:spacing w:after="0"/>
              <w:rPr>
                <w:sz w:val="1"/>
                <w:szCs w:val="1"/>
                <w:color w:val="auto"/>
              </w:rPr>
            </w:pPr>
          </w:p>
        </w:tc>
      </w:tr>
      <w:tr>
        <w:trPr>
          <w:trHeight w:val="196"/>
        </w:trPr>
        <w:tc>
          <w:tcPr>
            <w:tcW w:w="8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4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Basic</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Diluted</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w:t>
      </w:r>
    </w:p>
    <w:p>
      <w:pPr>
        <w:spacing w:after="0" w:line="23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March 31,</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8"/>
        </w:trPr>
        <w:tc>
          <w:tcPr>
            <w:tcW w:w="8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(Unaudited - In thousands)</w:t>
            </w:r>
          </w:p>
        </w:tc>
      </w:tr>
      <w:tr>
        <w:trPr>
          <w:trHeight w:val="252"/>
        </w:trPr>
        <w:tc>
          <w:tcPr>
            <w:tcW w:w="8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17,967</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(losses) arising during period</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(69,442)</w:t>
            </w:r>
          </w:p>
        </w:tc>
      </w:tr>
      <w:tr>
        <w:trPr>
          <w:trHeight w:val="27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net unrealized losses on securities transferred to held to maturity</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earnings</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(losses) recognized in other comprehensive income (loss) on securities available for sale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(69,512)</w:t>
            </w:r>
          </w:p>
        </w:tc>
      </w:tr>
      <w:tr>
        <w:trPr>
          <w:trHeight w:val="230"/>
        </w:trPr>
        <w:tc>
          <w:tcPr>
            <w:tcW w:w="8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w:t>
            </w:r>
          </w:p>
        </w:tc>
      </w:tr>
      <w:tr>
        <w:trPr>
          <w:trHeight w:val="205"/>
        </w:trPr>
        <w:tc>
          <w:tcPr>
            <w:tcW w:w="820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Unrealized gains (losses) recognized in other comprehensive income (loss) on securities available for sale,</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1"/>
        </w:trPr>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(54,915)</w:t>
            </w:r>
          </w:p>
        </w:tc>
      </w:tr>
      <w:tr>
        <w:trPr>
          <w:trHeight w:val="209"/>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expense recognized in earnings</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recognized in other comprehensive income (loss) on derivative instruments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2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losses recognized in other comprehensive income (loss) on derivative instruments, net of tax</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(54,915)</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8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spacing w:after="0"/>
              <w:rPr>
                <w:sz w:val="16"/>
                <w:szCs w:val="16"/>
                <w:color w:val="auto"/>
              </w:rPr>
            </w:pPr>
          </w:p>
        </w:tc>
        <w:tc>
          <w:tcPr>
            <w:tcW w:w="24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(Unaudited - In thousands)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190,618</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(164,232)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deferred loan fees (costs)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depreciation, amortization of intangible assets and premiums and accretion of discounts on securities and loans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losses on securities available for 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Decrease in accrued income and other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Total Adjustments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20,604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23,559</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38,571</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From (Used in) Investing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(124,560)</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(96,682)</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41,237</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Net Cash From (Used in) Investing Activities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(120,030)</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165,680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88,408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other borrowings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Net Cash From Financing Activities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124,309</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81,807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109,473</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227,019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95"/>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securities available for sale not yet settled</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Shareholders’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 Income</w:t>
            </w:r>
          </w:p>
        </w:tc>
        <w:tc>
          <w:tcPr>
            <w:tcW w:w="220" w:type="dxa"/>
            <w:vAlign w:val="bottom"/>
          </w:tcPr>
          <w:p>
            <w:pPr>
              <w:spacing w:after="0"/>
              <w:rPr>
                <w:sz w:val="14"/>
                <w:szCs w:val="14"/>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w:t>
            </w:r>
          </w:p>
        </w:tc>
        <w:tc>
          <w:tcPr>
            <w:tcW w:w="220" w:type="dxa"/>
            <w:vAlign w:val="bottom"/>
          </w:tcPr>
          <w:p>
            <w:pPr>
              <w:spacing w:after="0"/>
              <w:rPr>
                <w:sz w:val="17"/>
                <w:szCs w:val="17"/>
                <w:color w:val="auto"/>
              </w:rPr>
            </w:pPr>
          </w:p>
        </w:tc>
        <w:tc>
          <w:tcPr>
            <w:tcW w:w="12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2023</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12,991</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$0.23 per share</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15,500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86,394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35"/>
        </w:trPr>
        <w:tc>
          <w:tcPr>
            <w:tcW w:w="4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27,562 shares of</w:t>
            </w:r>
          </w:p>
        </w:tc>
        <w:tc>
          <w:tcPr>
            <w:tcW w:w="2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95"/>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321,026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127,499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(80,811)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367,714</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January 1, 2022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323,401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74,582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398,484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March 31, 2022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17,967</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$0.22 per share</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59,002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15,100 shares of common stock</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65,461 shares of common stock)</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35"/>
        </w:trPr>
        <w:tc>
          <w:tcPr>
            <w:tcW w:w="4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24,365 shares of</w:t>
            </w:r>
          </w:p>
        </w:tc>
        <w:tc>
          <w:tcPr>
            <w:tcW w:w="2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95"/>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(54,915)</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2022</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321,981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87,882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(54,414)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355,449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interim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Financial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2022 included in our Annual Report on Form 10-K.</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opinion, the accompanying unaudited condensed consolidated financial statements contain all the adjustments necessary to present fairly our consolidated financial condition as of March 31, 2023 and December 31, 2022, and the results of operations for the three-month periods ended March 31, 2023 and 2022. The results of operations for the three-month periods ended March 31, 2023,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2022 Annual Report on Form 10-K for a disclosure of our accounting policies.</w:t>
      </w:r>
    </w:p>
    <w:p>
      <w:pPr>
        <w:spacing w:after="0" w:line="160"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Accounting Standards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formed a cross-functional project team to lead this transition from LIBOR to a planned adoption of reference rates which could include Secured Overnight Financing Rate (“SOFR”), among others. We utilized the timeline guidance published by the Alternative Reference Rates Committee to develop and achieve internal milestones during this transitional period. We had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 We expect to adopt the LIBOR transition relief allowed under this standard.</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The adoption of this ASU on January 1, 2023, did not have a material impact on our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Securities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Unrealized</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8"/>
        </w:trPr>
        <w:tc>
          <w:tcPr>
            <w:tcW w:w="5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0" w:type="dxa"/>
            <w:vAlign w:val="bottom"/>
          </w:tcPr>
          <w:p>
            <w:pPr>
              <w:spacing w:after="0"/>
              <w:rPr>
                <w:sz w:val="1"/>
                <w:szCs w:val="1"/>
                <w:color w:val="auto"/>
              </w:rPr>
            </w:pPr>
          </w:p>
        </w:tc>
      </w:tr>
      <w:tr>
        <w:trPr>
          <w:trHeight w:val="22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w:t>
            </w: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0" w:type="dxa"/>
            <w:vAlign w:val="bottom"/>
          </w:tcPr>
          <w:p>
            <w:pPr>
              <w:spacing w:after="0"/>
              <w:rPr>
                <w:sz w:val="1"/>
                <w:szCs w:val="1"/>
                <w:color w:val="auto"/>
              </w:rPr>
            </w:pPr>
          </w:p>
        </w:tc>
      </w:tr>
      <w:tr>
        <w:trPr>
          <w:trHeight w:val="229"/>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92,714</w:t>
            </w: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176,044</w:t>
            </w:r>
          </w:p>
        </w:tc>
        <w:tc>
          <w:tcPr>
            <w:tcW w:w="0" w:type="dxa"/>
            <w:vAlign w:val="bottom"/>
          </w:tcPr>
          <w:p>
            <w:pPr>
              <w:spacing w:after="0"/>
              <w:rPr>
                <w:sz w:val="1"/>
                <w:szCs w:val="1"/>
                <w:color w:val="auto"/>
              </w:rPr>
            </w:pPr>
          </w:p>
        </w:tc>
      </w:tr>
      <w:tr>
        <w:trPr>
          <w:trHeight w:val="23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304,586</w:t>
            </w: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78,681</w:t>
            </w:r>
          </w:p>
        </w:tc>
        <w:tc>
          <w:tcPr>
            <w:tcW w:w="0" w:type="dxa"/>
            <w:vAlign w:val="bottom"/>
          </w:tcPr>
          <w:p>
            <w:pPr>
              <w:spacing w:after="0"/>
              <w:rPr>
                <w:sz w:val="1"/>
                <w:szCs w:val="1"/>
                <w:color w:val="auto"/>
              </w:rPr>
            </w:pPr>
          </w:p>
        </w:tc>
      </w:tr>
      <w:tr>
        <w:trPr>
          <w:trHeight w:val="23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48"/>
        </w:trPr>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47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767,526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0" w:type="dxa"/>
            <w:vAlign w:val="bottom"/>
          </w:tcPr>
          <w:p>
            <w:pPr>
              <w:spacing w:after="0"/>
              <w:rPr>
                <w:sz w:val="1"/>
                <w:szCs w:val="1"/>
                <w:color w:val="auto"/>
              </w:rPr>
            </w:pPr>
          </w:p>
        </w:tc>
      </w:tr>
      <w:tr>
        <w:trPr>
          <w:trHeight w:val="270"/>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90,458</w:t>
            </w:r>
          </w:p>
        </w:tc>
        <w:tc>
          <w:tcPr>
            <w:tcW w:w="0" w:type="dxa"/>
            <w:vAlign w:val="bottom"/>
          </w:tcPr>
          <w:p>
            <w:pPr>
              <w:spacing w:after="0"/>
              <w:rPr>
                <w:sz w:val="1"/>
                <w:szCs w:val="1"/>
                <w:color w:val="auto"/>
              </w:rPr>
            </w:pPr>
          </w:p>
        </w:tc>
      </w:tr>
      <w:tr>
        <w:trPr>
          <w:trHeight w:val="27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0" w:type="dxa"/>
            <w:vAlign w:val="bottom"/>
          </w:tcPr>
          <w:p>
            <w:pPr>
              <w:spacing w:after="0"/>
              <w:rPr>
                <w:sz w:val="1"/>
                <w:szCs w:val="1"/>
                <w:color w:val="auto"/>
              </w:rPr>
            </w:pPr>
          </w:p>
        </w:tc>
      </w:tr>
      <w:tr>
        <w:trPr>
          <w:trHeight w:val="270"/>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93,845</w:t>
            </w:r>
          </w:p>
        </w:tc>
        <w:tc>
          <w:tcPr>
            <w:tcW w:w="0" w:type="dxa"/>
            <w:vAlign w:val="bottom"/>
          </w:tcPr>
          <w:p>
            <w:pPr>
              <w:spacing w:after="0"/>
              <w:rPr>
                <w:sz w:val="1"/>
                <w:szCs w:val="1"/>
                <w:color w:val="auto"/>
              </w:rPr>
            </w:pPr>
          </w:p>
        </w:tc>
      </w:tr>
      <w:tr>
        <w:trPr>
          <w:trHeight w:val="27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194,725</w:t>
            </w:r>
          </w:p>
        </w:tc>
        <w:tc>
          <w:tcPr>
            <w:tcW w:w="0" w:type="dxa"/>
            <w:vAlign w:val="bottom"/>
          </w:tcPr>
          <w:p>
            <w:pPr>
              <w:spacing w:after="0"/>
              <w:rPr>
                <w:sz w:val="1"/>
                <w:szCs w:val="1"/>
                <w:color w:val="auto"/>
              </w:rPr>
            </w:pPr>
          </w:p>
        </w:tc>
      </w:tr>
      <w:tr>
        <w:trPr>
          <w:trHeight w:val="270"/>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295,677</w:t>
            </w:r>
          </w:p>
        </w:tc>
        <w:tc>
          <w:tcPr>
            <w:tcW w:w="0" w:type="dxa"/>
            <w:vAlign w:val="bottom"/>
          </w:tcPr>
          <w:p>
            <w:pPr>
              <w:spacing w:after="0"/>
              <w:rPr>
                <w:sz w:val="1"/>
                <w:szCs w:val="1"/>
                <w:color w:val="auto"/>
              </w:rPr>
            </w:pPr>
          </w:p>
        </w:tc>
      </w:tr>
      <w:tr>
        <w:trPr>
          <w:trHeight w:val="270"/>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78,157</w:t>
            </w:r>
          </w:p>
        </w:tc>
        <w:tc>
          <w:tcPr>
            <w:tcW w:w="0" w:type="dxa"/>
            <w:vAlign w:val="bottom"/>
          </w:tcPr>
          <w:p>
            <w:pPr>
              <w:spacing w:after="0"/>
              <w:rPr>
                <w:sz w:val="1"/>
                <w:szCs w:val="1"/>
                <w:color w:val="auto"/>
              </w:rPr>
            </w:pPr>
          </w:p>
        </w:tc>
      </w:tr>
      <w:tr>
        <w:trPr>
          <w:trHeight w:val="270"/>
        </w:trPr>
        <w:tc>
          <w:tcPr>
            <w:tcW w:w="5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866,363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to maturity (“HTM”)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Transferred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8"/>
              </w:rPr>
              <w:t>Amortized</w:t>
            </w: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 (1)</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w:t>
            </w: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25,032</w:t>
            </w:r>
          </w:p>
        </w:tc>
        <w:tc>
          <w:tcPr>
            <w:tcW w:w="0" w:type="dxa"/>
            <w:vAlign w:val="bottom"/>
          </w:tcPr>
          <w:p>
            <w:pPr>
              <w:spacing w:after="0"/>
              <w:rPr>
                <w:sz w:val="1"/>
                <w:szCs w:val="1"/>
                <w:color w:val="auto"/>
              </w:rPr>
            </w:pPr>
          </w:p>
        </w:tc>
      </w:tr>
      <w:tr>
        <w:trPr>
          <w:trHeight w:val="176"/>
        </w:trPr>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103,797</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156,850</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23"/>
        </w:trPr>
        <w:tc>
          <w:tcPr>
            <w:tcW w:w="2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391,953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339,337</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agency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residential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103,256</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agency commercial</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mortgage-backed</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political subdivisions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151,148</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44,515</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preferred</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investments' gross unrealized losses and fair values for securities AFS aggregated by investment type and length of time that individual securities have been at a continuous unrealized loss position follows:</w:t>
      </w:r>
    </w:p>
    <w:p>
      <w:pPr>
        <w:spacing w:after="0" w:line="175"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9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Less Than Twelve Months</w:t>
            </w:r>
          </w:p>
        </w:tc>
        <w:tc>
          <w:tcPr>
            <w:tcW w:w="2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Twelve Months or More</w:t>
            </w:r>
          </w:p>
        </w:tc>
        <w:tc>
          <w:tcPr>
            <w:tcW w:w="114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14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ind w:left="23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r>
      <w:tr>
        <w:trPr>
          <w:trHeight w:val="243"/>
        </w:trPr>
        <w:tc>
          <w:tcPr>
            <w:tcW w:w="1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Losses</w:t>
            </w:r>
          </w:p>
        </w:tc>
        <w:tc>
          <w:tcPr>
            <w:tcW w:w="1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Losses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6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0</wp:posOffset>
            </wp:positionV>
            <wp:extent cx="54432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ind w:left="6440"/>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19"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2023</w:t>
      </w:r>
    </w:p>
    <w:p>
      <w:pPr>
        <w:spacing w:after="0" w:line="31"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8"/>
          <w:szCs w:val="18"/>
          <w:color w:val="auto"/>
        </w:rPr>
        <w:t>U.S. agency</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60" w:right="140" w:hanging="161"/>
        <w:spacing w:after="0" w:line="281" w:lineRule="auto"/>
        <w:rPr>
          <w:sz w:val="20"/>
          <w:szCs w:val="20"/>
          <w:color w:val="auto"/>
        </w:rPr>
      </w:pPr>
      <w:r>
        <w:rPr>
          <w:rFonts w:ascii="Times New Roman" w:cs="Times New Roman" w:eastAsia="Times New Roman" w:hAnsi="Times New Roman"/>
          <w:sz w:val="18"/>
          <w:szCs w:val="18"/>
          <w:color w:val="auto"/>
        </w:rPr>
        <w:t>U.S. agency residential mortgage-backed</w:t>
      </w:r>
    </w:p>
    <w:p>
      <w:pPr>
        <w:spacing w:after="0" w:line="1" w:lineRule="exact"/>
        <w:rPr>
          <w:sz w:val="20"/>
          <w:szCs w:val="20"/>
          <w:color w:val="auto"/>
        </w:rPr>
      </w:pPr>
    </w:p>
    <w:p>
      <w:pPr>
        <w:ind w:left="360" w:right="820" w:hanging="161"/>
        <w:spacing w:after="0" w:line="298"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400"/>
        <w:spacing w:after="0" w:line="313" w:lineRule="auto"/>
        <w:rPr>
          <w:sz w:val="20"/>
          <w:szCs w:val="20"/>
          <w:color w:val="auto"/>
        </w:rPr>
      </w:pPr>
      <w:r>
        <w:rPr>
          <w:rFonts w:ascii="Times New Roman" w:cs="Times New Roman" w:eastAsia="Times New Roman" w:hAnsi="Times New Roman"/>
          <w:sz w:val="18"/>
          <w:szCs w:val="18"/>
          <w:color w:val="auto"/>
        </w:rPr>
        <w:t>Private label mortgage-backed Other asset backed</w:t>
      </w:r>
    </w:p>
    <w:p>
      <w:pPr>
        <w:ind w:left="360" w:right="180" w:hanging="161"/>
        <w:spacing w:after="0" w:line="281"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Trust preferred</w:t>
      </w:r>
    </w:p>
    <w:p>
      <w:pPr>
        <w:spacing w:after="0" w:line="63" w:lineRule="exact"/>
        <w:rPr>
          <w:sz w:val="20"/>
          <w:szCs w:val="20"/>
          <w:color w:val="auto"/>
        </w:rPr>
      </w:pPr>
    </w:p>
    <w:p>
      <w:pPr>
        <w:jc w:val="both"/>
        <w:ind w:left="360"/>
        <w:spacing w:after="0"/>
        <w:tabs>
          <w:tab w:leader="none" w:pos="26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36" w:lineRule="exact"/>
        <w:rPr>
          <w:sz w:val="20"/>
          <w:szCs w:val="20"/>
          <w:color w:val="auto"/>
        </w:rPr>
      </w:pPr>
    </w:p>
    <w:p>
      <w:pPr>
        <w:ind w:left="180"/>
        <w:spacing w:after="0"/>
        <w:tabs>
          <w:tab w:leader="none" w:pos="2660" w:val="left"/>
        </w:tabs>
        <w:rPr>
          <w:sz w:val="20"/>
          <w:szCs w:val="20"/>
          <w:color w:val="auto"/>
        </w:rPr>
      </w:pPr>
      <w:r>
        <w:rPr>
          <w:rFonts w:ascii="Times New Roman" w:cs="Times New Roman" w:eastAsia="Times New Roman" w:hAnsi="Times New Roman"/>
          <w:sz w:val="18"/>
          <w:szCs w:val="18"/>
          <w:color w:val="auto"/>
        </w:rPr>
        <w:t>U.S. agency</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60" w:right="140" w:hanging="161"/>
        <w:spacing w:after="0" w:line="281" w:lineRule="auto"/>
        <w:rPr>
          <w:sz w:val="20"/>
          <w:szCs w:val="20"/>
          <w:color w:val="auto"/>
        </w:rPr>
      </w:pPr>
      <w:r>
        <w:rPr>
          <w:rFonts w:ascii="Times New Roman" w:cs="Times New Roman" w:eastAsia="Times New Roman" w:hAnsi="Times New Roman"/>
          <w:sz w:val="18"/>
          <w:szCs w:val="18"/>
          <w:color w:val="auto"/>
        </w:rPr>
        <w:t>U.S. agency residential mortgage-backed</w:t>
      </w:r>
    </w:p>
    <w:p>
      <w:pPr>
        <w:spacing w:after="0" w:line="1" w:lineRule="exact"/>
        <w:rPr>
          <w:sz w:val="20"/>
          <w:szCs w:val="20"/>
          <w:color w:val="auto"/>
        </w:rPr>
      </w:pPr>
    </w:p>
    <w:p>
      <w:pPr>
        <w:ind w:left="360" w:right="820" w:hanging="161"/>
        <w:spacing w:after="0" w:line="298" w:lineRule="auto"/>
        <w:rPr>
          <w:sz w:val="20"/>
          <w:szCs w:val="20"/>
          <w:color w:val="auto"/>
        </w:rPr>
      </w:pPr>
      <w:r>
        <w:rPr>
          <w:rFonts w:ascii="Times New Roman" w:cs="Times New Roman" w:eastAsia="Times New Roman" w:hAnsi="Times New Roman"/>
          <w:sz w:val="17"/>
          <w:szCs w:val="17"/>
          <w:color w:val="auto"/>
        </w:rPr>
        <w:t>U.S. agency commercial mortgage-backed</w:t>
      </w:r>
    </w:p>
    <w:p>
      <w:pPr>
        <w:spacing w:after="0" w:line="1" w:lineRule="exact"/>
        <w:rPr>
          <w:sz w:val="20"/>
          <w:szCs w:val="20"/>
          <w:color w:val="auto"/>
        </w:rPr>
      </w:pPr>
    </w:p>
    <w:p>
      <w:pPr>
        <w:ind w:left="180" w:right="400"/>
        <w:spacing w:after="0" w:line="313" w:lineRule="auto"/>
        <w:rPr>
          <w:sz w:val="20"/>
          <w:szCs w:val="20"/>
          <w:color w:val="auto"/>
        </w:rPr>
      </w:pPr>
      <w:r>
        <w:rPr>
          <w:rFonts w:ascii="Times New Roman" w:cs="Times New Roman" w:eastAsia="Times New Roman" w:hAnsi="Times New Roman"/>
          <w:sz w:val="18"/>
          <w:szCs w:val="18"/>
          <w:color w:val="auto"/>
        </w:rPr>
        <w:t>Private label mortgage-backed Other asset backed</w:t>
      </w:r>
    </w:p>
    <w:p>
      <w:pPr>
        <w:ind w:left="360" w:right="180" w:hanging="161"/>
        <w:spacing w:after="0" w:line="281" w:lineRule="auto"/>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Trust preferred</w:t>
      </w:r>
    </w:p>
    <w:p>
      <w:pPr>
        <w:spacing w:after="0" w:line="63" w:lineRule="exact"/>
        <w:rPr>
          <w:sz w:val="20"/>
          <w:szCs w:val="20"/>
          <w:color w:val="auto"/>
        </w:rPr>
      </w:pPr>
    </w:p>
    <w:p>
      <w:pPr>
        <w:jc w:val="both"/>
        <w:ind w:left="360"/>
        <w:spacing w:after="0"/>
        <w:tabs>
          <w:tab w:leader="none" w:pos="266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9,117</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1,995</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92,194</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13,590</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296,557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11,240</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36,299</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721,572</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72,071</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757,871</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72,731</w:t>
            </w:r>
          </w:p>
        </w:tc>
      </w:tr>
      <w:tr>
        <w:trPr>
          <w:trHeight w:val="21"/>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3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8,244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33,784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1,609</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39,954</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110,859</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486"/>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56,455</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50,565</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24,876</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70"/>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275,781</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490,301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67,361</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766,082</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87,345</w:t>
            </w:r>
          </w:p>
        </w:tc>
      </w:tr>
      <w:tr>
        <w:trPr>
          <w:trHeight w:val="20"/>
        </w:trPr>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-4242435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-3762375</wp:posOffset>
            </wp:positionV>
            <wp:extent cx="71323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-3282315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-2802255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-2116455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-1799590</wp:posOffset>
            </wp:positionV>
            <wp:extent cx="71323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-1182370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-839470</wp:posOffset>
            </wp:positionV>
            <wp:extent cx="71323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-359410</wp:posOffset>
            </wp:positionV>
            <wp:extent cx="713232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-2459355</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580"/>
            <w:col w:w="7880"/>
          </w:cols>
          <w:pgMar w:left="320" w:top="119" w:right="339" w:bottom="1440" w:gutter="0" w:footer="0" w:header="0"/>
          <w:type w:val="continuous"/>
        </w:sectPr>
      </w:pP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2023 and December 31, 2022. Accrued interest receivable on securities AFS totaled $4.2 million and $4.7 million at March 31, 2023 and December 31, 2022,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is excluded from the estimate of credit losses and is included in accrued income and other assets in the Condensed Consolidated Statements of Financial Condition.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agency, U.S. agency residential mortgage-backed and U.S. agency commercial mortgage-backed securities — at March 31, 2023, we had 30 U.S. agency, 188 U.S. agency residential mortgage-backed and 12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Private label mortgage backed, other asset backed, corporate and foreign securities — at March 31, 2023, we had 90 private label mortgage backed, 133 other asset backed, and 83 corporate securities whose fair value is less than amortized cost. The unrealized losses are primarily due to credit spread widening and/or an increase in interest rates since acquisition.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Obligations of states and political subdivisions — at March 31, 2023, we had 335 municipal securities whose fair value is less than amortized cost. The unrealized losses are primarily due to an increase in interest rates since acquisition.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Trust preferred securities — at March 31, 2023,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management does not intend to liquidate any of the securities discussed above and it is more likely than not that we will not be required to sell these securities prior to recovery of these unrealized losses.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no credit related charges in our Condensed Consolidated Statements of Operations related to securities AFS during the three month periods ended March 31, 2023 and 2022, respectively.</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totaled $2.0 million and $1.8 million at March 31, 2023 and December 31, 2022,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Despite this lone security loss, the long-term historical loss rates associated with securities having similar grades as those in our portfolio have been insignificant. Furthermore, as of March 31, 2023 and December 31, 2022, there were no past due principal and interest payments associated with these securities. At those same dates an allowance for credit losses of $160,000 and $168,000, respectively was recorded on non U.S. agency securities HTM based on applying the long-term historical credit loss rate, as published by Moody’s, for similarly rated securities.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 quarterly basis, we monitor the credit quality of securities HTM through the use of credit ratings. The carrying value of securities HTM aggregated by credit quality follow: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Private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Label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Mortgage-</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2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61"/>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Backed</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23"/>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r>
      <w:tr>
        <w:trPr>
          <w:trHeight w:val="230"/>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104,851</w:t>
            </w:r>
          </w:p>
        </w:tc>
      </w:tr>
      <w:tr>
        <w:trPr>
          <w:trHeight w:val="229"/>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w:t>
            </w:r>
          </w:p>
        </w:tc>
      </w:tr>
      <w:tr>
        <w:trPr>
          <w:trHeight w:val="229"/>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36,848</w:t>
            </w:r>
          </w:p>
        </w:tc>
      </w:tr>
      <w:tr>
        <w:trPr>
          <w:trHeight w:val="230"/>
        </w:trPr>
        <w:tc>
          <w:tcPr>
            <w:tcW w:w="3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Non-rated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2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221,611</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AAA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40,118</w:t>
            </w: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AA</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110,033</w:t>
            </w: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39,788</w:t>
            </w: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Non-rated</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w:t>
            </w:r>
          </w:p>
        </w:tc>
      </w:tr>
      <w:tr>
        <w:trPr>
          <w:trHeight w:val="248"/>
        </w:trPr>
        <w:tc>
          <w:tcPr>
            <w:tcW w:w="3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allowance for credit losses by security HTM type follows (1):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Private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Obligations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Label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of States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1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Mortgage-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Trust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1"/>
        </w:trPr>
        <w:tc>
          <w:tcPr>
            <w:tcW w:w="3500" w:type="dxa"/>
            <w:vAlign w:val="bottom"/>
          </w:tcPr>
          <w:p>
            <w:pPr>
              <w:spacing w:after="0"/>
              <w:rPr>
                <w:sz w:val="22"/>
                <w:szCs w:val="22"/>
                <w:color w:val="auto"/>
              </w:rPr>
            </w:pPr>
          </w:p>
        </w:tc>
        <w:tc>
          <w:tcPr>
            <w:tcW w:w="11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Backed</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Corporate</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Preferred</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50"/>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(deductions)</w:t>
            </w: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23"/>
                <w:szCs w:val="2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11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HTM charged against the</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1"/>
        </w:trPr>
        <w:tc>
          <w:tcPr>
            <w:tcW w:w="3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allowance</w:t>
            </w:r>
          </w:p>
        </w:tc>
        <w:tc>
          <w:tcPr>
            <w:tcW w:w="1160" w:type="dxa"/>
            <w:vAlign w:val="bottom"/>
          </w:tcPr>
          <w:p>
            <w:pPr>
              <w:spacing w:after="0"/>
              <w:rPr>
                <w:sz w:val="22"/>
                <w:szCs w:val="2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8"/>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540" w:right="5120" w:hanging="5532"/>
        <w:spacing w:after="0" w:line="641" w:lineRule="auto"/>
        <w:tabs>
          <w:tab w:leader="none" w:pos="26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had no securities HTM during the three month period ending March 31, 2022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AFS and securities HTM at March 31, 2023, by contractual maturity, follow: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AFS</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Securities HTM</w:t>
            </w:r>
          </w:p>
        </w:tc>
        <w:tc>
          <w:tcPr>
            <w:tcW w:w="960" w:type="dxa"/>
            <w:vAlign w:val="bottom"/>
            <w:tcBorders>
              <w:bottom w:val="single" w:sz="8" w:color="auto"/>
            </w:tcBorders>
          </w:tcPr>
          <w:p>
            <w:pPr>
              <w:spacing w:after="0"/>
              <w:rPr>
                <w:sz w:val="20"/>
                <w:szCs w:val="20"/>
                <w:color w:val="auto"/>
              </w:rPr>
            </w:pPr>
          </w:p>
        </w:tc>
      </w:tr>
      <w:tr>
        <w:trPr>
          <w:trHeight w:val="169"/>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520" w:type="dxa"/>
            <w:vAlign w:val="bottom"/>
          </w:tcPr>
          <w:p>
            <w:pPr>
              <w:spacing w:after="0"/>
              <w:rPr>
                <w:sz w:val="14"/>
                <w:szCs w:val="14"/>
                <w:color w:val="auto"/>
              </w:rPr>
            </w:pPr>
          </w:p>
        </w:tc>
        <w:tc>
          <w:tcPr>
            <w:tcW w:w="960" w:type="dxa"/>
            <w:vAlign w:val="bottom"/>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8"/>
              </w:rPr>
              <w:t>Amortized</w:t>
            </w:r>
          </w:p>
        </w:tc>
        <w:tc>
          <w:tcPr>
            <w:tcW w:w="520" w:type="dxa"/>
            <w:vAlign w:val="bottom"/>
          </w:tcPr>
          <w:p>
            <w:pPr>
              <w:spacing w:after="0"/>
              <w:rPr>
                <w:sz w:val="14"/>
                <w:szCs w:val="14"/>
                <w:color w:val="auto"/>
              </w:rPr>
            </w:pPr>
          </w:p>
        </w:tc>
        <w:tc>
          <w:tcPr>
            <w:tcW w:w="9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39"/>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Cost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7"/>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within one year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Maturing after one year but within five years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43,659</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Maturing after five years but within ten years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98,275</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Maturing after ten years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209,742</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76,438</w:t>
            </w: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445,828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224,235</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103,797</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180,591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839,927</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767,526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391,953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339,337</w:t>
            </w:r>
          </w:p>
        </w:tc>
      </w:tr>
      <w:tr>
        <w:trPr>
          <w:trHeight w:val="21"/>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maturity may differ from the contractual maturity because issuers may have the right to call or prepay obligations with or without call or prepayment penalties.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and losses realized on the sale of securities AFS are determined using the specific identification method and are recognized on a trade-date basis. A summary of proceeds from the sale of securities AFS and gains and losses for the three month periods ending March 31,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Realized</w:t>
            </w:r>
          </w:p>
        </w:tc>
        <w:tc>
          <w:tcPr>
            <w:tcW w:w="110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Proceeds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color w:val="auto"/>
                <w:w w:val="99"/>
              </w:rPr>
              <w:t>Gains</w:t>
            </w: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Losses</w:t>
            </w:r>
          </w:p>
        </w:tc>
      </w:tr>
      <w:tr>
        <w:trPr>
          <w:trHeight w:val="223"/>
        </w:trPr>
        <w:tc>
          <w:tcPr>
            <w:tcW w:w="2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Pr>
          <w:p>
            <w:pPr>
              <w:spacing w:after="0"/>
              <w:rPr>
                <w:sz w:val="19"/>
                <w:szCs w:val="19"/>
                <w:color w:val="auto"/>
              </w:rPr>
            </w:pPr>
          </w:p>
        </w:tc>
      </w:tr>
      <w:tr>
        <w:trPr>
          <w:trHeight w:val="229"/>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2023</w:t>
            </w:r>
          </w:p>
        </w:tc>
        <w:tc>
          <w:tcPr>
            <w:tcW w:w="3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2022</w:t>
            </w:r>
          </w:p>
        </w:tc>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4,395</w:t>
            </w:r>
          </w:p>
        </w:tc>
        <w:tc>
          <w:tcPr>
            <w:tcW w:w="160" w:type="dxa"/>
            <w:vAlign w:val="bottom"/>
          </w:tcPr>
          <w:p>
            <w:pPr>
              <w:spacing w:after="0"/>
              <w:rPr>
                <w:sz w:val="20"/>
                <w:szCs w:val="20"/>
                <w:color w:val="auto"/>
              </w:rPr>
            </w:pPr>
          </w:p>
        </w:tc>
        <w:tc>
          <w:tcPr>
            <w:tcW w:w="18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0"/>
        </w:trPr>
        <w:tc>
          <w:tcPr>
            <w:tcW w:w="2960" w:type="dxa"/>
            <w:vAlign w:val="bottom"/>
          </w:tcPr>
          <w:p>
            <w:pPr>
              <w:spacing w:after="0"/>
              <w:rPr>
                <w:sz w:val="24"/>
                <w:szCs w:val="24"/>
                <w:color w:val="auto"/>
              </w:rPr>
            </w:pPr>
          </w:p>
        </w:tc>
        <w:tc>
          <w:tcPr>
            <w:tcW w:w="3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the ACL by portfolio segment for the three months ended March 31,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Subjective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Allocation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47,252</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(deductions)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Recoveries credited to the allowance</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charged against the allowance</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on non-accrual status and past due more than 90 days (“Non-performing Loans”) follow: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Non-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Accrual</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Accrual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with no</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with an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Allowance</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90+ and</w:t>
            </w: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Total Non-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 Credit</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 Credit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Non-</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Still</w:t>
            </w: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Performing</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Accrual</w:t>
            </w:r>
          </w:p>
        </w:tc>
        <w:tc>
          <w:tcPr>
            <w:tcW w:w="26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Accruing</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 (1)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right="2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commercial and industrial loans exclude $0.027 million and $0.029 million of government guaranteed loans at March 31, 2023 and December 31, 2022, respectively.</w:t>
      </w:r>
    </w:p>
    <w:p>
      <w:pPr>
        <w:ind w:left="3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1-4 family owner occupied – non jumbo loans exclude $2.303 million and $1.631 million of government guaranteed loans at March 31, 2023 and December 31, 2022, respectively.</w:t>
      </w:r>
    </w:p>
    <w:p>
      <w:pPr>
        <w:sectPr>
          <w:pgSz w:w="11900" w:h="16838" w:orient="portrait"/>
          <w:cols w:equalWidth="0" w:num="1">
            <w:col w:w="11240"/>
          </w:cols>
          <w:pgMar w:left="320" w:top="119"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amortized cost of collateral-dependent loans by class follows:</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Collateral Type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Allowance</w:t>
            </w:r>
          </w:p>
        </w:tc>
        <w:tc>
          <w:tcPr>
            <w:tcW w:w="0" w:type="dxa"/>
            <w:vAlign w:val="bottom"/>
          </w:tcPr>
          <w:p>
            <w:pPr>
              <w:spacing w:after="0"/>
              <w:rPr>
                <w:sz w:val="1"/>
                <w:szCs w:val="1"/>
                <w:color w:val="auto"/>
              </w:rPr>
            </w:pPr>
          </w:p>
        </w:tc>
      </w:tr>
      <w:tr>
        <w:trPr>
          <w:trHeight w:val="45"/>
        </w:trPr>
        <w:tc>
          <w:tcPr>
            <w:tcW w:w="5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center"/>
              <w:ind w:right="420"/>
              <w:spacing w:after="0" w:line="169" w:lineRule="exact"/>
              <w:rPr>
                <w:sz w:val="20"/>
                <w:szCs w:val="20"/>
                <w:color w:val="auto"/>
              </w:rPr>
            </w:pPr>
            <w:r>
              <w:rPr>
                <w:rFonts w:ascii="Times New Roman" w:cs="Times New Roman" w:eastAsia="Times New Roman" w:hAnsi="Times New Roman"/>
                <w:sz w:val="18"/>
                <w:szCs w:val="18"/>
                <w:color w:val="auto"/>
                <w:w w:val="96"/>
              </w:rPr>
              <w:t>Real</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Estate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Credit Losses</w:t>
            </w:r>
          </w:p>
        </w:tc>
        <w:tc>
          <w:tcPr>
            <w:tcW w:w="0" w:type="dxa"/>
            <w:vAlign w:val="bottom"/>
          </w:tcPr>
          <w:p>
            <w:pPr>
              <w:spacing w:after="0"/>
              <w:rPr>
                <w:sz w:val="1"/>
                <w:szCs w:val="1"/>
                <w:color w:val="auto"/>
              </w:rPr>
            </w:pPr>
          </w:p>
        </w:tc>
      </w:tr>
      <w:tr>
        <w:trPr>
          <w:trHeight w:val="228"/>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2,316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1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 aging analysis of loans by class follows: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Loans not</w:t>
            </w:r>
          </w:p>
        </w:tc>
        <w:tc>
          <w:tcPr>
            <w:tcW w:w="26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30-59 days</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Past Due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Loans</w:t>
            </w:r>
          </w:p>
        </w:tc>
        <w:tc>
          <w:tcPr>
            <w:tcW w:w="0" w:type="dxa"/>
            <w:vAlign w:val="bottom"/>
          </w:tcPr>
          <w:p>
            <w:pPr>
              <w:spacing w:after="0"/>
              <w:rPr>
                <w:sz w:val="1"/>
                <w:szCs w:val="1"/>
                <w:color w:val="auto"/>
              </w:rPr>
            </w:pPr>
          </w:p>
        </w:tc>
      </w:tr>
      <w:tr>
        <w:trPr>
          <w:trHeight w:val="228"/>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738,894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739,287</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786,446</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294,983</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180,863</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106,022</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257,244</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265,579</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107,046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107,464</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3,509,809</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732,463</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734,390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owner occupied - jumbo</w:t>
            </w:r>
          </w:p>
        </w:tc>
        <w:tc>
          <w:tcPr>
            <w:tcW w:w="18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752,563</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285,632</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183,100</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1-4 family - 2nd lien</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105,277</w:t>
            </w: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lending</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Boat lending</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252,965</w:t>
            </w: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270,673</w:t>
            </w:r>
          </w:p>
        </w:tc>
        <w:tc>
          <w:tcPr>
            <w:tcW w:w="0" w:type="dxa"/>
            <w:vAlign w:val="bottom"/>
          </w:tcPr>
          <w:p>
            <w:pPr>
              <w:spacing w:after="0"/>
              <w:rPr>
                <w:sz w:val="1"/>
                <w:szCs w:val="1"/>
                <w:color w:val="auto"/>
              </w:rPr>
            </w:pPr>
          </w:p>
        </w:tc>
      </w:tr>
      <w:tr>
        <w:trPr>
          <w:trHeight w:val="270"/>
        </w:trPr>
        <w:tc>
          <w:tcPr>
            <w:tcW w:w="3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106,452</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Accrued interest excluded from total</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9,975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there were no troubled loan modification or subsequent defaults.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loans that were modified as TDRs and there were no TDRs that subsequently defaulted within twelve months following the modification during the three month period ended March 31,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loan is considered to be in payment default generally once it is 90 days contractually past due under the modified terms.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Credit Quality Indicators </w:t>
      </w:r>
      <w:r>
        <w:rPr>
          <w:rFonts w:ascii="Times New Roman" w:cs="Times New Roman" w:eastAsia="Times New Roman" w:hAnsi="Times New Roman"/>
          <w:sz w:val="18"/>
          <w:szCs w:val="18"/>
          <w:color w:val="auto"/>
        </w:rPr>
        <w:t>– As part of our on-going monitoring of the credit quality of our loan portfolios, we track certain credit quality indicators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risk grade of commercial loans, (b) the level of classified commercial loans, (c) credit scores of mortgage and installment loan borrowers, and (d) delinquency history and non-performing loans.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commercial loans, we use a loan rating system that is similar to those employed by state and federal banking regulators. Loans are graded on a scale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12. A description of the general characteristics of the ratings follows:</w:t>
      </w:r>
    </w:p>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 through 6</w:t>
      </w:r>
      <w:r>
        <w:rPr>
          <w:rFonts w:ascii="Times New Roman" w:cs="Times New Roman" w:eastAsia="Times New Roman" w:hAnsi="Times New Roman"/>
          <w:sz w:val="18"/>
          <w:szCs w:val="18"/>
          <w:color w:val="auto"/>
        </w:rPr>
        <w:t>: These loans are generally referred to as our “non-watch” commercial credits that include very high or exceptional credit fundamentals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acceptable credit fundamentals.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7 and 8</w:t>
      </w:r>
      <w:r>
        <w:rPr>
          <w:rFonts w:ascii="Times New Roman" w:cs="Times New Roman" w:eastAsia="Times New Roman" w:hAnsi="Times New Roman"/>
          <w:sz w:val="18"/>
          <w:szCs w:val="18"/>
          <w:color w:val="auto"/>
        </w:rPr>
        <w:t>: These loans are generally referred to as our “watch” commercial credits. These ratings include loans to borrowers that exhibit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weakness or downward trends. If not checked or cured these trends could weaken our asset or credit position. While potentially weak, no loss of principal or interest is envisioned with these ratings.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Rating 9</w:t>
      </w:r>
      <w:r>
        <w:rPr>
          <w:rFonts w:ascii="Times New Roman" w:cs="Times New Roman" w:eastAsia="Times New Roman" w:hAnsi="Times New Roman"/>
          <w:sz w:val="18"/>
          <w:szCs w:val="18"/>
          <w:color w:val="auto"/>
        </w:rPr>
        <w:t>: These loans are generally referred to as our “substandard accruing” commercial credits. This rating includes loans to borrowers that 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Rating 10 and 11</w:t>
      </w:r>
      <w:r>
        <w:rPr>
          <w:rFonts w:ascii="Times New Roman" w:cs="Times New Roman" w:eastAsia="Times New Roman" w:hAnsi="Times New Roman"/>
          <w:sz w:val="18"/>
          <w:szCs w:val="18"/>
          <w:color w:val="auto"/>
        </w:rPr>
        <w:t>: These loans are generally referred to as our ‘‘substandard - non-accrual’’ and ‘‘doubtful’’ commercial credits. Our doubtful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Rating 12</w:t>
      </w:r>
      <w:r>
        <w:rPr>
          <w:rFonts w:ascii="Times New Roman" w:cs="Times New Roman" w:eastAsia="Times New Roman" w:hAnsi="Times New Roman"/>
          <w:sz w:val="18"/>
          <w:szCs w:val="18"/>
          <w:color w:val="auto"/>
        </w:rPr>
        <w:t>: These loans are generally referred to as our “loss” commercial credits. This rating includes loans to borrowers that are deemed incapable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and are charged-off.</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loan ratings by loan class for our commercial portfolio loan segment at March 31, 2023 and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Commercial</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Revolving</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Loans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4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58" w:lineRule="exact"/>
              <w:rPr>
                <w:sz w:val="20"/>
                <w:szCs w:val="20"/>
                <w:color w:val="auto"/>
              </w:rPr>
            </w:pPr>
            <w:r>
              <w:rPr>
                <w:rFonts w:ascii="Times New Roman" w:cs="Times New Roman" w:eastAsia="Times New Roman" w:hAnsi="Times New Roman"/>
                <w:sz w:val="14"/>
                <w:szCs w:val="14"/>
                <w:color w:val="auto"/>
              </w:rPr>
              <w:t>Amortized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236,456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719,655</w:t>
            </w:r>
          </w:p>
        </w:tc>
        <w:tc>
          <w:tcPr>
            <w:tcW w:w="0" w:type="dxa"/>
            <w:vAlign w:val="bottom"/>
          </w:tcPr>
          <w:p>
            <w:pPr>
              <w:spacing w:after="0"/>
              <w:rPr>
                <w:sz w:val="1"/>
                <w:szCs w:val="1"/>
                <w:color w:val="auto"/>
              </w:rPr>
            </w:pPr>
          </w:p>
        </w:tc>
      </w:tr>
      <w:tr>
        <w:trPr>
          <w:trHeight w:val="195"/>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14,032</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0" w:type="dxa"/>
            <w:vAlign w:val="bottom"/>
          </w:tcPr>
          <w:p>
            <w:pPr>
              <w:spacing w:after="0"/>
              <w:rPr>
                <w:sz w:val="1"/>
                <w:szCs w:val="1"/>
                <w:color w:val="auto"/>
              </w:rPr>
            </w:pPr>
          </w:p>
        </w:tc>
      </w:tr>
      <w:tr>
        <w:trPr>
          <w:trHeight w:val="196"/>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28"/>
        </w:trPr>
        <w:tc>
          <w:tcPr>
            <w:tcW w:w="32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238,722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739,287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23,896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156,164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86,665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208,035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36,924</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724,557</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7,241</w:t>
            </w:r>
          </w:p>
        </w:tc>
        <w:tc>
          <w:tcPr>
            <w:tcW w:w="0" w:type="dxa"/>
            <w:vAlign w:val="bottom"/>
          </w:tcPr>
          <w:p>
            <w:pPr>
              <w:spacing w:after="0"/>
              <w:rPr>
                <w:sz w:val="1"/>
                <w:szCs w:val="1"/>
                <w:color w:val="auto"/>
              </w:rPr>
            </w:pPr>
          </w:p>
        </w:tc>
      </w:tr>
      <w:tr>
        <w:trPr>
          <w:trHeight w:val="195"/>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23,896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156,164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210,745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36,924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732,006</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273,380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1,444,212</w:t>
            </w:r>
          </w:p>
        </w:tc>
        <w:tc>
          <w:tcPr>
            <w:tcW w:w="0" w:type="dxa"/>
            <w:vAlign w:val="bottom"/>
          </w:tcPr>
          <w:p>
            <w:pPr>
              <w:spacing w:after="0"/>
              <w:rPr>
                <w:sz w:val="1"/>
                <w:szCs w:val="1"/>
                <w:color w:val="auto"/>
              </w:rPr>
            </w:pPr>
          </w:p>
        </w:tc>
      </w:tr>
      <w:tr>
        <w:trPr>
          <w:trHeight w:val="195"/>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21,273</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5,772</w:t>
            </w:r>
          </w:p>
        </w:tc>
        <w:tc>
          <w:tcPr>
            <w:tcW w:w="0" w:type="dxa"/>
            <w:vAlign w:val="bottom"/>
          </w:tcPr>
          <w:p>
            <w:pPr>
              <w:spacing w:after="0"/>
              <w:rPr>
                <w:sz w:val="1"/>
                <w:szCs w:val="1"/>
                <w:color w:val="auto"/>
              </w:rPr>
            </w:pPr>
          </w:p>
        </w:tc>
      </w:tr>
      <w:tr>
        <w:trPr>
          <w:trHeight w:val="196"/>
        </w:trPr>
        <w:tc>
          <w:tcPr>
            <w:tcW w:w="3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28"/>
        </w:trPr>
        <w:tc>
          <w:tcPr>
            <w:tcW w:w="32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275,646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1,471,293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28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Revolving</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396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2020</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2019</w:t>
            </w:r>
          </w:p>
        </w:tc>
        <w:tc>
          <w:tcPr>
            <w:tcW w:w="10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2018</w:t>
            </w: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Prior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Cost Basis</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715,425</w:t>
            </w: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15,062</w:t>
            </w: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732,463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719,104</w:t>
            </w: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8,027</w:t>
            </w: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w:t>
            </w: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734,390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w:t>
            </w: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5"/>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96,354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1,434,529</w:t>
            </w:r>
          </w:p>
        </w:tc>
      </w:tr>
      <w:tr>
        <w:trPr>
          <w:trHeight w:val="195"/>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23,089</w:t>
            </w:r>
          </w:p>
        </w:tc>
      </w:tr>
      <w:tr>
        <w:trPr>
          <w:trHeight w:val="210"/>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r>
      <w:tr>
        <w:trPr>
          <w:trHeight w:val="196"/>
        </w:trPr>
        <w:tc>
          <w:tcPr>
            <w:tcW w:w="3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8"/>
        </w:trPr>
        <w:tc>
          <w:tcPr>
            <w:tcW w:w="32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97,516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1,466,853</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credit scores by loan class for our mortgage and installment loan portfolio segments at March 31, 2023 and December 31,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jc w:val="center"/>
              <w:ind w:right="280"/>
              <w:spacing w:after="0" w:line="115"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116,051</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421,278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182,259</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51,900</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187,507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362,606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786,446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1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w w:val="99"/>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4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20"/>
              <w:spacing w:after="0" w:line="125" w:lineRule="exact"/>
              <w:rPr>
                <w:sz w:val="20"/>
                <w:szCs w:val="20"/>
                <w:color w:val="auto"/>
              </w:rPr>
            </w:pPr>
            <w:r>
              <w:rPr>
                <w:rFonts w:ascii="Times New Roman" w:cs="Times New Roman" w:eastAsia="Times New Roman" w:hAnsi="Times New Roman"/>
                <w:sz w:val="14"/>
                <w:szCs w:val="14"/>
                <w:color w:val="auto"/>
              </w:rPr>
              <w:t>Amortized</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2023 - continued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8,239</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119,577</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76,874</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36,776</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11,819</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96"/>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0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86,250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294,983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6,022</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28,613</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98,714</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7,843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36,199</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12,463</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6"/>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0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180,863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50,932</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29,247</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11,261</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95"/>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96"/>
        </w:trPr>
        <w:tc>
          <w:tcPr>
            <w:tcW w:w="3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0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106,022</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39,915</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194,738</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100,264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709,827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41,692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331,431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117,647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30,764</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8,194</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303,486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482,884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190,772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72,981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218,396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107,426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1,408,229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115,033</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393,219</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179,877</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50,515</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10,135</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168,357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359,013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129,415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40,986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752,563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37,998</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112,492</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71,997</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32,924</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195"/>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96"/>
        </w:trPr>
        <w:tc>
          <w:tcPr>
            <w:tcW w:w="2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color w:val="auto"/>
              </w:rPr>
              <w:t>Revolving</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16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jc w:val="center"/>
              <w:ind w:left="108"/>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31,239</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95,817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37,957</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60,722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12,003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183,100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50,133</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105,277</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5,573</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75,154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16,845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201,942</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671,803</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326,106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112,927</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12,480</w:t>
            </w:r>
          </w:p>
        </w:tc>
        <w:tc>
          <w:tcPr>
            <w:tcW w:w="0" w:type="dxa"/>
            <w:vAlign w:val="bottom"/>
          </w:tcPr>
          <w:p>
            <w:pPr>
              <w:spacing w:after="0"/>
              <w:rPr>
                <w:sz w:val="1"/>
                <w:szCs w:val="1"/>
                <w:color w:val="auto"/>
              </w:rPr>
            </w:pPr>
          </w:p>
        </w:tc>
      </w:tr>
      <w:tr>
        <w:trPr>
          <w:trHeight w:val="195"/>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0" w:type="dxa"/>
            <w:vAlign w:val="bottom"/>
          </w:tcPr>
          <w:p>
            <w:pPr>
              <w:spacing w:after="0"/>
              <w:rPr>
                <w:sz w:val="1"/>
                <w:szCs w:val="1"/>
                <w:color w:val="auto"/>
              </w:rPr>
            </w:pPr>
          </w:p>
        </w:tc>
      </w:tr>
      <w:tr>
        <w:trPr>
          <w:trHeight w:val="196"/>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1,368,409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Installment (1)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r>
      <w:tr>
        <w:trPr>
          <w:trHeight w:val="188"/>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36,747</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148,958</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53,202</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14,270</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70,149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49,293</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257,244</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7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36,486</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144,190</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64,144</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15,643</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3,432</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87,317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90,303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22,019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30,170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265,579</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7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2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2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7,621</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40,116</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27,268</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28,524</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210"/>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r>
      <w:tr>
        <w:trPr>
          <w:trHeight w:val="195"/>
        </w:trPr>
        <w:tc>
          <w:tcPr>
            <w:tcW w:w="2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203"/>
        </w:trPr>
        <w:tc>
          <w:tcPr>
            <w:tcW w:w="2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12,074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107,464</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7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Installment (1)</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2023 -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17,284</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80,854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46,393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333,264</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228"/>
        </w:trPr>
        <w:tc>
          <w:tcPr>
            <w:tcW w:w="274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91,537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630,287</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6"/>
          </w:tcPr>
          <w:p>
            <w:pPr>
              <w:jc w:val="center"/>
              <w:ind w:left="648"/>
              <w:spacing w:after="0"/>
              <w:rPr>
                <w:sz w:val="20"/>
                <w:szCs w:val="20"/>
                <w:color w:val="auto"/>
              </w:rPr>
            </w:pPr>
            <w:r>
              <w:rPr>
                <w:rFonts w:ascii="Times New Roman" w:cs="Times New Roman" w:eastAsia="Times New Roman" w:hAnsi="Times New Roman"/>
                <w:sz w:val="14"/>
                <w:szCs w:val="14"/>
                <w:color w:val="auto"/>
              </w:rPr>
              <w:t>Installment - continued (1)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2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6"/>
        </w:trPr>
        <w:tc>
          <w:tcPr>
            <w:tcW w:w="2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Prior</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r>
      <w:tr>
        <w:trPr>
          <w:trHeight w:val="188"/>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35,724</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146,032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52,712</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14,101</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72,682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33,576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29,128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29,801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252,965</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4,319</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146,407</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16,119</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270,673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0"/>
        </w:trPr>
        <w:tc>
          <w:tcPr>
            <w:tcW w:w="2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7,109</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26,222</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28,926</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3"/>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203"/>
        </w:trPr>
        <w:tc>
          <w:tcPr>
            <w:tcW w:w="2740" w:type="dxa"/>
            <w:vAlign w:val="bottom"/>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51,861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9,025</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106,452</w:t>
            </w: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2740" w:type="dxa"/>
            <w:vAlign w:val="bottom"/>
            <w:shd w:val="clear" w:color="auto" w:fill="CCEEFF"/>
          </w:tcPr>
          <w:p>
            <w:pPr>
              <w:jc w:val="center"/>
              <w:ind w:right="1328"/>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10,878</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11,005</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80,005</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332,308</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144,379</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59,146</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9,078</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r>
      <w:tr>
        <w:trPr>
          <w:trHeight w:val="195"/>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r>
      <w:tr>
        <w:trPr>
          <w:trHeight w:val="21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r>
      <w:tr>
        <w:trPr>
          <w:trHeight w:val="196"/>
        </w:trPr>
        <w:tc>
          <w:tcPr>
            <w:tcW w:w="2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r>
      <w:tr>
        <w:trPr>
          <w:trHeight w:val="227"/>
        </w:trPr>
        <w:tc>
          <w:tcPr>
            <w:tcW w:w="2740" w:type="dxa"/>
            <w:vAlign w:val="bottom"/>
            <w:tcBorders>
              <w:top w:val="single" w:sz="8" w:color="CCEEFF"/>
              <w:bottom w:val="single" w:sz="8" w:color="CCEEFF"/>
            </w:tcBorders>
            <w:shd w:val="clear" w:color="auto" w:fill="CCEEFF"/>
          </w:tcPr>
          <w:p>
            <w:pPr>
              <w:jc w:val="center"/>
              <w:ind w:right="1348"/>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55,192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630,090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1,484</w:t>
            </w: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Credit scores have been updated within the last twelve months.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Foreclosed residential real estate properties included in other real estate and repossessed assets on our Condensed Consolidated Statements of Financial Condition totaled $0.5 million and $0.4 million at March 31, 2023 and December 31,</w:t>
      </w:r>
    </w:p>
    <w:p>
      <w:pPr>
        <w:sectPr>
          <w:pgSz w:w="11900" w:h="16838" w:orient="portrait"/>
          <w:cols w:equalWidth="0" w:num="1">
            <w:col w:w="11240"/>
          </w:cols>
          <w:pgMar w:left="320" w:top="119"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2022, respectively. Retail mortgage loans secured by residential real estate properties for which formal foreclosure proceedings are in process according to local requirements totaled $0.2 million and $0.8 million at March 31, 2023 and December 31, 2022, respectively.</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first quarter of 2023, we sold $41.2 million of portfolio residential adjustable rate mortgage loans servicing retained and recognized a loss on sale of $0.16 million. These transactions were done primarily for asset/liability management purposes. During the first quarter of 2022, we sold $33.4 million of portfolio residential fixed rate mortgage loans servicing retained and recognized a gain on sale of $0.41 million. This transaction was done primarily for asset/liability management purposes.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Shareholders’ Equity and Earnings Per Common Share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20, 2022, our Board of Directors authorized a share repurchase plan (the “Repurchase Plan”) to buy back up to 1,100,000 shares of our outstanding common stock through December 31, 2023.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three month period ended March 31, 2023 there were no shares repurchased. During the three month period ended March 31, 2022 repurchases were made totaling 59,002 shares of common stock, for an aggregate purchase price of $1.4 million.</w:t>
      </w:r>
    </w:p>
    <w:p>
      <w:pPr>
        <w:sectPr>
          <w:pgSz w:w="11900" w:h="16838" w:orient="portrait"/>
          <w:cols w:equalWidth="0" w:num="1">
            <w:col w:w="11240"/>
          </w:cols>
          <w:pgMar w:left="320" w:top="119" w:right="339"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basic and diluted net income per common share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09803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units for deferred compensation plan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stock options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Weighted average shares outstanding for calculation of diluted earnings per share</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178"/>
        </w:trPr>
        <w:tc>
          <w:tcPr>
            <w:tcW w:w="340" w:type="dxa"/>
            <w:vAlign w:val="bottom"/>
          </w:tcPr>
          <w:p>
            <w:pPr>
              <w:spacing w:after="0"/>
              <w:rPr>
                <w:sz w:val="15"/>
                <w:szCs w:val="15"/>
                <w:color w:val="auto"/>
              </w:rPr>
            </w:pPr>
          </w:p>
        </w:tc>
        <w:tc>
          <w:tcPr>
            <w:tcW w:w="2720" w:type="dxa"/>
            <w:vAlign w:val="bottom"/>
            <w:gridSpan w:val="4"/>
          </w:tcPr>
          <w:p>
            <w:pPr>
              <w:jc w:val="right"/>
              <w:ind w:right="670"/>
              <w:spacing w:after="0" w:line="177" w:lineRule="exact"/>
              <w:rPr>
                <w:sz w:val="20"/>
                <w:szCs w:val="20"/>
                <w:color w:val="auto"/>
              </w:rPr>
            </w:pPr>
            <w:r>
              <w:rPr>
                <w:rFonts w:ascii="Times New Roman" w:cs="Times New Roman" w:eastAsia="Times New Roman" w:hAnsi="Times New Roman"/>
                <w:sz w:val="18"/>
                <w:szCs w:val="18"/>
                <w:color w:val="auto"/>
              </w:rPr>
              <w:t>(In thousands, except</w:t>
            </w:r>
          </w:p>
        </w:tc>
      </w:tr>
      <w:tr>
        <w:trPr>
          <w:trHeight w:val="230"/>
        </w:trPr>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share data)</w:t>
            </w:r>
          </w:p>
        </w:tc>
        <w:tc>
          <w:tcPr>
            <w:tcW w:w="960" w:type="dxa"/>
            <w:vAlign w:val="bottom"/>
          </w:tcPr>
          <w:p>
            <w:pPr>
              <w:spacing w:after="0"/>
              <w:rPr>
                <w:sz w:val="19"/>
                <w:szCs w:val="19"/>
                <w:color w:val="auto"/>
              </w:rPr>
            </w:pPr>
          </w:p>
        </w:tc>
      </w:tr>
      <w:tr>
        <w:trPr>
          <w:trHeight w:val="234"/>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61"/>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29"/>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95"/>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120"/>
          </w:cols>
          <w:pgMar w:left="320" w:top="119"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Basic net income per common share includes weighted average common shares outstanding during the period and participating share awards.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Weighted average stock options outstanding that were not considered in computing diluted net income per common share because they were anti-dilutive were zero for the three month periods ended March 31, 2023 and 2022, respectively.</w:t>
      </w:r>
    </w:p>
    <w:p>
      <w:pPr>
        <w:spacing w:after="0" w:line="121"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derivative financial instruments according to the type of hedge in which they are designated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31, 2023</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Notional</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installment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276,175</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29,183</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47,054</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285,114</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285,114</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(11,489)</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686,465</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Notional</w:t>
            </w: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 - 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221,266</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279,005</w:t>
            </w:r>
          </w:p>
        </w:tc>
        <w:tc>
          <w:tcPr>
            <w:tcW w:w="168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627,186</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pay-fixed interest rate swaps and caps to protect a portion of the fair value of a certain fixed rate commercial loan and certain installment loans (‘‘Fair Value Hedge – Portfolio Loans’’). As a result, changes in the fair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values of the pay-fixed interest rate swap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(fixed rate commercial loan and certain fixed rate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taxable and interest income – interest on securities – tax-exempt in our Condensed Consolidated Statements of Operations.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Asset Derivatives</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Liability Derivatives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00" w:type="dxa"/>
            <w:vAlign w:val="bottom"/>
          </w:tcPr>
          <w:p>
            <w:pPr>
              <w:spacing w:after="0"/>
              <w:rPr>
                <w:sz w:val="14"/>
                <w:szCs w:val="14"/>
                <w:color w:val="auto"/>
              </w:rPr>
            </w:pPr>
          </w:p>
        </w:tc>
        <w:tc>
          <w:tcPr>
            <w:tcW w:w="2100" w:type="dxa"/>
            <w:vAlign w:val="bottom"/>
            <w:gridSpan w:val="3"/>
          </w:tcPr>
          <w:p>
            <w:pPr>
              <w:jc w:val="right"/>
              <w:ind w:right="59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4"/>
                <w:szCs w:val="14"/>
                <w:color w:val="auto"/>
              </w:rPr>
            </w:pPr>
          </w:p>
        </w:tc>
        <w:tc>
          <w:tcPr>
            <w:tcW w:w="212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4"/>
                <w:szCs w:val="14"/>
                <w:color w:val="auto"/>
              </w:rPr>
            </w:pPr>
          </w:p>
        </w:tc>
        <w:tc>
          <w:tcPr>
            <w:tcW w:w="2120" w:type="dxa"/>
            <w:vAlign w:val="bottom"/>
            <w:gridSpan w:val="4"/>
          </w:tcPr>
          <w:p>
            <w:pPr>
              <w:ind w:left="70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100" w:type="dxa"/>
            <w:vAlign w:val="bottom"/>
          </w:tcPr>
          <w:p>
            <w:pPr>
              <w:spacing w:after="0"/>
              <w:rPr>
                <w:sz w:val="14"/>
                <w:szCs w:val="14"/>
                <w:color w:val="auto"/>
              </w:rPr>
            </w:pPr>
          </w:p>
        </w:tc>
        <w:tc>
          <w:tcPr>
            <w:tcW w:w="2120" w:type="dxa"/>
            <w:vAlign w:val="bottom"/>
            <w:gridSpan w:val="4"/>
          </w:tcPr>
          <w:p>
            <w:pPr>
              <w:ind w:left="56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25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2022</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300" w:type="dxa"/>
            <w:vAlign w:val="bottom"/>
            <w:tcBorders>
              <w:top w:val="single" w:sz="8" w:color="auto"/>
            </w:tcBorders>
            <w:gridSpan w:val="2"/>
          </w:tcPr>
          <w:p>
            <w:pPr>
              <w:jc w:val="center"/>
              <w:ind w:right="23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1320" w:type="dxa"/>
            <w:vAlign w:val="bottom"/>
            <w:tcBorders>
              <w:top w:val="single" w:sz="8" w:color="auto"/>
            </w:tcBorders>
            <w:gridSpan w:val="2"/>
          </w:tcPr>
          <w:p>
            <w:pPr>
              <w:jc w:val="center"/>
              <w:ind w:right="25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5"/>
                <w:szCs w:val="15"/>
                <w:color w:val="auto"/>
              </w:rPr>
            </w:pPr>
          </w:p>
        </w:tc>
        <w:tc>
          <w:tcPr>
            <w:tcW w:w="860" w:type="dxa"/>
            <w:vAlign w:val="bottom"/>
            <w:tcBorders>
              <w:top w:val="single" w:sz="8" w:color="auto"/>
            </w:tcBorders>
          </w:tcPr>
          <w:p>
            <w:pPr>
              <w:jc w:val="center"/>
              <w:ind w:left="7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center"/>
              <w:ind w:left="70"/>
              <w:spacing w:after="0" w:line="173" w:lineRule="exact"/>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300" w:type="dxa"/>
            <w:vAlign w:val="bottom"/>
            <w:gridSpan w:val="2"/>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Sheet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Location</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Location</w:t>
            </w: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Location</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Location</w:t>
            </w: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designated as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5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hedging instruments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agreements</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17,508</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cap agreements</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hedging instruments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Rate-lock mortgage loan</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176"/>
        </w:trPr>
        <w:tc>
          <w:tcPr>
            <w:tcW w:w="2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Mandatory commitments to</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 mortgage loans</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Pay-variable interest rate swap</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Pay-fixed interest rate swap</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agreements - commercial</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8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Pay-variable interest rate swap</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agreements - commercial</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effect of derivative financial instruments on the Condensed Consolidated Statements of Operations follows:</w:t>
      </w:r>
    </w:p>
    <w:p>
      <w:pPr>
        <w:spacing w:after="0" w:line="397" w:lineRule="exact"/>
        <w:rPr>
          <w:sz w:val="20"/>
          <w:szCs w:val="20"/>
          <w:color w:val="auto"/>
        </w:rPr>
      </w:pPr>
    </w:p>
    <w:tbl>
      <w:tblPr>
        <w:tblLayout w:type="fixed"/>
        <w:tblInd w:w="2380" w:type="dxa"/>
        <w:tblCellMar>
          <w:top w:w="0" w:type="dxa"/>
          <w:left w:w="0" w:type="dxa"/>
          <w:bottom w:w="0" w:type="dxa"/>
          <w:right w:w="0" w:type="dxa"/>
        </w:tblCellMar>
      </w:tblPr>
      <w:tr>
        <w:trPr>
          <w:trHeight w:val="184"/>
        </w:trPr>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Gain (loss) Recognized in</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Location of Gain</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Loss Reclassified from</w:t>
            </w:r>
          </w:p>
        </w:tc>
        <w:tc>
          <w:tcPr>
            <w:tcW w:w="1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1160" w:type="dxa"/>
            <w:vAlign w:val="bottom"/>
            <w:vMerge w:val="restart"/>
          </w:tcPr>
          <w:p>
            <w:pPr>
              <w:jc w:val="center"/>
              <w:ind w:right="559"/>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600" w:type="dxa"/>
            <w:vAlign w:val="bottom"/>
            <w:vMerge w:val="continue"/>
          </w:tcPr>
          <w:p>
            <w:pPr>
              <w:spacing w:after="0"/>
              <w:rPr>
                <w:sz w:val="8"/>
                <w:szCs w:val="8"/>
                <w:color w:val="auto"/>
              </w:rPr>
            </w:pPr>
          </w:p>
        </w:tc>
        <w:tc>
          <w:tcPr>
            <w:tcW w:w="18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Accumulated Other</w:t>
            </w:r>
          </w:p>
        </w:tc>
        <w:tc>
          <w:tcPr>
            <w:tcW w:w="1880" w:type="dxa"/>
            <w:vAlign w:val="bottom"/>
          </w:tcPr>
          <w:p>
            <w:pPr>
              <w:spacing w:after="0"/>
              <w:rPr>
                <w:sz w:val="8"/>
                <w:szCs w:val="8"/>
                <w:color w:val="auto"/>
              </w:rPr>
            </w:pPr>
          </w:p>
        </w:tc>
        <w:tc>
          <w:tcPr>
            <w:tcW w:w="17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Gain (Loss)</w:t>
            </w:r>
          </w:p>
        </w:tc>
        <w:tc>
          <w:tcPr>
            <w:tcW w:w="0" w:type="dxa"/>
            <w:vAlign w:val="bottom"/>
          </w:tcPr>
          <w:p>
            <w:pPr>
              <w:spacing w:after="0"/>
              <w:rPr>
                <w:sz w:val="1"/>
                <w:szCs w:val="1"/>
                <w:color w:val="auto"/>
              </w:rPr>
            </w:pPr>
          </w:p>
        </w:tc>
      </w:tr>
      <w:tr>
        <w:trPr>
          <w:trHeight w:val="68"/>
        </w:trPr>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(Loss)</w:t>
            </w:r>
          </w:p>
        </w:tc>
        <w:tc>
          <w:tcPr>
            <w:tcW w:w="1820" w:type="dxa"/>
            <w:vAlign w:val="bottom"/>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Comprehensive Income</w:t>
            </w:r>
          </w:p>
        </w:tc>
        <w:tc>
          <w:tcPr>
            <w:tcW w:w="1600" w:type="dxa"/>
            <w:vAlign w:val="bottom"/>
            <w:vMerge w:val="continue"/>
          </w:tcPr>
          <w:p>
            <w:pPr>
              <w:spacing w:after="0"/>
              <w:rPr>
                <w:sz w:val="8"/>
                <w:szCs w:val="8"/>
                <w:color w:val="auto"/>
              </w:rPr>
            </w:pPr>
          </w:p>
        </w:tc>
        <w:tc>
          <w:tcPr>
            <w:tcW w:w="18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Comprehensive Loss into</w:t>
            </w:r>
          </w:p>
        </w:tc>
        <w:tc>
          <w:tcPr>
            <w:tcW w:w="1880" w:type="dxa"/>
            <w:vAlign w:val="bottom"/>
          </w:tcPr>
          <w:p>
            <w:pPr>
              <w:spacing w:after="0"/>
              <w:rPr>
                <w:sz w:val="8"/>
                <w:szCs w:val="8"/>
                <w:color w:val="auto"/>
              </w:rPr>
            </w:pPr>
          </w:p>
        </w:tc>
        <w:tc>
          <w:tcPr>
            <w:tcW w:w="17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Recognized</w:t>
            </w:r>
          </w:p>
        </w:tc>
        <w:tc>
          <w:tcPr>
            <w:tcW w:w="0" w:type="dxa"/>
            <w:vAlign w:val="bottom"/>
          </w:tcPr>
          <w:p>
            <w:pPr>
              <w:spacing w:after="0"/>
              <w:rPr>
                <w:sz w:val="1"/>
                <w:szCs w:val="1"/>
                <w:color w:val="auto"/>
              </w:rPr>
            </w:pPr>
          </w:p>
        </w:tc>
      </w:tr>
      <w:tr>
        <w:trPr>
          <w:trHeight w:val="68"/>
        </w:trPr>
        <w:tc>
          <w:tcPr>
            <w:tcW w:w="1800" w:type="dxa"/>
            <w:vAlign w:val="bottom"/>
            <w:gridSpan w:val="2"/>
            <w:vMerge w:val="continue"/>
          </w:tcPr>
          <w:p>
            <w:pPr>
              <w:spacing w:after="0"/>
              <w:rPr>
                <w:sz w:val="5"/>
                <w:szCs w:val="5"/>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Reclassified from</w:t>
            </w:r>
          </w:p>
        </w:tc>
        <w:tc>
          <w:tcPr>
            <w:tcW w:w="1820" w:type="dxa"/>
            <w:vAlign w:val="bottom"/>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1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(Loss) (Effective Portion)</w:t>
            </w:r>
          </w:p>
        </w:tc>
        <w:tc>
          <w:tcPr>
            <w:tcW w:w="1600" w:type="dxa"/>
            <w:vAlign w:val="bottom"/>
            <w:vMerge w:val="continue"/>
          </w:tcPr>
          <w:p>
            <w:pPr>
              <w:spacing w:after="0"/>
              <w:rPr>
                <w:sz w:val="8"/>
                <w:szCs w:val="8"/>
                <w:color w:val="auto"/>
              </w:rPr>
            </w:pPr>
          </w:p>
        </w:tc>
        <w:tc>
          <w:tcPr>
            <w:tcW w:w="1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Income (Effective Portion)</w:t>
            </w:r>
          </w:p>
        </w:tc>
        <w:tc>
          <w:tcPr>
            <w:tcW w:w="1880" w:type="dxa"/>
            <w:vAlign w:val="bottom"/>
          </w:tcPr>
          <w:p>
            <w:pPr>
              <w:spacing w:after="0"/>
              <w:rPr>
                <w:sz w:val="8"/>
                <w:szCs w:val="8"/>
                <w:color w:val="auto"/>
              </w:rPr>
            </w:pPr>
          </w:p>
        </w:tc>
        <w:tc>
          <w:tcPr>
            <w:tcW w:w="1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in Income</w:t>
            </w:r>
          </w:p>
        </w:tc>
        <w:tc>
          <w:tcPr>
            <w:tcW w:w="0" w:type="dxa"/>
            <w:vAlign w:val="bottom"/>
          </w:tcPr>
          <w:p>
            <w:pPr>
              <w:spacing w:after="0"/>
              <w:rPr>
                <w:sz w:val="1"/>
                <w:szCs w:val="1"/>
                <w:color w:val="auto"/>
              </w:rPr>
            </w:pPr>
          </w:p>
        </w:tc>
      </w:tr>
      <w:tr>
        <w:trPr>
          <w:trHeight w:val="124"/>
        </w:trPr>
        <w:tc>
          <w:tcPr>
            <w:tcW w:w="1800" w:type="dxa"/>
            <w:vAlign w:val="bottom"/>
            <w:tcBorders>
              <w:bottom w:val="single" w:sz="8" w:color="auto"/>
            </w:tcBorders>
            <w:gridSpan w:val="2"/>
            <w:vMerge w:val="continue"/>
          </w:tcPr>
          <w:p>
            <w:pPr>
              <w:spacing w:after="0"/>
              <w:rPr>
                <w:sz w:val="10"/>
                <w:szCs w:val="10"/>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1820" w:type="dxa"/>
            <w:vAlign w:val="bottom"/>
            <w:tcBorders>
              <w:bottom w:val="single" w:sz="8" w:color="auto"/>
            </w:tcBorders>
            <w:gridSpan w:val="2"/>
            <w:vMerge w:val="continue"/>
          </w:tcPr>
          <w:p>
            <w:pPr>
              <w:spacing w:after="0"/>
              <w:rPr>
                <w:sz w:val="10"/>
                <w:szCs w:val="10"/>
                <w:color w:val="auto"/>
              </w:rPr>
            </w:pPr>
          </w:p>
        </w:tc>
        <w:tc>
          <w:tcPr>
            <w:tcW w:w="1880" w:type="dxa"/>
            <w:vAlign w:val="bottom"/>
          </w:tcPr>
          <w:p>
            <w:pPr>
              <w:spacing w:after="0"/>
              <w:rPr>
                <w:sz w:val="10"/>
                <w:szCs w:val="10"/>
                <w:color w:val="auto"/>
              </w:rPr>
            </w:pPr>
          </w:p>
        </w:tc>
        <w:tc>
          <w:tcPr>
            <w:tcW w:w="176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Three Month</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Three Month</w:t>
            </w:r>
          </w:p>
        </w:tc>
        <w:tc>
          <w:tcPr>
            <w:tcW w:w="1880" w:type="dxa"/>
            <w:vAlign w:val="bottom"/>
          </w:tcPr>
          <w:p>
            <w:pPr>
              <w:spacing w:after="0"/>
              <w:rPr>
                <w:sz w:val="14"/>
                <w:szCs w:val="14"/>
                <w:color w:val="auto"/>
              </w:rPr>
            </w:pPr>
          </w:p>
        </w:tc>
        <w:tc>
          <w:tcPr>
            <w:tcW w:w="1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Three Month</w:t>
            </w:r>
          </w:p>
        </w:tc>
        <w:tc>
          <w:tcPr>
            <w:tcW w:w="0" w:type="dxa"/>
            <w:vAlign w:val="bottom"/>
          </w:tcPr>
          <w:p>
            <w:pPr>
              <w:spacing w:after="0"/>
              <w:rPr>
                <w:sz w:val="1"/>
                <w:szCs w:val="1"/>
                <w:color w:val="auto"/>
              </w:rPr>
            </w:pPr>
          </w:p>
        </w:tc>
      </w:tr>
      <w:tr>
        <w:trPr>
          <w:trHeight w:val="54"/>
        </w:trPr>
        <w:tc>
          <w:tcPr>
            <w:tcW w:w="1800" w:type="dxa"/>
            <w:vAlign w:val="bottom"/>
            <w:gridSpan w:val="2"/>
            <w:vMerge w:val="continue"/>
          </w:tcPr>
          <w:p>
            <w:pPr>
              <w:spacing w:after="0"/>
              <w:rPr>
                <w:sz w:val="4"/>
                <w:szCs w:val="4"/>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820" w:type="dxa"/>
            <w:vAlign w:val="bottom"/>
            <w:gridSpan w:val="2"/>
            <w:vMerge w:val="continue"/>
          </w:tcPr>
          <w:p>
            <w:pPr>
              <w:spacing w:after="0"/>
              <w:rPr>
                <w:sz w:val="4"/>
                <w:szCs w:val="4"/>
                <w:color w:val="auto"/>
              </w:rPr>
            </w:pPr>
          </w:p>
        </w:tc>
        <w:tc>
          <w:tcPr>
            <w:tcW w:w="18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Location of</w:t>
            </w: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Periods Ended</w:t>
            </w:r>
          </w:p>
        </w:tc>
        <w:tc>
          <w:tcPr>
            <w:tcW w:w="1600" w:type="dxa"/>
            <w:vAlign w:val="bottom"/>
            <w:vMerge w:val="continue"/>
          </w:tcPr>
          <w:p>
            <w:pPr>
              <w:spacing w:after="0"/>
              <w:rPr>
                <w:sz w:val="9"/>
                <w:szCs w:val="9"/>
                <w:color w:val="auto"/>
              </w:rPr>
            </w:pPr>
          </w:p>
        </w:tc>
        <w:tc>
          <w:tcPr>
            <w:tcW w:w="182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Periods Ended</w:t>
            </w:r>
          </w:p>
        </w:tc>
        <w:tc>
          <w:tcPr>
            <w:tcW w:w="1880" w:type="dxa"/>
            <w:vAlign w:val="bottom"/>
            <w:vMerge w:val="continue"/>
          </w:tcPr>
          <w:p>
            <w:pPr>
              <w:spacing w:after="0"/>
              <w:rPr>
                <w:sz w:val="9"/>
                <w:szCs w:val="9"/>
                <w:color w:val="auto"/>
              </w:rPr>
            </w:pPr>
          </w:p>
        </w:tc>
        <w:tc>
          <w:tcPr>
            <w:tcW w:w="176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Periods Ended</w:t>
            </w:r>
          </w:p>
        </w:tc>
        <w:tc>
          <w:tcPr>
            <w:tcW w:w="0" w:type="dxa"/>
            <w:vAlign w:val="bottom"/>
          </w:tcPr>
          <w:p>
            <w:pPr>
              <w:spacing w:after="0"/>
              <w:rPr>
                <w:sz w:val="1"/>
                <w:szCs w:val="1"/>
                <w:color w:val="auto"/>
              </w:rPr>
            </w:pPr>
          </w:p>
        </w:tc>
      </w:tr>
      <w:tr>
        <w:trPr>
          <w:trHeight w:val="54"/>
        </w:trPr>
        <w:tc>
          <w:tcPr>
            <w:tcW w:w="1800" w:type="dxa"/>
            <w:vAlign w:val="bottom"/>
            <w:gridSpan w:val="2"/>
            <w:vMerge w:val="continue"/>
          </w:tcPr>
          <w:p>
            <w:pPr>
              <w:spacing w:after="0"/>
              <w:rPr>
                <w:sz w:val="4"/>
                <w:szCs w:val="4"/>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Income into</w:t>
            </w:r>
          </w:p>
        </w:tc>
        <w:tc>
          <w:tcPr>
            <w:tcW w:w="1820" w:type="dxa"/>
            <w:vAlign w:val="bottom"/>
            <w:gridSpan w:val="2"/>
            <w:vMerge w:val="continue"/>
          </w:tcPr>
          <w:p>
            <w:pPr>
              <w:spacing w:after="0"/>
              <w:rPr>
                <w:sz w:val="4"/>
                <w:szCs w:val="4"/>
                <w:color w:val="auto"/>
              </w:rPr>
            </w:pPr>
          </w:p>
        </w:tc>
        <w:tc>
          <w:tcPr>
            <w:tcW w:w="18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Gain (Loss)</w:t>
            </w:r>
          </w:p>
        </w:tc>
        <w:tc>
          <w:tcPr>
            <w:tcW w:w="1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March 31,</w:t>
            </w:r>
          </w:p>
        </w:tc>
        <w:tc>
          <w:tcPr>
            <w:tcW w:w="16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vMerge w:val="restart"/>
          </w:tcPr>
          <w:p>
            <w:pPr>
              <w:jc w:val="center"/>
              <w:ind w:right="479"/>
              <w:spacing w:after="0"/>
              <w:rPr>
                <w:sz w:val="20"/>
                <w:szCs w:val="20"/>
                <w:color w:val="auto"/>
              </w:rPr>
            </w:pPr>
            <w:r>
              <w:rPr>
                <w:rFonts w:ascii="Times New Roman" w:cs="Times New Roman" w:eastAsia="Times New Roman" w:hAnsi="Times New Roman"/>
                <w:sz w:val="16"/>
                <w:szCs w:val="16"/>
                <w:color w:val="auto"/>
              </w:rPr>
              <w:t>March 31,</w:t>
            </w:r>
          </w:p>
        </w:tc>
        <w:tc>
          <w:tcPr>
            <w:tcW w:w="1880" w:type="dxa"/>
            <w:vAlign w:val="bottom"/>
            <w:vMerge w:val="continue"/>
          </w:tcPr>
          <w:p>
            <w:pPr>
              <w:spacing w:after="0"/>
              <w:rPr>
                <w:sz w:val="9"/>
                <w:szCs w:val="9"/>
                <w:color w:val="auto"/>
              </w:rPr>
            </w:pPr>
          </w:p>
        </w:tc>
        <w:tc>
          <w:tcPr>
            <w:tcW w:w="1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March 31,</w:t>
            </w:r>
          </w:p>
        </w:tc>
        <w:tc>
          <w:tcPr>
            <w:tcW w:w="0" w:type="dxa"/>
            <w:vAlign w:val="bottom"/>
          </w:tcPr>
          <w:p>
            <w:pPr>
              <w:spacing w:after="0"/>
              <w:rPr>
                <w:sz w:val="1"/>
                <w:szCs w:val="1"/>
                <w:color w:val="auto"/>
              </w:rPr>
            </w:pPr>
          </w:p>
        </w:tc>
      </w:tr>
      <w:tr>
        <w:trPr>
          <w:trHeight w:val="105"/>
        </w:trPr>
        <w:tc>
          <w:tcPr>
            <w:tcW w:w="1800" w:type="dxa"/>
            <w:vAlign w:val="bottom"/>
            <w:tcBorders>
              <w:bottom w:val="single" w:sz="8" w:color="auto"/>
            </w:tcBorders>
            <w:gridSpan w:val="2"/>
            <w:vMerge w:val="continue"/>
          </w:tcPr>
          <w:p>
            <w:pPr>
              <w:spacing w:after="0"/>
              <w:rPr>
                <w:sz w:val="9"/>
                <w:szCs w:val="9"/>
                <w:color w:val="auto"/>
              </w:rPr>
            </w:pPr>
          </w:p>
        </w:tc>
        <w:tc>
          <w:tcPr>
            <w:tcW w:w="16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Income (Effective</w:t>
            </w:r>
          </w:p>
        </w:tc>
        <w:tc>
          <w:tcPr>
            <w:tcW w:w="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18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Recognized</w:t>
            </w:r>
          </w:p>
        </w:tc>
        <w:tc>
          <w:tcPr>
            <w:tcW w:w="176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1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2022</w:t>
            </w:r>
          </w:p>
        </w:tc>
        <w:tc>
          <w:tcPr>
            <w:tcW w:w="1600" w:type="dxa"/>
            <w:vAlign w:val="bottom"/>
            <w:vMerge w:val="continue"/>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2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2022</w:t>
            </w:r>
          </w:p>
        </w:tc>
        <w:tc>
          <w:tcPr>
            <w:tcW w:w="1880" w:type="dxa"/>
            <w:vAlign w:val="bottom"/>
            <w:vMerge w:val="continue"/>
          </w:tcPr>
          <w:p>
            <w:pPr>
              <w:spacing w:after="0"/>
              <w:rPr>
                <w:sz w:val="3"/>
                <w:szCs w:val="3"/>
                <w:color w:val="auto"/>
              </w:rPr>
            </w:pP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8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line="20" w:lineRule="exact"/>
              <w:rPr>
                <w:sz w:val="1"/>
                <w:szCs w:val="1"/>
                <w:color w:val="auto"/>
              </w:rPr>
            </w:pPr>
          </w:p>
        </w:tc>
      </w:tr>
      <w:tr>
        <w:trPr>
          <w:trHeight w:val="210"/>
        </w:trPr>
        <w:tc>
          <w:tcPr>
            <w:tcW w:w="6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Portion)</w:t>
            </w:r>
          </w:p>
        </w:tc>
        <w:tc>
          <w:tcPr>
            <w:tcW w:w="5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Income</w:t>
            </w:r>
          </w:p>
        </w:tc>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3810</wp:posOffset>
            </wp:positionV>
            <wp:extent cx="5623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ind w:left="6340"/>
        <w:spacing w:after="0"/>
        <w:rPr>
          <w:sz w:val="20"/>
          <w:szCs w:val="20"/>
          <w:color w:val="auto"/>
        </w:rPr>
      </w:pPr>
      <w:r>
        <w:rPr>
          <w:rFonts w:ascii="Times New Roman" w:cs="Times New Roman" w:eastAsia="Times New Roman" w:hAnsi="Times New Roman"/>
          <w:sz w:val="16"/>
          <w:szCs w:val="16"/>
          <w:color w:val="auto"/>
        </w:rPr>
        <w:t>(In thousands)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Fair Value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Pay-fixed interest rate swap</w:t>
      </w:r>
    </w:p>
    <w:p>
      <w:pPr>
        <w:ind w:left="360"/>
        <w:spacing w:after="0"/>
        <w:rPr>
          <w:sz w:val="20"/>
          <w:szCs w:val="20"/>
          <w:color w:val="auto"/>
        </w:rPr>
      </w:pPr>
      <w:r>
        <w:rPr>
          <w:rFonts w:ascii="Times New Roman" w:cs="Times New Roman" w:eastAsia="Times New Roman" w:hAnsi="Times New Roman"/>
          <w:sz w:val="16"/>
          <w:szCs w:val="16"/>
          <w:color w:val="auto"/>
        </w:rPr>
        <w:t>agreement - commercial</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Pay-fixed interest rate swap</w:t>
      </w:r>
    </w:p>
    <w:p>
      <w:pPr>
        <w:ind w:left="360"/>
        <w:spacing w:after="0" w:line="211" w:lineRule="auto"/>
        <w:rPr>
          <w:sz w:val="20"/>
          <w:szCs w:val="20"/>
          <w:color w:val="auto"/>
        </w:rPr>
      </w:pPr>
      <w:r>
        <w:rPr>
          <w:rFonts w:ascii="Times New Roman" w:cs="Times New Roman" w:eastAsia="Times New Roman" w:hAnsi="Times New Roman"/>
          <w:sz w:val="16"/>
          <w:szCs w:val="16"/>
          <w:color w:val="auto"/>
        </w:rPr>
        <w:t>agreement - securities</w:t>
      </w:r>
    </w:p>
    <w:p>
      <w:pPr>
        <w:ind w:left="360"/>
        <w:spacing w:after="0"/>
        <w:rPr>
          <w:sz w:val="20"/>
          <w:szCs w:val="20"/>
          <w:color w:val="auto"/>
        </w:rPr>
      </w:pPr>
      <w:r>
        <w:rPr>
          <w:rFonts w:ascii="Times New Roman" w:cs="Times New Roman" w:eastAsia="Times New Roman" w:hAnsi="Times New Roman"/>
          <w:sz w:val="16"/>
          <w:szCs w:val="16"/>
          <w:color w:val="auto"/>
        </w:rPr>
        <w:t>available for sale</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Pay-fixed interest rate swap</w:t>
      </w:r>
    </w:p>
    <w:p>
      <w:pPr>
        <w:ind w:left="360"/>
        <w:spacing w:after="0"/>
        <w:rPr>
          <w:sz w:val="20"/>
          <w:szCs w:val="20"/>
          <w:color w:val="auto"/>
        </w:rPr>
      </w:pPr>
      <w:r>
        <w:rPr>
          <w:rFonts w:ascii="Times New Roman" w:cs="Times New Roman" w:eastAsia="Times New Roman" w:hAnsi="Times New Roman"/>
          <w:sz w:val="16"/>
          <w:szCs w:val="16"/>
          <w:color w:val="auto"/>
        </w:rPr>
        <w:t>agreement - Installment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fees on</w:t>
            </w:r>
          </w:p>
        </w:tc>
        <w:tc>
          <w:tcPr>
            <w:tcW w:w="3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0"/>
        </w:trPr>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w:t>
            </w:r>
          </w:p>
        </w:tc>
        <w:tc>
          <w:tcPr>
            <w:tcW w:w="3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Interest on securities</w:t>
            </w: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available for sale -</w:t>
            </w:r>
          </w:p>
        </w:tc>
        <w:tc>
          <w:tcPr>
            <w:tcW w:w="3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0" w:type="dxa"/>
            <w:vAlign w:val="bottom"/>
          </w:tcPr>
          <w:p>
            <w:pPr>
              <w:spacing w:after="0"/>
              <w:rPr>
                <w:sz w:val="1"/>
                <w:szCs w:val="1"/>
                <w:color w:val="auto"/>
              </w:rPr>
            </w:pPr>
          </w:p>
        </w:tc>
      </w:tr>
      <w:tr>
        <w:trPr>
          <w:trHeight w:val="210"/>
        </w:trPr>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 exempt</w:t>
            </w: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Interest and fees on</w:t>
            </w:r>
          </w:p>
        </w:tc>
        <w:tc>
          <w:tcPr>
            <w:tcW w:w="3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3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loans</w:t>
            </w: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-578485</wp:posOffset>
            </wp:positionV>
            <wp:extent cx="713232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80" w:space="720"/>
            <w:col w:w="34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8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6"/>
                <w:szCs w:val="16"/>
                <w:color w:val="auto"/>
              </w:rPr>
              <w:t>Interest rate cap agreements -</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ind w:left="200"/>
              <w:spacing w:after="0" w:line="168" w:lineRule="exact"/>
              <w:rPr>
                <w:sz w:val="20"/>
                <w:szCs w:val="20"/>
                <w:color w:val="auto"/>
              </w:rPr>
            </w:pPr>
            <w:r>
              <w:rPr>
                <w:rFonts w:ascii="Times New Roman" w:cs="Times New Roman" w:eastAsia="Times New Roman" w:hAnsi="Times New Roman"/>
                <w:sz w:val="16"/>
                <w:szCs w:val="16"/>
                <w:color w:val="auto"/>
              </w:rPr>
              <w:t>Interest on</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200"/>
              <w:spacing w:after="0" w:line="168" w:lineRule="exact"/>
              <w:rPr>
                <w:sz w:val="20"/>
                <w:szCs w:val="20"/>
                <w:color w:val="auto"/>
              </w:rPr>
            </w:pPr>
            <w:r>
              <w:rPr>
                <w:rFonts w:ascii="Times New Roman" w:cs="Times New Roman" w:eastAsia="Times New Roman" w:hAnsi="Times New Roman"/>
                <w:sz w:val="16"/>
                <w:szCs w:val="16"/>
                <w:color w:val="auto"/>
              </w:rPr>
              <w:t>Interest on securities</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securities available for sale</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securities</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available for sale -</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available for</w:t>
            </w: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tax - exempt</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7"/>
              </w:rPr>
              <w:t>(572)</w:t>
            </w:r>
          </w:p>
        </w:tc>
        <w:tc>
          <w:tcPr>
            <w:tcW w:w="16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sale - tax -</w:t>
            </w: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7"/>
              </w:rPr>
              <w:t>(84)</w:t>
            </w:r>
          </w:p>
        </w:tc>
        <w:tc>
          <w:tcPr>
            <w:tcW w:w="1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exempt</w:t>
            </w:r>
          </w:p>
        </w:tc>
        <w:tc>
          <w:tcPr>
            <w:tcW w:w="32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rate cap agreements -</w:t>
            </w:r>
          </w:p>
        </w:tc>
        <w:tc>
          <w:tcPr>
            <w:tcW w:w="260" w:type="dxa"/>
            <w:vAlign w:val="bottom"/>
          </w:tcPr>
          <w:p>
            <w:pPr>
              <w:spacing w:after="0"/>
              <w:rPr>
                <w:sz w:val="14"/>
                <w:szCs w:val="14"/>
                <w:color w:val="auto"/>
              </w:rPr>
            </w:pPr>
          </w:p>
        </w:tc>
        <w:tc>
          <w:tcPr>
            <w:tcW w:w="56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color w:val="auto"/>
                <w:w w:val="99"/>
              </w:rPr>
              <w:t>152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Interest and fees</w:t>
            </w:r>
          </w:p>
        </w:tc>
        <w:tc>
          <w:tcPr>
            <w:tcW w:w="32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spacing w:after="0"/>
              <w:rPr>
                <w:sz w:val="14"/>
                <w:szCs w:val="14"/>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Interest and fees on</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installment</w:t>
            </w: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on loans</w:t>
            </w:r>
          </w:p>
        </w:tc>
        <w:tc>
          <w:tcPr>
            <w:tcW w:w="3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7"/>
              </w:rPr>
              <w:t>(420)</w:t>
            </w:r>
          </w:p>
        </w:tc>
        <w:tc>
          <w:tcPr>
            <w:tcW w:w="16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7"/>
              </w:rPr>
              <w:t>(84)</w:t>
            </w: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 hedge designation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Rate-lock mortgage loan</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Net gains on mortgage</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commitments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Mandatory commitments to sell</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Net gains on mortgage</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mortgage loans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Pay-fixed interest rate swap</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agreements - commercial</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Pay-variable interest rate swap</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agreements - commercial</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Interest rate swaption agreement</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Net gains on mortgage</w:t>
            </w:r>
          </w:p>
        </w:tc>
        <w:tc>
          <w:tcPr>
            <w:tcW w:w="2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Pay-fixed interest rate swap</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Net gains on mortgage</w:t>
            </w:r>
          </w:p>
        </w:tc>
        <w:tc>
          <w:tcPr>
            <w:tcW w:w="22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3"/>
        </w:trPr>
        <w:tc>
          <w:tcPr>
            <w:tcW w:w="2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agreements - mortgage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loans</w:t>
            </w: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Pay-variable interest rate swap</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8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Non-interest expense -</w:t>
            </w: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agreement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cap agreements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35"/>
        </w:trPr>
        <w:tc>
          <w:tcPr>
            <w:tcW w:w="2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 of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color w:val="auto"/>
              </w:rPr>
              <w:t>March 31, 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w:t>
            </w:r>
          </w:p>
        </w:tc>
        <w:tc>
          <w:tcPr>
            <w:tcW w:w="260" w:type="dxa"/>
            <w:vAlign w:val="bottom"/>
          </w:tcPr>
          <w:p>
            <w:pPr>
              <w:spacing w:after="0"/>
              <w:rPr>
                <w:sz w:val="14"/>
                <w:szCs w:val="14"/>
                <w:color w:val="auto"/>
              </w:rPr>
            </w:pPr>
          </w:p>
        </w:tc>
        <w:tc>
          <w:tcPr>
            <w:tcW w:w="12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Amortization</w:t>
            </w: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 intangible assets - core deposits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9,501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Unamortized intangible assets - goodwill</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 summary of estimated core deposits intangible amortization at March 31, 2023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Based Compensation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March 31, 2023. The non-employee director stock purchase plan permits the issuance of additional share based payments for up to 0.1 million shares of common stock as of March 31, 2023. Share based awards and payments are measured at fair value at the date of grant and are expensed over the requisite service period. Common shares issued upon exercise of stock options come from currently authorized but unissued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and performance stock units (“PSU”) granted pursuant to our long-term incentive plan follows:</w:t>
      </w:r>
    </w:p>
    <w:p>
      <w:pPr>
        <w:spacing w:after="0" w:line="22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7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56,287</w:t>
            </w: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3"/>
        </w:trPr>
        <w:tc>
          <w:tcPr>
            <w:tcW w:w="88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PSU</w:t>
            </w:r>
          </w:p>
        </w:tc>
        <w:tc>
          <w:tcPr>
            <w:tcW w:w="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18,790</w:t>
            </w:r>
          </w:p>
        </w:tc>
        <w:tc>
          <w:tcPr>
            <w:tcW w:w="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19,748</w:t>
            </w:r>
          </w:p>
        </w:tc>
      </w:tr>
      <w:tr>
        <w:trPr>
          <w:trHeight w:val="21"/>
        </w:trPr>
        <w:tc>
          <w:tcPr>
            <w:tcW w:w="7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issued each quarter and vest immediately. Shares issued on a deferred basis are credited at the rate of 90% of the current fair value of our common stock and vest immediately. During both three month periods ended March 31, 2023 and 2022 we issued 0.004 million shares and expensed their value during those same periods.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compensation expense recognized for grants pursuant to our long-term incentive plan was $0.5 million and $0.4 million during the three month periods ended March 31, 2023 and 2022, respectively. The corresponding tax benefit relating to this expense was $0.1 million during both three month periods ended March 31, 2023 and 2022, respectively. Total expense recognized for non-employee director share based payments was $0.09 million during both three month periods ended March 31, 2023 and 2022, respectively. The corresponding tax benefit relating to this expense was $0.02 million for both three month periods ended March 31, 2023 and 2022, respectively.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2023, the total expected compensation cost related to non-vested restricted stock and PSUs not yet recognized was $3.9 million. The weighted-average period over which this amount will be recognized is 2.2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outstanding stock option grants and related transactions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Average</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Number of</w:t>
            </w:r>
          </w:p>
        </w:tc>
        <w:tc>
          <w:tcPr>
            <w:tcW w:w="108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Remaining</w:t>
            </w:r>
          </w:p>
        </w:tc>
        <w:tc>
          <w:tcPr>
            <w:tcW w:w="160" w:type="dxa"/>
            <w:vAlign w:val="bottom"/>
          </w:tcPr>
          <w:p>
            <w:pPr>
              <w:spacing w:after="0"/>
              <w:rPr>
                <w:sz w:val="16"/>
                <w:szCs w:val="16"/>
                <w:color w:val="auto"/>
              </w:rPr>
            </w:pPr>
          </w:p>
        </w:tc>
        <w:tc>
          <w:tcPr>
            <w:tcW w:w="13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Aggregated</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08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color w:val="auto"/>
                <w:w w:val="99"/>
              </w:rPr>
              <w:t>Exercise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Price</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Term (Years)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27"/>
        </w:trPr>
        <w:tc>
          <w:tcPr>
            <w:tcW w:w="50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9.50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207,728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9.50</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207,728</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24,807</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outstanding non-vested stock and related transactions follows:</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Number</w:t>
            </w:r>
          </w:p>
        </w:tc>
        <w:tc>
          <w:tcPr>
            <w:tcW w:w="160" w:type="dxa"/>
            <w:vAlign w:val="bottom"/>
          </w:tcPr>
          <w:p>
            <w:pPr>
              <w:spacing w:after="0"/>
              <w:rPr>
                <w:sz w:val="16"/>
                <w:szCs w:val="16"/>
                <w:color w:val="auto"/>
              </w:rPr>
            </w:pPr>
          </w:p>
        </w:tc>
        <w:tc>
          <w:tcPr>
            <w:tcW w:w="132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of Shares</w:t>
            </w:r>
          </w:p>
        </w:tc>
        <w:tc>
          <w:tcPr>
            <w:tcW w:w="160" w:type="dxa"/>
            <w:vAlign w:val="bottom"/>
          </w:tcPr>
          <w:p>
            <w:pPr>
              <w:spacing w:after="0"/>
              <w:rPr>
                <w:sz w:val="19"/>
                <w:szCs w:val="19"/>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4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regarding options exercised during the periods follows:</w:t>
      </w:r>
    </w:p>
    <w:p>
      <w:pPr>
        <w:spacing w:after="0" w:line="22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19"/>
                <w:szCs w:val="19"/>
                <w:color w:val="auto"/>
              </w:rPr>
            </w:pPr>
          </w:p>
        </w:tc>
      </w:tr>
      <w:tr>
        <w:trPr>
          <w:trHeight w:val="25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Cash proceeds received</w:t>
            </w:r>
          </w:p>
        </w:tc>
        <w:tc>
          <w:tcPr>
            <w:tcW w:w="960" w:type="dxa"/>
            <w:vAlign w:val="bottom"/>
            <w:tcBorders>
              <w:bottom w:val="single" w:sz="8" w:color="auto"/>
            </w:tcBorders>
          </w:tcPr>
          <w:p>
            <w:pPr>
              <w:jc w:val="right"/>
              <w:ind w:right="7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realized</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was $2.9 million and $4.1 million during the three month periods ended March 31, 2023 and 2022,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month periods ending March 31, 2023 and 2022 include reductions of $0.04 million and $0.06 million, respectively, of income tax expense related to the impact of the excess value of stock awards that vested and stock options that were exercised as compared to the initial fair values that were expensed.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2023, March 31, 2022 and December 31, 2022 that the realization of substantially all of our deferred tax assets continues to be more likely than not.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both March 31, 2023 and December 31, 2022, we had approximately $0.2 million, respectively, of gross unrecognized tax benefits. We do not expect the total amount of unrecognized tax benefits to significantly increase or decrease during the remainder of 2023.</w:t>
      </w:r>
    </w:p>
    <w:p>
      <w:pPr>
        <w:spacing w:after="0" w:line="135"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2023, the Bank had positive undivided profits of $145.3 million. It is not our intent to have dividends paid in amounts that would reduce the capital of our Bank to levels below those which we consider prudent or that would not be in accordance with guidelines of regulatory authorities.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2023 and December 31, 2022,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capital amounts and ratios follow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00" w:type="dxa"/>
            <w:vAlign w:val="bottom"/>
            <w:gridSpan w:val="3"/>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w w:val="99"/>
              </w:rPr>
              <w:t>Adequately Capitalized</w:t>
            </w:r>
          </w:p>
        </w:tc>
        <w:tc>
          <w:tcPr>
            <w:tcW w:w="220" w:type="dxa"/>
            <w:vAlign w:val="bottom"/>
          </w:tcPr>
          <w:p>
            <w:pPr>
              <w:spacing w:after="0"/>
              <w:rPr>
                <w:sz w:val="15"/>
                <w:szCs w:val="15"/>
                <w:color w:val="auto"/>
              </w:rPr>
            </w:pPr>
          </w:p>
        </w:tc>
        <w:tc>
          <w:tcPr>
            <w:tcW w:w="2620" w:type="dxa"/>
            <w:vAlign w:val="bottom"/>
            <w:gridSpan w:val="2"/>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9"/>
              </w:rPr>
              <w:t>Well-Capitalized</w:t>
            </w: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Actual</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w w:val="98"/>
              </w:rPr>
              <w:t>Institutions</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Institutions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Amount</w:t>
            </w: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Ratio</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7"/>
              </w:rPr>
              <w:t>Ratio</w:t>
            </w:r>
          </w:p>
        </w:tc>
        <w:tc>
          <w:tcPr>
            <w:tcW w:w="0" w:type="dxa"/>
            <w:vAlign w:val="bottom"/>
          </w:tcPr>
          <w:p>
            <w:pPr>
              <w:spacing w:after="0"/>
              <w:rPr>
                <w:sz w:val="1"/>
                <w:szCs w:val="1"/>
                <w:color w:val="auto"/>
              </w:rPr>
            </w:pPr>
          </w:p>
        </w:tc>
      </w:tr>
      <w:tr>
        <w:trPr>
          <w:trHeight w:val="228"/>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Total capital to risk-weighted</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542,176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314,237</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486,461</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313,901</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392,377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Tier 1 capital to risk-weighted</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453,041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235,678</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437,377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235,426</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313,901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risk-weighted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414,588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176,758</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437,377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176,569</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255,045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453,041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203,233</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437,377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203,239</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254,048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capital to risk-weighted</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536,549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315,059</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480,886</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314,733</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393,416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Tier 1 capital to risk-weighted</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447,299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236,294</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431,685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236,049</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314,733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equity tier 1 capital to</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risk-weighted assets</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408,863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177,221</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431,685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177,037</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255,720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447,299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201,875</w:t>
            </w: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431,685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201,820</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252,275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63" w:lineRule="exact"/>
        <w:rPr>
          <w:sz w:val="20"/>
          <w:szCs w:val="20"/>
          <w:color w:val="auto"/>
        </w:rPr>
      </w:pPr>
    </w:p>
    <w:p>
      <w:pPr>
        <w:ind w:right="2800" w:firstLine="26"/>
        <w:spacing w:after="0" w:line="407" w:lineRule="auto"/>
        <w:tabs>
          <w:tab w:leader="none" w:pos="5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ratios do not reflect a capital conservation buffer of 2.50% at March 31, 2023 and December 31, 2022. NA - Not applicable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our regulatory capital are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5"/>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Pr>
          <w:p>
            <w:pPr>
              <w:spacing w:after="0"/>
              <w:rPr>
                <w:sz w:val="24"/>
                <w:szCs w:val="24"/>
                <w:color w:val="auto"/>
              </w:rPr>
            </w:pPr>
          </w:p>
        </w:tc>
        <w:tc>
          <w:tcPr>
            <w:tcW w:w="28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Independent Bank</w:t>
            </w:r>
          </w:p>
        </w:tc>
      </w:tr>
      <w:tr>
        <w:trPr>
          <w:trHeight w:val="169"/>
        </w:trPr>
        <w:tc>
          <w:tcPr>
            <w:tcW w:w="50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370,418</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50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 (loss) for regulatory</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purposes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86,966</w:t>
            </w:r>
          </w:p>
        </w:tc>
      </w:tr>
      <w:tr>
        <w:trPr>
          <w:trHeight w:val="257"/>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CECL (1)</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r>
      <w:tr>
        <w:trPr>
          <w:trHeight w:val="223"/>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equity tier 1 capital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431,685</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Qualifying trust preferred securities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Tier 1 capital</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453,041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447,299</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437,377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431,685</w:t>
            </w:r>
          </w:p>
        </w:tc>
      </w:tr>
      <w:tr>
        <w:trPr>
          <w:trHeight w:val="257"/>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0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Allowance for credit losses and allowance for unfunded lending</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5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commitments limited to 1.25% of total risk-weighted assets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49,201</w:t>
            </w:r>
          </w:p>
        </w:tc>
      </w:tr>
      <w:tr>
        <w:trPr>
          <w:trHeight w:val="248"/>
        </w:trPr>
        <w:tc>
          <w:tcPr>
            <w:tcW w:w="5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risk-based capital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80" w:hanging="554"/>
        <w:spacing w:after="0"/>
        <w:tabs>
          <w:tab w:leader="none" w:pos="5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elected the three year CECL transition method for regulatory purposes.</w:t>
      </w:r>
    </w:p>
    <w:p>
      <w:pPr>
        <w:spacing w:after="0" w:line="29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methods and significant assumptions to estimate fair value: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w:t>
      </w:r>
    </w:p>
    <w:p>
      <w:pPr>
        <w:spacing w:after="0" w:line="3" w:lineRule="exact"/>
        <w:rPr>
          <w:sz w:val="20"/>
          <w:szCs w:val="20"/>
          <w:color w:val="auto"/>
        </w:rPr>
      </w:pPr>
    </w:p>
    <w:p>
      <w:pPr>
        <w:ind w:left="5540" w:right="3820" w:hanging="5532"/>
        <w:spacing w:after="0" w:line="949"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discounted cash flow analysis whose significant fair value inputs can generally be verified and do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of mortgage loans held for sale, carried at fair value is based on agency cash window loan pricing for comparable assets (recurring Level 2).</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Collateral dependent loans with specific loss allocations based on collateral value</w:t>
      </w:r>
      <w:r>
        <w:rPr>
          <w:rFonts w:ascii="Times New Roman" w:cs="Times New Roman" w:eastAsia="Times New Roman" w:hAnsi="Times New Roman"/>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real estate</w:t>
      </w:r>
      <w:r>
        <w:rPr>
          <w:rFonts w:ascii="Times New Roman" w:cs="Times New Roman" w:eastAsia="Times New Roman" w:hAnsi="Times New Roman"/>
          <w:sz w:val="18"/>
          <w:szCs w:val="18"/>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8"/>
          <w:szCs w:val="18"/>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Capitalized mortgage loan servicing rights</w:t>
      </w:r>
      <w:r>
        <w:rPr>
          <w:rFonts w:ascii="Times New Roman" w:cs="Times New Roman" w:eastAsia="Times New Roman" w:hAnsi="Times New Roman"/>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highlight w:val="white"/>
        </w:rPr>
        <w:t>: The fair value of rate-lock mortgage loan commitments is based on agency cash window loan pricing for comparable assets and the fair value</w:t>
      </w:r>
      <w:r>
        <w:rPr>
          <w:rFonts w:ascii="Times New Roman" w:cs="Times New Roman" w:eastAsia="Times New Roman" w:hAnsi="Times New Roman"/>
          <w:sz w:val="18"/>
          <w:szCs w:val="18"/>
          <w:color w:val="auto"/>
        </w:rPr>
        <w:t xml:space="preserv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including financial assets for which we have elected the fair value option,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jc w:val="center"/>
              <w:ind w:left="290"/>
              <w:spacing w:after="0" w:line="169" w:lineRule="exact"/>
              <w:rPr>
                <w:sz w:val="20"/>
                <w:szCs w:val="20"/>
                <w:color w:val="auto"/>
              </w:rPr>
            </w:pPr>
            <w:r>
              <w:rPr>
                <w:rFonts w:ascii="Times New Roman" w:cs="Times New Roman" w:eastAsia="Times New Roman" w:hAnsi="Times New Roman"/>
                <w:sz w:val="18"/>
                <w:szCs w:val="18"/>
                <w:color w:val="auto"/>
              </w:rPr>
              <w:t>Quoted</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70"/>
              <w:spacing w:after="0" w:line="176" w:lineRule="exact"/>
              <w:rPr>
                <w:sz w:val="20"/>
                <w:szCs w:val="20"/>
                <w:color w:val="auto"/>
              </w:rPr>
            </w:pPr>
            <w:r>
              <w:rPr>
                <w:rFonts w:ascii="Times New Roman" w:cs="Times New Roman" w:eastAsia="Times New Roman" w:hAnsi="Times New Roman"/>
                <w:sz w:val="18"/>
                <w:szCs w:val="18"/>
                <w:color w:val="auto"/>
                <w:w w:val="99"/>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tcPr>
          <w:p>
            <w:pPr>
              <w:jc w:val="center"/>
              <w:ind w:left="290"/>
              <w:spacing w:after="0" w:line="184" w:lineRule="exact"/>
              <w:rPr>
                <w:sz w:val="20"/>
                <w:szCs w:val="20"/>
                <w:color w:val="auto"/>
              </w:rPr>
            </w:pPr>
            <w:r>
              <w:rPr>
                <w:rFonts w:ascii="Times New Roman" w:cs="Times New Roman" w:eastAsia="Times New Roman" w:hAnsi="Times New Roman"/>
                <w:sz w:val="18"/>
                <w:szCs w:val="18"/>
                <w:color w:val="auto"/>
                <w:w w:val="99"/>
              </w:rPr>
              <w:t>in Active</w:t>
            </w: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81" w:lineRule="exact"/>
              <w:rPr>
                <w:sz w:val="20"/>
                <w:szCs w:val="20"/>
                <w:color w:val="auto"/>
              </w:rPr>
            </w:pPr>
            <w:r>
              <w:rPr>
                <w:rFonts w:ascii="Times New Roman" w:cs="Times New Roman" w:eastAsia="Times New Roman" w:hAnsi="Times New Roman"/>
                <w:sz w:val="18"/>
                <w:szCs w:val="18"/>
                <w:color w:val="auto"/>
                <w:w w:val="98"/>
              </w:rPr>
              <w:t>Markets</w:t>
            </w:r>
          </w:p>
        </w:tc>
        <w:tc>
          <w:tcPr>
            <w:tcW w:w="680" w:type="dxa"/>
            <w:vAlign w:val="bottom"/>
          </w:tcPr>
          <w:p>
            <w:pPr>
              <w:spacing w:after="0"/>
              <w:rPr>
                <w:sz w:val="15"/>
                <w:szCs w:val="15"/>
                <w:color w:val="auto"/>
              </w:rPr>
            </w:pPr>
          </w:p>
        </w:tc>
        <w:tc>
          <w:tcPr>
            <w:tcW w:w="12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Significant</w:t>
            </w:r>
          </w:p>
        </w:tc>
        <w:tc>
          <w:tcPr>
            <w:tcW w:w="420" w:type="dxa"/>
            <w:vAlign w:val="bottom"/>
          </w:tcPr>
          <w:p>
            <w:pPr>
              <w:spacing w:after="0"/>
              <w:rPr>
                <w:sz w:val="15"/>
                <w:szCs w:val="15"/>
                <w:color w:val="auto"/>
              </w:rPr>
            </w:pPr>
          </w:p>
        </w:tc>
        <w:tc>
          <w:tcPr>
            <w:tcW w:w="11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rPr>
              <w:t>for</w:t>
            </w:r>
          </w:p>
        </w:tc>
        <w:tc>
          <w:tcPr>
            <w:tcW w:w="68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420" w:type="dxa"/>
            <w:vAlign w:val="bottom"/>
          </w:tcPr>
          <w:p>
            <w:pPr>
              <w:spacing w:after="0"/>
              <w:rPr>
                <w:sz w:val="15"/>
                <w:szCs w:val="15"/>
                <w:color w:val="auto"/>
              </w:rPr>
            </w:pPr>
          </w:p>
        </w:tc>
        <w:tc>
          <w:tcPr>
            <w:tcW w:w="11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color w:val="auto"/>
                <w:w w:val="99"/>
              </w:rPr>
              <w:t>Fair Value</w:t>
            </w:r>
          </w:p>
        </w:tc>
        <w:tc>
          <w:tcPr>
            <w:tcW w:w="1120" w:type="dxa"/>
            <w:vAlign w:val="bottom"/>
          </w:tcPr>
          <w:p>
            <w:pPr>
              <w:jc w:val="center"/>
              <w:ind w:left="290"/>
              <w:spacing w:after="0" w:line="189" w:lineRule="exact"/>
              <w:rPr>
                <w:sz w:val="20"/>
                <w:szCs w:val="20"/>
                <w:color w:val="auto"/>
              </w:rPr>
            </w:pPr>
            <w:r>
              <w:rPr>
                <w:rFonts w:ascii="Times New Roman" w:cs="Times New Roman" w:eastAsia="Times New Roman" w:hAnsi="Times New Roman"/>
                <w:sz w:val="18"/>
                <w:szCs w:val="18"/>
                <w:color w:val="auto"/>
                <w:w w:val="98"/>
              </w:rPr>
              <w:t>Identical</w:t>
            </w:r>
          </w:p>
        </w:tc>
        <w:tc>
          <w:tcPr>
            <w:tcW w:w="680" w:type="dxa"/>
            <w:vAlign w:val="bottom"/>
          </w:tcPr>
          <w:p>
            <w:pPr>
              <w:spacing w:after="0"/>
              <w:rPr>
                <w:sz w:val="16"/>
                <w:szCs w:val="16"/>
                <w:color w:val="auto"/>
              </w:rPr>
            </w:pPr>
          </w:p>
        </w:tc>
        <w:tc>
          <w:tcPr>
            <w:tcW w:w="12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420" w:type="dxa"/>
            <w:vAlign w:val="bottom"/>
          </w:tcPr>
          <w:p>
            <w:pPr>
              <w:spacing w:after="0"/>
              <w:rPr>
                <w:sz w:val="16"/>
                <w:szCs w:val="16"/>
                <w:color w:val="auto"/>
              </w:rPr>
            </w:pPr>
          </w:p>
        </w:tc>
        <w:tc>
          <w:tcPr>
            <w:tcW w:w="114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color w:val="auto"/>
                <w:w w:val="99"/>
              </w:rPr>
              <w:t>Measure-</w:t>
            </w:r>
          </w:p>
        </w:tc>
        <w:tc>
          <w:tcPr>
            <w:tcW w:w="1120" w:type="dxa"/>
            <w:vAlign w:val="bottom"/>
          </w:tcPr>
          <w:p>
            <w:pPr>
              <w:jc w:val="center"/>
              <w:ind w:left="290"/>
              <w:spacing w:after="0" w:line="176" w:lineRule="exact"/>
              <w:rPr>
                <w:sz w:val="20"/>
                <w:szCs w:val="20"/>
                <w:color w:val="auto"/>
              </w:rPr>
            </w:pPr>
            <w:r>
              <w:rPr>
                <w:rFonts w:ascii="Times New Roman" w:cs="Times New Roman" w:eastAsia="Times New Roman" w:hAnsi="Times New Roman"/>
                <w:sz w:val="18"/>
                <w:szCs w:val="18"/>
                <w:color w:val="auto"/>
                <w:w w:val="97"/>
              </w:rPr>
              <w:t>Assets</w:t>
            </w:r>
          </w:p>
        </w:tc>
        <w:tc>
          <w:tcPr>
            <w:tcW w:w="68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420" w:type="dxa"/>
            <w:vAlign w:val="bottom"/>
          </w:tcPr>
          <w:p>
            <w:pPr>
              <w:spacing w:after="0"/>
              <w:rPr>
                <w:sz w:val="15"/>
                <w:szCs w:val="15"/>
                <w:color w:val="auto"/>
              </w:rPr>
            </w:pPr>
          </w:p>
        </w:tc>
        <w:tc>
          <w:tcPr>
            <w:tcW w:w="114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ments</w:t>
            </w:r>
          </w:p>
        </w:tc>
        <w:tc>
          <w:tcPr>
            <w:tcW w:w="11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(Level 2)</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2"/>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8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11,528</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89,504</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89,504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13,538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13,538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92,714</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92,714</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176,044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176,044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304,586</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304,586</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78,681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78,681</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16,935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41,923</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34,184</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34,184</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16,523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555</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individually evaluated loans with specific loss allocations based on collateral value.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470"/>
              <w:spacing w:after="0" w:line="177" w:lineRule="exact"/>
              <w:rPr>
                <w:sz w:val="20"/>
                <w:szCs w:val="20"/>
                <w:color w:val="auto"/>
              </w:rPr>
            </w:pPr>
            <w:r>
              <w:rPr>
                <w:rFonts w:ascii="Times New Roman" w:cs="Times New Roman" w:eastAsia="Times New Roman" w:hAnsi="Times New Roman"/>
                <w:sz w:val="18"/>
                <w:szCs w:val="18"/>
                <w:color w:val="auto"/>
              </w:rPr>
              <w:t>Quoted</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Prices</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in Active</w:t>
            </w:r>
          </w:p>
        </w:tc>
        <w:tc>
          <w:tcPr>
            <w:tcW w:w="12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Significant</w:t>
            </w:r>
          </w:p>
        </w:tc>
        <w:tc>
          <w:tcPr>
            <w:tcW w:w="420" w:type="dxa"/>
            <w:vAlign w:val="bottom"/>
          </w:tcPr>
          <w:p>
            <w:pPr>
              <w:spacing w:after="0"/>
              <w:rPr>
                <w:sz w:val="15"/>
                <w:szCs w:val="15"/>
                <w:color w:val="auto"/>
              </w:rPr>
            </w:pPr>
          </w:p>
        </w:tc>
        <w:tc>
          <w:tcPr>
            <w:tcW w:w="11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center"/>
              <w:ind w:right="470"/>
              <w:spacing w:after="0" w:line="184" w:lineRule="exact"/>
              <w:rPr>
                <w:sz w:val="20"/>
                <w:szCs w:val="20"/>
                <w:color w:val="auto"/>
              </w:rPr>
            </w:pPr>
            <w:r>
              <w:rPr>
                <w:rFonts w:ascii="Times New Roman" w:cs="Times New Roman" w:eastAsia="Times New Roman" w:hAnsi="Times New Roman"/>
                <w:sz w:val="18"/>
                <w:szCs w:val="18"/>
                <w:color w:val="auto"/>
                <w:w w:val="98"/>
              </w:rPr>
              <w:t>Markets</w:t>
            </w:r>
          </w:p>
        </w:tc>
        <w:tc>
          <w:tcPr>
            <w:tcW w:w="1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Fair Value</w:t>
            </w:r>
          </w:p>
        </w:tc>
        <w:tc>
          <w:tcPr>
            <w:tcW w:w="260" w:type="dxa"/>
            <w:vAlign w:val="bottom"/>
          </w:tcPr>
          <w:p>
            <w:pPr>
              <w:spacing w:after="0"/>
              <w:rPr>
                <w:sz w:val="15"/>
                <w:szCs w:val="15"/>
                <w:color w:val="auto"/>
              </w:rPr>
            </w:pPr>
          </w:p>
        </w:tc>
        <w:tc>
          <w:tcPr>
            <w:tcW w:w="1540" w:type="dxa"/>
            <w:vAlign w:val="bottom"/>
          </w:tcPr>
          <w:p>
            <w:pPr>
              <w:jc w:val="center"/>
              <w:ind w:right="470"/>
              <w:spacing w:after="0" w:line="181" w:lineRule="exact"/>
              <w:rPr>
                <w:sz w:val="20"/>
                <w:szCs w:val="20"/>
                <w:color w:val="auto"/>
              </w:rPr>
            </w:pPr>
            <w:r>
              <w:rPr>
                <w:rFonts w:ascii="Times New Roman" w:cs="Times New Roman" w:eastAsia="Times New Roman" w:hAnsi="Times New Roman"/>
                <w:sz w:val="18"/>
                <w:szCs w:val="18"/>
                <w:color w:val="auto"/>
              </w:rPr>
              <w:t>for</w:t>
            </w:r>
          </w:p>
        </w:tc>
        <w:tc>
          <w:tcPr>
            <w:tcW w:w="128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420" w:type="dxa"/>
            <w:vAlign w:val="bottom"/>
          </w:tcPr>
          <w:p>
            <w:pPr>
              <w:spacing w:after="0"/>
              <w:rPr>
                <w:sz w:val="15"/>
                <w:szCs w:val="15"/>
                <w:color w:val="auto"/>
              </w:rPr>
            </w:pPr>
          </w:p>
        </w:tc>
        <w:tc>
          <w:tcPr>
            <w:tcW w:w="1140" w:type="dxa"/>
            <w:vAlign w:val="bottom"/>
          </w:tcPr>
          <w:p>
            <w:pPr>
              <w:jc w:val="center"/>
              <w:ind w:right="250"/>
              <w:spacing w:after="0" w:line="181"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8"/>
              </w:rPr>
              <w:t>Identical</w:t>
            </w:r>
          </w:p>
        </w:tc>
        <w:tc>
          <w:tcPr>
            <w:tcW w:w="12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420" w:type="dxa"/>
            <w:vAlign w:val="bottom"/>
          </w:tcPr>
          <w:p>
            <w:pPr>
              <w:spacing w:after="0"/>
              <w:rPr>
                <w:sz w:val="15"/>
                <w:szCs w:val="15"/>
                <w:color w:val="auto"/>
              </w:rPr>
            </w:pPr>
          </w:p>
        </w:tc>
        <w:tc>
          <w:tcPr>
            <w:tcW w:w="114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color w:val="auto"/>
                <w:w w:val="99"/>
              </w:rPr>
              <w:t>Measure-</w:t>
            </w:r>
          </w:p>
        </w:tc>
        <w:tc>
          <w:tcPr>
            <w:tcW w:w="260" w:type="dxa"/>
            <w:vAlign w:val="bottom"/>
          </w:tcPr>
          <w:p>
            <w:pPr>
              <w:spacing w:after="0"/>
              <w:rPr>
                <w:sz w:val="16"/>
                <w:szCs w:val="16"/>
                <w:color w:val="auto"/>
              </w:rPr>
            </w:pPr>
          </w:p>
        </w:tc>
        <w:tc>
          <w:tcPr>
            <w:tcW w:w="1540" w:type="dxa"/>
            <w:vAlign w:val="bottom"/>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2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420" w:type="dxa"/>
            <w:vAlign w:val="bottom"/>
          </w:tcPr>
          <w:p>
            <w:pPr>
              <w:spacing w:after="0"/>
              <w:rPr>
                <w:sz w:val="16"/>
                <w:szCs w:val="16"/>
                <w:color w:val="auto"/>
              </w:rPr>
            </w:pPr>
          </w:p>
        </w:tc>
        <w:tc>
          <w:tcPr>
            <w:tcW w:w="114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ments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(Level 1)</w:t>
            </w: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(Level 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8"/>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Measured at Fair Value on a Recurring Basis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12,101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agency residential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90,458</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90,458</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 agency commercial mortgage-backed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13,453</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13,453</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Private label mortgage-backed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93,845</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93,845</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 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194,725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194,725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295,677</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295,677</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78,157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78,157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Trust preferred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for sale, carried at fair value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26,518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26,518</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42,489</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39,747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Derivatives (2)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19,127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19,127</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for sale, carried at the lower of cost or fair value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20,367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20,367</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Collateral dependent loans (3)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30"/>
        </w:trPr>
        <w:tc>
          <w:tcPr>
            <w:tcW w:w="5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owner occupied - non-jumbo</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1-4 family non-owner occupied</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 family - 2nd lien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Resort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Installment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Boat lending</w:t>
            </w:r>
          </w:p>
        </w:tc>
        <w:tc>
          <w:tcPr>
            <w:tcW w:w="240" w:type="dxa"/>
            <w:vAlign w:val="bottom"/>
          </w:tcPr>
          <w:p>
            <w:pPr>
              <w:spacing w:after="0"/>
              <w:rPr>
                <w:sz w:val="19"/>
                <w:szCs w:val="19"/>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Recreational vehicle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includes impaired loans with specific loss allocations based on collateral value.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values for financial assets which we have elected the fair value option for the periods presented were as follows:</w:t>
      </w:r>
    </w:p>
    <w:p>
      <w:pPr>
        <w:spacing w:after="0" w:line="227"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color w:val="auto"/>
        </w:rPr>
        <w:t>Changes in Fair Values for the Three</w:t>
      </w:r>
    </w:p>
    <w:p>
      <w:pPr>
        <w:jc w:val="center"/>
        <w:ind w:left="6580"/>
        <w:spacing w:after="0" w:line="203" w:lineRule="auto"/>
        <w:rPr>
          <w:sz w:val="20"/>
          <w:szCs w:val="20"/>
          <w:color w:val="auto"/>
        </w:rPr>
      </w:pPr>
      <w:r>
        <w:rPr>
          <w:rFonts w:ascii="Times New Roman" w:cs="Times New Roman" w:eastAsia="Times New Roman" w:hAnsi="Times New Roman"/>
          <w:sz w:val="18"/>
          <w:szCs w:val="18"/>
          <w:color w:val="auto"/>
        </w:rPr>
        <w:t>Month Periods Ended March 31 for</w:t>
      </w:r>
    </w:p>
    <w:p>
      <w:pPr>
        <w:jc w:val="center"/>
        <w:ind w:left="6580"/>
        <w:spacing w:after="0" w:line="219" w:lineRule="auto"/>
        <w:rPr>
          <w:sz w:val="20"/>
          <w:szCs w:val="20"/>
          <w:color w:val="auto"/>
        </w:rPr>
      </w:pPr>
      <w:r>
        <w:rPr>
          <w:rFonts w:ascii="Times New Roman" w:cs="Times New Roman" w:eastAsia="Times New Roman" w:hAnsi="Times New Roman"/>
          <w:sz w:val="18"/>
          <w:szCs w:val="18"/>
          <w:color w:val="auto"/>
        </w:rPr>
        <w:t>items Measured at Fair Value Pursuant</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to Election of the Fair Value Option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4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color w:val="auto"/>
              </w:rPr>
              <w:t>in Fair</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 Gains</w:t>
            </w: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w w:val="95"/>
              </w:rPr>
              <w:t>Values</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vMerge w:val="restart"/>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Included</w:t>
            </w:r>
          </w:p>
        </w:tc>
        <w:tc>
          <w:tcPr>
            <w:tcW w:w="0" w:type="dxa"/>
            <w:vAlign w:val="bottom"/>
          </w:tcPr>
          <w:p>
            <w:pPr>
              <w:spacing w:after="0"/>
              <w:rPr>
                <w:sz w:val="1"/>
                <w:szCs w:val="1"/>
                <w:color w:val="auto"/>
              </w:rPr>
            </w:pPr>
          </w:p>
        </w:tc>
      </w:tr>
      <w:tr>
        <w:trPr>
          <w:trHeight w:val="68"/>
        </w:trPr>
        <w:tc>
          <w:tcPr>
            <w:tcW w:w="6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7"/>
              </w:rPr>
              <w:t>on Assets</w:t>
            </w:r>
          </w:p>
        </w:tc>
        <w:tc>
          <w:tcPr>
            <w:tcW w:w="2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ind w:right="430"/>
              <w:spacing w:after="0" w:line="169" w:lineRule="exact"/>
              <w:rPr>
                <w:sz w:val="20"/>
                <w:szCs w:val="20"/>
                <w:color w:val="auto"/>
              </w:rPr>
            </w:pPr>
            <w:r>
              <w:rPr>
                <w:rFonts w:ascii="Times New Roman" w:cs="Times New Roman" w:eastAsia="Times New Roman" w:hAnsi="Times New Roman"/>
                <w:sz w:val="18"/>
                <w:szCs w:val="18"/>
                <w:color w:val="auto"/>
                <w:w w:val="99"/>
              </w:rPr>
              <w:t>Mortgage</w:t>
            </w:r>
          </w:p>
        </w:tc>
        <w:tc>
          <w:tcPr>
            <w:tcW w:w="12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7"/>
              </w:rPr>
              <w:t>in Current</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w w:val="99"/>
              </w:rPr>
              <w:t>Mortgage</w:t>
            </w:r>
          </w:p>
        </w:tc>
        <w:tc>
          <w:tcPr>
            <w:tcW w:w="260" w:type="dxa"/>
            <w:vAlign w:val="bottom"/>
          </w:tcPr>
          <w:p>
            <w:pPr>
              <w:spacing w:after="0"/>
              <w:rPr>
                <w:sz w:val="14"/>
                <w:szCs w:val="14"/>
                <w:color w:val="auto"/>
              </w:rPr>
            </w:pPr>
          </w:p>
        </w:tc>
        <w:tc>
          <w:tcPr>
            <w:tcW w:w="1660" w:type="dxa"/>
            <w:vAlign w:val="bottom"/>
          </w:tcPr>
          <w:p>
            <w:pPr>
              <w:jc w:val="center"/>
              <w:ind w:right="410"/>
              <w:spacing w:after="0" w:line="169" w:lineRule="exact"/>
              <w:rPr>
                <w:sz w:val="20"/>
                <w:szCs w:val="20"/>
                <w:color w:val="auto"/>
              </w:rPr>
            </w:pPr>
            <w:r>
              <w:rPr>
                <w:rFonts w:ascii="Times New Roman" w:cs="Times New Roman" w:eastAsia="Times New Roman" w:hAnsi="Times New Roman"/>
                <w:sz w:val="18"/>
                <w:szCs w:val="18"/>
                <w:color w:val="auto"/>
                <w:w w:val="97"/>
              </w:rPr>
              <w:t>Loan</w:t>
            </w:r>
          </w:p>
        </w:tc>
        <w:tc>
          <w:tcPr>
            <w:tcW w:w="12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Loans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Servicing, net</w:t>
            </w: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32"/>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(In thousands)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1,597</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(1,496)</w:t>
            </w:r>
          </w:p>
        </w:tc>
        <w:tc>
          <w:tcPr>
            <w:tcW w:w="1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mortgage loan servicing rights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7,558</w:t>
            </w: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7,558</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represent impairment charges recognized during the three month periods ended March 31, 2023 and 2022 relating to assets measured at fair value on a non-recurring basis:</w:t>
      </w:r>
    </w:p>
    <w:p>
      <w:pPr>
        <w:jc w:val="both"/>
        <w:ind w:left="660" w:hanging="328"/>
        <w:spacing w:after="0" w:line="25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that are individually evaluated using the fair value of collateral for collateral dependent loans had a carrying amount of $1.1 million, which is net of a valuation allowance of $0.9 million at March 31, 2023, and had a carrying amount of $2.2 million, which is net of a valuation allowance of $2.1 million at December 31, 2022. The provision for credit losses included in our results of operations relating to collateral dependent loans was a net expense of $0.3 million and $0.1 million for the three month periods ending March 31, 2023 and 2022,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for all assets measured at fair value on a recurring basis using significant unobservable inputs (Level 3) follows:</w:t>
      </w:r>
    </w:p>
    <w:p>
      <w:pPr>
        <w:spacing w:after="0" w:line="227"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color w:val="auto"/>
        </w:rPr>
        <w:t>Capitalized Mortgage Loan Servicing</w:t>
      </w:r>
    </w:p>
    <w:p>
      <w:pPr>
        <w:jc w:val="center"/>
        <w:ind w:left="7940"/>
        <w:spacing w:after="0"/>
        <w:rPr>
          <w:sz w:val="20"/>
          <w:szCs w:val="20"/>
          <w:color w:val="auto"/>
        </w:rPr>
      </w:pPr>
      <w:r>
        <w:rPr>
          <w:rFonts w:ascii="Times New Roman" w:cs="Times New Roman" w:eastAsia="Times New Roman" w:hAnsi="Times New Roman"/>
          <w:sz w:val="18"/>
          <w:szCs w:val="18"/>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13335</wp:posOffset>
            </wp:positionV>
            <wp:extent cx="19456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jc w:val="center"/>
        <w:ind w:left="79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940"/>
        <w:spacing w:after="0"/>
        <w:rPr>
          <w:sz w:val="20"/>
          <w:szCs w:val="20"/>
          <w:color w:val="auto"/>
        </w:rPr>
      </w:pPr>
      <w:r>
        <w:rPr>
          <w:rFonts w:ascii="Times New Roman" w:cs="Times New Roman" w:eastAsia="Times New Roman" w:hAnsi="Times New Roman"/>
          <w:sz w:val="18"/>
          <w:szCs w:val="18"/>
          <w:color w:val="auto"/>
        </w:rPr>
        <w:t>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gains (losses) realized and unrealized: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results of operations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issuances, settlements, maturities and calls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and/or out of Level 3</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 of total gains (losses) for the period included in earnings attributable to the change in unrealized gains</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relating to assets and liabilities still held at March 31</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w:t>
            </w:r>
          </w:p>
        </w:tc>
        <w:tc>
          <w:tcPr>
            <w:tcW w:w="17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Valuation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Unobservable</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Fair</w:t>
            </w:r>
          </w:p>
        </w:tc>
        <w:tc>
          <w:tcPr>
            <w:tcW w:w="1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Technique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Inputs</w:t>
            </w:r>
          </w:p>
        </w:tc>
        <w:tc>
          <w:tcPr>
            <w:tcW w:w="1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Range</w:t>
            </w:r>
          </w:p>
        </w:tc>
        <w:tc>
          <w:tcPr>
            <w:tcW w:w="28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2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Capitalized mortgage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revenue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13.20%</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to $317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 to 32.87%</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Capitalized mortgage</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 value of net</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servicing rights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revenue</w:t>
            </w: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 to 13.23%</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10.12 %</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to service</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 to $150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 to 35</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Float rate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 to 30.40%</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904"/>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information about Level 3 fair value measurements measured on a non-recurring basis follows: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c>
          <w:tcPr>
            <w:tcW w:w="22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Valuation</w:t>
            </w:r>
          </w:p>
        </w:tc>
        <w:tc>
          <w:tcPr>
            <w:tcW w:w="2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Unobservable</w:t>
            </w:r>
          </w:p>
        </w:tc>
      </w:tr>
      <w:tr>
        <w:trPr>
          <w:trHeight w:val="234"/>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2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Technique</w:t>
            </w:r>
          </w:p>
        </w:tc>
        <w:tc>
          <w:tcPr>
            <w:tcW w:w="2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Inputs</w:t>
            </w:r>
          </w:p>
        </w:tc>
      </w:tr>
      <w:tr>
        <w:trPr>
          <w:trHeight w:val="27"/>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 thousands)</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7"/>
        </w:trPr>
        <w:tc>
          <w:tcPr>
            <w:tcW w:w="22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w w:val="99"/>
              </w:rPr>
              <w:t>March 31, 2023</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57"/>
        </w:trPr>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38"/>
        </w:trPr>
        <w:tc>
          <w:tcPr>
            <w:tcW w:w="22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Commercial</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48"/>
        </w:trPr>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225"/>
        </w:trPr>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61"/>
        </w:trPr>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527"/>
        </w:trPr>
        <w:tc>
          <w:tcPr>
            <w:tcW w:w="22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December 31, 2022</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7"/>
        </w:trPr>
        <w:tc>
          <w:tcPr>
            <w:tcW w:w="2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38"/>
        </w:trPr>
        <w:tc>
          <w:tcPr>
            <w:tcW w:w="22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Commercial</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48"/>
        </w:trPr>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r>
        <w:trPr>
          <w:trHeight w:val="225"/>
        </w:trPr>
        <w:tc>
          <w:tcPr>
            <w:tcW w:w="22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comparison approach</w:t>
            </w: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differences</w:t>
            </w:r>
          </w:p>
        </w:tc>
      </w:tr>
      <w:tr>
        <w:trPr>
          <w:trHeight w:val="261"/>
        </w:trPr>
        <w:tc>
          <w:tcPr>
            <w:tcW w:w="22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Installment(1)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w:t>
      </w:r>
    </w:p>
    <w:p>
      <w:pPr>
        <w:spacing w:after="0" w:line="27" w:lineRule="exact"/>
        <w:rPr>
          <w:sz w:val="20"/>
          <w:szCs w:val="20"/>
          <w:color w:val="auto"/>
        </w:rPr>
      </w:pPr>
    </w:p>
    <w:p>
      <w:pPr>
        <w:ind w:left="180"/>
        <w:spacing w:after="0"/>
        <w:tabs>
          <w:tab w:leader="none" w:pos="1720" w:val="left"/>
        </w:tabs>
        <w:rPr>
          <w:sz w:val="20"/>
          <w:szCs w:val="20"/>
          <w:color w:val="auto"/>
        </w:rPr>
      </w:pPr>
      <w:r>
        <w:rPr>
          <w:rFonts w:ascii="Times New Roman" w:cs="Times New Roman" w:eastAsia="Times New Roman" w:hAnsi="Times New Roman"/>
          <w:sz w:val="18"/>
          <w:szCs w:val="18"/>
          <w:color w:val="auto"/>
        </w:rPr>
        <w:t>Range</w:t>
      </w:r>
      <w:r>
        <w:rPr>
          <w:sz w:val="20"/>
          <w:szCs w:val="20"/>
          <w:color w:val="auto"/>
        </w:rPr>
        <w:tab/>
      </w:r>
      <w:r>
        <w:rPr>
          <w:rFonts w:ascii="Times New Roman" w:cs="Times New Roman" w:eastAsia="Times New Roman" w:hAnsi="Times New Roman"/>
          <w:sz w:val="18"/>
          <w:szCs w:val="18"/>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22860</wp:posOffset>
            </wp:positionV>
            <wp:extent cx="20148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0.0% to 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49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(73.3) to 65.2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8"/>
              </w:rPr>
              <w:t>(41.7)% to 20.0%</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(0.4)%</w:t>
            </w:r>
          </w:p>
        </w:tc>
      </w:tr>
      <w:tr>
        <w:trPr>
          <w:trHeight w:val="486"/>
        </w:trPr>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(73.3) to 65.2</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ectPr>
          <w:pgSz w:w="11900" w:h="16838" w:orient="portrait"/>
          <w:cols w:equalWidth="0" w:num="2">
            <w:col w:w="7980" w:space="560"/>
            <w:col w:w="2700"/>
          </w:cols>
          <w:pgMar w:left="320" w:top="119" w:right="339" w:bottom="1440" w:gutter="0" w:footer="0" w:header="0"/>
          <w:type w:val="continuous"/>
        </w:sectPr>
      </w:pPr>
    </w:p>
    <w:p>
      <w:pPr>
        <w:spacing w:after="0" w:line="119" w:lineRule="exact"/>
        <w:rPr>
          <w:sz w:val="20"/>
          <w:szCs w:val="20"/>
          <w:color w:val="auto"/>
        </w:rPr>
      </w:pPr>
    </w:p>
    <w:p>
      <w:pPr>
        <w:jc w:val="both"/>
        <w:ind w:left="580" w:right="20" w:hanging="554"/>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valuation techniques and unobservable inputs discussed above, at March 31, 2023 and December 31, 2022 certain collateral dependent installment loans totaling approximately $0.28 million and $0.30 million, respectively, are secured by collateral other than real estate. For the majority of these loans, we apply internal discount rates to industry valuation guides.</w:t>
      </w: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Aggregate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Contractual</w:t>
            </w:r>
          </w:p>
        </w:tc>
      </w:tr>
      <w:tr>
        <w:trPr>
          <w:trHeight w:val="243"/>
        </w:trPr>
        <w:tc>
          <w:tcPr>
            <w:tcW w:w="6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Fair Value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Difference</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Principal</w:t>
            </w:r>
          </w:p>
        </w:tc>
      </w:tr>
      <w:tr>
        <w:trPr>
          <w:trHeight w:val="237"/>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26,518</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28,860</w:t>
            </w:r>
          </w:p>
        </w:tc>
      </w:tr>
    </w:tbl>
    <w:p>
      <w:pPr>
        <w:spacing w:after="0" w:line="265"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Values of Financial Instruments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recorded book balances and fair values follow: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Fair Value Using</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8"/>
              </w:rPr>
              <w:t>Quoted</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Prices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in Active</w:t>
            </w:r>
          </w:p>
        </w:tc>
        <w:tc>
          <w:tcPr>
            <w:tcW w:w="220" w:type="dxa"/>
            <w:vAlign w:val="bottom"/>
          </w:tcPr>
          <w:p>
            <w:pPr>
              <w:spacing w:after="0"/>
              <w:rPr>
                <w:sz w:val="15"/>
                <w:szCs w:val="15"/>
                <w:color w:val="auto"/>
              </w:rPr>
            </w:pPr>
          </w:p>
        </w:tc>
        <w:tc>
          <w:tcPr>
            <w:tcW w:w="12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Significant</w:t>
            </w:r>
          </w:p>
        </w:tc>
        <w:tc>
          <w:tcPr>
            <w:tcW w:w="260" w:type="dxa"/>
            <w:vAlign w:val="bottom"/>
          </w:tcPr>
          <w:p>
            <w:pPr>
              <w:spacing w:after="0"/>
              <w:rPr>
                <w:sz w:val="15"/>
                <w:szCs w:val="15"/>
                <w:color w:val="auto"/>
              </w:rPr>
            </w:pPr>
          </w:p>
        </w:tc>
        <w:tc>
          <w:tcPr>
            <w:tcW w:w="11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rPr>
              <w:t>Significant</w:t>
            </w: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rPr>
              <w:t>Markets</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Recorded</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5"/>
              </w:rPr>
              <w:t>for</w:t>
            </w:r>
          </w:p>
        </w:tc>
        <w:tc>
          <w:tcPr>
            <w:tcW w:w="220" w:type="dxa"/>
            <w:vAlign w:val="bottom"/>
          </w:tcPr>
          <w:p>
            <w:pPr>
              <w:spacing w:after="0"/>
              <w:rPr>
                <w:sz w:val="15"/>
                <w:szCs w:val="15"/>
                <w:color w:val="auto"/>
              </w:rPr>
            </w:pPr>
          </w:p>
        </w:tc>
        <w:tc>
          <w:tcPr>
            <w:tcW w:w="122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260" w:type="dxa"/>
            <w:vAlign w:val="bottom"/>
          </w:tcPr>
          <w:p>
            <w:pPr>
              <w:spacing w:after="0"/>
              <w:rPr>
                <w:sz w:val="15"/>
                <w:szCs w:val="15"/>
                <w:color w:val="auto"/>
              </w:rPr>
            </w:pPr>
          </w:p>
        </w:tc>
        <w:tc>
          <w:tcPr>
            <w:tcW w:w="11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Un-</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Identical</w:t>
            </w:r>
          </w:p>
        </w:tc>
        <w:tc>
          <w:tcPr>
            <w:tcW w:w="220" w:type="dxa"/>
            <w:vAlign w:val="bottom"/>
          </w:tcPr>
          <w:p>
            <w:pPr>
              <w:spacing w:after="0"/>
              <w:rPr>
                <w:sz w:val="15"/>
                <w:szCs w:val="15"/>
                <w:color w:val="auto"/>
              </w:rPr>
            </w:pPr>
          </w:p>
        </w:tc>
        <w:tc>
          <w:tcPr>
            <w:tcW w:w="12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260" w:type="dxa"/>
            <w:vAlign w:val="bottom"/>
          </w:tcPr>
          <w:p>
            <w:pPr>
              <w:spacing w:after="0"/>
              <w:rPr>
                <w:sz w:val="15"/>
                <w:szCs w:val="15"/>
                <w:color w:val="auto"/>
              </w:rPr>
            </w:pPr>
          </w:p>
        </w:tc>
        <w:tc>
          <w:tcPr>
            <w:tcW w:w="11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7"/>
              </w:rPr>
              <w:t>Book</w:t>
            </w:r>
          </w:p>
        </w:tc>
        <w:tc>
          <w:tcPr>
            <w:tcW w:w="280" w:type="dxa"/>
            <w:vAlign w:val="bottom"/>
          </w:tcPr>
          <w:p>
            <w:pPr>
              <w:spacing w:after="0"/>
              <w:rPr>
                <w:sz w:val="16"/>
                <w:szCs w:val="16"/>
                <w:color w:val="auto"/>
              </w:rPr>
            </w:pPr>
          </w:p>
        </w:tc>
        <w:tc>
          <w:tcPr>
            <w:tcW w:w="12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16"/>
                <w:szCs w:val="16"/>
                <w:color w:val="auto"/>
              </w:rPr>
            </w:pPr>
          </w:p>
        </w:tc>
        <w:tc>
          <w:tcPr>
            <w:tcW w:w="130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6"/>
                <w:szCs w:val="16"/>
                <w:color w:val="auto"/>
              </w:rPr>
            </w:pPr>
          </w:p>
        </w:tc>
        <w:tc>
          <w:tcPr>
            <w:tcW w:w="122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260" w:type="dxa"/>
            <w:vAlign w:val="bottom"/>
          </w:tcPr>
          <w:p>
            <w:pPr>
              <w:spacing w:after="0"/>
              <w:rPr>
                <w:sz w:val="16"/>
                <w:szCs w:val="16"/>
                <w:color w:val="auto"/>
              </w:rPr>
            </w:pPr>
          </w:p>
        </w:tc>
        <w:tc>
          <w:tcPr>
            <w:tcW w:w="1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Inputs</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Balance</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8"/>
              </w:rPr>
              <w:t>(In thousands)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47,823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179,196</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179,196</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179,196</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767,526</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767,526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767,526</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369,577</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339,337</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339,337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Reserve Bank Stock</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17,653</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3,476,194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3,155,940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16,935</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3,139,005</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16,615</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34,184</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34,184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34,184</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3,783,354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3,783,354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3,783,354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761,395</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754,881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754,881</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50,029</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50,019</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50,019</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39,452</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39,705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39,705</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Subordinated debentures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39,677</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32,695</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4,085</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3,599</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16,523</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16,523</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70,180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70,180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4,191</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779,347</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779,347</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779,347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 Home Loan Bank and Federal</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Reserve Bank Stock</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17,653</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loans and loans held for sale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3,459,802</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3,185,518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20,367</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26,518</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3,138,633</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16,513</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16,513</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6,503</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39,747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39,747</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with no stated maturity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3,798,848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3,798,848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3,798,848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Deposits with stated maturity (1)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580,221</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573,739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573,739</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86,006</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86,006</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86,006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Subordinated debt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39,433</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41,058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41,058</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Subordinated debentures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39,660</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38,982</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38,982</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1,872</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19,127</w:t>
            </w: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19,127</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19,127</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580" w:right="20" w:hanging="554"/>
        <w:spacing w:after="0" w:line="181" w:lineRule="auto"/>
        <w:tabs>
          <w:tab w:leader="none" w:pos="580" w:val="left"/>
        </w:tabs>
        <w:numPr>
          <w:ilvl w:val="0"/>
          <w:numId w:val="2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4"/>
          <w:szCs w:val="14"/>
          <w:color w:val="auto"/>
        </w:rPr>
        <w:t>Deposits with no stated maturity include reciprocal deposits with a recorded book balance of $615.860 million and $555.781 million at March 31, 2023 and December 31, 2022, respectively. Deposits with a stated maturity include reciprocal deposits with a recorded book balance of $69.598 million and $46.794 million at March 31, 2023 and December 31, 2022, respectively.</w:t>
      </w:r>
    </w:p>
    <w:p>
      <w:pPr>
        <w:sectPr>
          <w:pgSz w:w="11900" w:h="16838" w:orient="portrait"/>
          <w:cols w:equalWidth="0" w:num="1">
            <w:col w:w="11240"/>
          </w:cols>
          <w:pgMar w:left="320" w:top="119" w:right="339" w:bottom="7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704"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for commitments to extend credit and standby letters of credit are estimated to approximate their aggregate book balance, which is nominal and therefore are not disclosed.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35" w:lineRule="exact"/>
        <w:rPr>
          <w:sz w:val="20"/>
          <w:szCs w:val="20"/>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Pressures from heightened inflation, rising interest rates, elevated energy prices, supply chain disruptions, concerns over the Russia-Ukraine war, and foreign currency exchange rate fluctuations continue to create significant economic uncertainty. In an effort to combat inflationary pressures, the Federal Reserve Board increased the federal funds rate by a total of 4.25% over 2022, including a 75-basis point increase in November 2022 and a 50-basis point increase in December 2022. The rate was increased by another 25-basis points in February 2023 and another 25-basis points in March 2023. There is a great deal of uncertainty regarding whether and the extent to which the Federal Reserve may continue to increase rates or even reduce rates in the coming months. In addition, the ongoing Russia-Ukraine war, its impact on energy prices, and related events are likely to continue to create additional pressure on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economy. However, a high degree of uncertainty still exists with respect to the impact of the fluid global economic conditions on the future performance of our loan portfolio.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Visa Stock</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ultimate timing and eventual exchange rate for Class B shares into Class A shares, we continue to carry these shares at zero, representing cost basis less impairment. However, given the current conversion ratio of 1.5991 Class A shares for every 1 Class B share and the closing price of VISA Class A shares on April 27, 2023 of $229.01 per share, our 12,566 Class B shares would have a current “value” of approximately $4.6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56" w:lineRule="exact"/>
        <w:rPr>
          <w:sz w:val="20"/>
          <w:szCs w:val="20"/>
          <w:color w:val="auto"/>
        </w:rPr>
      </w:pPr>
    </w:p>
    <w:p>
      <w:pPr>
        <w:ind w:right="6280" w:firstLine="8"/>
        <w:spacing w:after="0" w:line="485" w:lineRule="auto"/>
        <w:tabs>
          <w:tab w:leader="none" w:pos="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Accumulated Other Comprehensive Income (Loss) (“AOCIL”) </w:t>
      </w:r>
      <w:r>
        <w:rPr>
          <w:rFonts w:ascii="Times New Roman" w:cs="Times New Roman" w:eastAsia="Times New Roman" w:hAnsi="Times New Roman"/>
          <w:sz w:val="18"/>
          <w:szCs w:val="18"/>
          <w:color w:val="auto"/>
        </w:rPr>
        <w:t>A summary of changes in AOCIL follows:</w:t>
      </w: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Dispropor-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 on</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tionate</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Securities</w:t>
            </w: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Tax Effects</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(Losses) on</w:t>
            </w: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Transferred</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from</w:t>
            </w: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Losses 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 Securities</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Derivative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AFS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HTM (1)</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AFS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Instruments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 2023</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(5,798)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(92,763)</w:t>
            </w:r>
          </w:p>
        </w:tc>
        <w:tc>
          <w:tcPr>
            <w:tcW w:w="0" w:type="dxa"/>
            <w:vAlign w:val="bottom"/>
          </w:tcPr>
          <w:p>
            <w:pPr>
              <w:spacing w:after="0"/>
              <w:rPr>
                <w:sz w:val="1"/>
                <w:szCs w:val="1"/>
                <w:color w:val="auto"/>
              </w:rPr>
            </w:pPr>
          </w:p>
        </w:tc>
      </w:tr>
      <w:tr>
        <w:trPr>
          <w:trHeight w:val="231"/>
        </w:trPr>
        <w:tc>
          <w:tcPr>
            <w:tcW w:w="4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w:t>
            </w: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(5,798)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(80,811)</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(5,798)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5"/>
        </w:trPr>
        <w:tc>
          <w:tcPr>
            <w:tcW w:w="4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comprehensive loss before</w:t>
            </w:r>
          </w:p>
        </w:tc>
        <w:tc>
          <w:tcPr>
            <w:tcW w:w="1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(54,860)</w:t>
            </w:r>
          </w:p>
        </w:tc>
        <w:tc>
          <w:tcPr>
            <w:tcW w:w="0" w:type="dxa"/>
            <w:vAlign w:val="bottom"/>
          </w:tcPr>
          <w:p>
            <w:pPr>
              <w:spacing w:after="0"/>
              <w:rPr>
                <w:sz w:val="1"/>
                <w:szCs w:val="1"/>
                <w:color w:val="auto"/>
              </w:rPr>
            </w:pPr>
          </w:p>
        </w:tc>
      </w:tr>
      <w:tr>
        <w:trPr>
          <w:trHeight w:val="234"/>
        </w:trPr>
        <w:tc>
          <w:tcPr>
            <w:tcW w:w="4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Amounts reclassified from AOCIL</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(54,915)</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(54,915)</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(5,798)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each component of AOCIL for the three months ended March 31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Amount</w:t>
            </w:r>
          </w:p>
        </w:tc>
        <w:tc>
          <w:tcPr>
            <w:tcW w:w="47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Reclassified</w:t>
            </w:r>
          </w:p>
        </w:tc>
        <w:tc>
          <w:tcPr>
            <w:tcW w:w="47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From</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Affected Line Item in Condensed</w:t>
            </w:r>
          </w:p>
        </w:tc>
      </w:tr>
      <w:tr>
        <w:trPr>
          <w:trHeight w:val="255"/>
        </w:trPr>
        <w:tc>
          <w:tcPr>
            <w:tcW w:w="494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AOCIL Component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AOCIL</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tc>
      </w:tr>
      <w:tr>
        <w:trPr>
          <w:trHeight w:val="234"/>
        </w:trPr>
        <w:tc>
          <w:tcPr>
            <w:tcW w:w="46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4700" w:type="dxa"/>
            <w:vAlign w:val="bottom"/>
            <w:tcBorders>
              <w:top w:val="single" w:sz="8" w:color="auto"/>
            </w:tcBorders>
          </w:tcPr>
          <w:p>
            <w:pPr>
              <w:spacing w:after="0"/>
              <w:rPr>
                <w:sz w:val="20"/>
                <w:szCs w:val="20"/>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43" w:lineRule="exact"/>
        <w:rPr>
          <w:sz w:val="20"/>
          <w:szCs w:val="20"/>
          <w:color w:val="auto"/>
        </w:rPr>
      </w:pPr>
    </w:p>
    <w:p>
      <w:pPr>
        <w:ind w:left="6000" w:hanging="1033"/>
        <w:spacing w:after="0"/>
        <w:tabs>
          <w:tab w:leader="none" w:pos="6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540" w:hanging="446"/>
        <w:spacing w:after="0"/>
        <w:tabs>
          <w:tab w:leader="none" w:pos="6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43" w:lineRule="exact"/>
        <w:rPr>
          <w:sz w:val="20"/>
          <w:szCs w:val="20"/>
          <w:color w:val="auto"/>
        </w:rPr>
      </w:pPr>
    </w:p>
    <w:p>
      <w:pPr>
        <w:ind w:left="4960"/>
        <w:spacing w:after="0"/>
        <w:tabs>
          <w:tab w:leader="none" w:pos="5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1517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51435</wp:posOffset>
            </wp:positionV>
            <wp:extent cx="9340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losses on derivative instruments</w:t>
      </w:r>
    </w:p>
    <w:p>
      <w:pPr>
        <w:spacing w:after="0" w:line="63" w:lineRule="exact"/>
        <w:rPr>
          <w:sz w:val="20"/>
          <w:szCs w:val="20"/>
          <w:color w:val="auto"/>
        </w:rPr>
      </w:pPr>
    </w:p>
    <w:p>
      <w:pPr>
        <w:ind w:left="6160" w:hanging="1193"/>
        <w:spacing w:after="0"/>
        <w:tabs>
          <w:tab w:leader="none" w:pos="6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Interest income</w:t>
      </w:r>
    </w:p>
    <w:p>
      <w:pPr>
        <w:spacing w:after="0" w:line="49" w:lineRule="exact"/>
        <w:rPr>
          <w:rFonts w:ascii="Times New Roman" w:cs="Times New Roman" w:eastAsia="Times New Roman" w:hAnsi="Times New Roman"/>
          <w:sz w:val="18"/>
          <w:szCs w:val="18"/>
          <w:color w:val="auto"/>
        </w:rPr>
      </w:pPr>
    </w:p>
    <w:p>
      <w:pPr>
        <w:ind w:left="6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151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net of tax</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r>
      <w:tr>
        <w:trPr>
          <w:trHeight w:val="250"/>
        </w:trPr>
        <w:tc>
          <w:tcPr>
            <w:tcW w:w="5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r>
      <w:tr>
        <w:trPr>
          <w:trHeight w:val="237"/>
        </w:trPr>
        <w:tc>
          <w:tcPr>
            <w:tcW w:w="4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151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p>
      <w:pPr>
        <w:spacing w:after="0" w:line="63" w:lineRule="exact"/>
        <w:rPr>
          <w:sz w:val="20"/>
          <w:szCs w:val="20"/>
          <w:color w:val="auto"/>
        </w:rPr>
      </w:pPr>
    </w:p>
    <w:p>
      <w:pPr>
        <w:ind w:left="6160" w:hanging="1193"/>
        <w:spacing w:after="0"/>
        <w:tabs>
          <w:tab w:leader="none" w:pos="6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Net gains (losses) on securities available for sale</w:t>
      </w:r>
    </w:p>
    <w:p>
      <w:pPr>
        <w:spacing w:after="0" w:line="49" w:lineRule="exact"/>
        <w:rPr>
          <w:rFonts w:ascii="Times New Roman" w:cs="Times New Roman" w:eastAsia="Times New Roman" w:hAnsi="Times New Roman"/>
          <w:sz w:val="18"/>
          <w:szCs w:val="18"/>
          <w:color w:val="auto"/>
        </w:rPr>
      </w:pPr>
    </w:p>
    <w:p>
      <w:pPr>
        <w:ind w:left="6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151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960"/>
        <w:spacing w:after="0"/>
        <w:tabs>
          <w:tab w:leader="none" w:pos="6140" w:val="left"/>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26035</wp:posOffset>
            </wp:positionV>
            <wp:extent cx="9340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51435</wp:posOffset>
            </wp:positionV>
            <wp:extent cx="9340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hanging="412"/>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from Contracts with Customers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86.5% and 84.6% of total revenues for the three month periods ending March 31, 2023 and 2022, respectively.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2023 and December 31, 2022.</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u w:val="single" w:color="auto"/>
          <w:color w:val="auto"/>
        </w:rPr>
        <w:t>Service charges on deposit accounts and other deposit related income</w:t>
      </w:r>
      <w:r>
        <w:rPr>
          <w:rFonts w:ascii="Times New Roman" w:cs="Times New Roman" w:eastAsia="Times New Roman" w:hAnsi="Times New Roman"/>
          <w:sz w:val="18"/>
          <w:szCs w:val="18"/>
          <w:b w:val="1"/>
          <w:bCs w:val="1"/>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Revenues are earned on depository accounts for commercial and retail customers</w:t>
      </w:r>
      <w:r>
        <w:rPr>
          <w:rFonts w:ascii="Times New Roman" w:cs="Times New Roman" w:eastAsia="Times New Roman" w:hAnsi="Times New Roman"/>
          <w:sz w:val="18"/>
          <w:szCs w:val="18"/>
          <w:color w:val="auto"/>
        </w:rPr>
        <w:t xml:space="preserve">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Interchange income</w:t>
      </w:r>
      <w:r>
        <w:rPr>
          <w:rFonts w:ascii="Times New Roman" w:cs="Times New Roman" w:eastAsia="Times New Roman" w:hAnsi="Times New Roman"/>
          <w:sz w:val="18"/>
          <w:szCs w:val="18"/>
          <w:color w:val="auto"/>
          <w:highlight w:val="white"/>
        </w:rPr>
        <w:t>: Interchange income primarily includes debit card interchange and network revenues. Debit card interchange and network revenues are</w:t>
      </w:r>
      <w:r>
        <w:rPr>
          <w:rFonts w:ascii="Times New Roman" w:cs="Times New Roman" w:eastAsia="Times New Roman" w:hAnsi="Times New Roman"/>
          <w:sz w:val="18"/>
          <w:szCs w:val="18"/>
          <w:color w:val="auto"/>
        </w:rPr>
        <w:t xml:space="preserve"> earned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Investment and insurance commissions</w:t>
      </w:r>
      <w:r>
        <w:rPr>
          <w:rFonts w:ascii="Times New Roman" w:cs="Times New Roman" w:eastAsia="Times New Roman" w:hAnsi="Times New Roman"/>
          <w:sz w:val="18"/>
          <w:szCs w:val="18"/>
          <w:color w:val="auto"/>
          <w:highlight w:val="white"/>
        </w:rPr>
        <w:t>: Investment and insurance commissions include fees and commissions from asset management, custody,</w:t>
      </w:r>
      <w:r>
        <w:rPr>
          <w:rFonts w:ascii="Times New Roman" w:cs="Times New Roman" w:eastAsia="Times New Roman" w:hAnsi="Times New Roman"/>
          <w:sz w:val="18"/>
          <w:szCs w:val="18"/>
          <w:color w:val="auto"/>
        </w:rPr>
        <w:t xml:space="preserve"> 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Net (gains) losses on other real estate and repossessed assets</w:t>
      </w:r>
      <w:r>
        <w:rPr>
          <w:rFonts w:ascii="Times New Roman" w:cs="Times New Roman" w:eastAsia="Times New Roman" w:hAnsi="Times New Roman"/>
          <w:sz w:val="18"/>
          <w:szCs w:val="18"/>
          <w:color w:val="auto"/>
          <w:highlight w:val="white"/>
        </w:rPr>
        <w:t>: We record a gain or loss from the sale of other real estate when control of the property</w:t>
      </w:r>
      <w:r>
        <w:rPr>
          <w:rFonts w:ascii="Times New Roman" w:cs="Times New Roman" w:eastAsia="Times New Roman" w:hAnsi="Times New Roman"/>
          <w:sz w:val="18"/>
          <w:szCs w:val="18"/>
          <w:color w:val="auto"/>
        </w:rPr>
        <w:t xml:space="preserve">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2023 and 2022 that were financed by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our revenue sources by attribute follows: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Service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Charges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Deposit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on Deposit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Related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Interchange</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Insurance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3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Accounts</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Income</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Commissions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ending March 31, 2023</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5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56"/>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75"/>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r>
      <w:tr>
        <w:trPr>
          <w:trHeight w:val="20"/>
        </w:trPr>
        <w:tc>
          <w:tcPr>
            <w:tcW w:w="4960" w:type="dxa"/>
            <w:vAlign w:val="bottom"/>
            <w:tcBorders>
              <w:top w:val="single" w:sz="8" w:color="CCEEFF"/>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30"/>
        </w:trPr>
        <w:tc>
          <w:tcPr>
            <w:tcW w:w="3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50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Reconciliation to Condensed Consolidated Statement of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6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7"/>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77"/>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81"/>
        </w:trPr>
        <w:tc>
          <w:tcPr>
            <w:tcW w:w="3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Service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Investment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Charges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Deposit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on Deposit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Related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Interchange</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Insurance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0"/>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Accounts</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Income</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ending March 31, 2022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service charges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Overdraft fees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ATM fees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Interchange income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5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revenue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6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based revenue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63"/>
        </w:trPr>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82"/>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r>
      <w:tr>
        <w:trPr>
          <w:trHeight w:val="20"/>
        </w:trPr>
        <w:tc>
          <w:tcPr>
            <w:tcW w:w="4960" w:type="dxa"/>
            <w:vAlign w:val="bottom"/>
            <w:tcBorders>
              <w:top w:val="single" w:sz="8" w:color="CCEEFF"/>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30"/>
        </w:trPr>
        <w:tc>
          <w:tcPr>
            <w:tcW w:w="35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50"/>
        </w:trPr>
        <w:tc>
          <w:tcPr>
            <w:tcW w:w="50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Reconciliation to Condensed Consolidated Statement of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 - other: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deposit related income</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63"/>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63"/>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owned life insurance (1)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4"/>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(1)</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75"/>
        </w:trPr>
        <w:tc>
          <w:tcPr>
            <w:tcW w:w="3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Excluded from the scope of ASC Topic 606.</w:t>
      </w:r>
    </w:p>
    <w:p>
      <w:pPr>
        <w:spacing w:after="0" w:line="198" w:lineRule="exact"/>
        <w:rPr>
          <w:sz w:val="20"/>
          <w:szCs w:val="20"/>
          <w:color w:val="auto"/>
        </w:rPr>
      </w:pPr>
    </w:p>
    <w:p>
      <w:pPr>
        <w:ind w:left="420" w:hanging="412"/>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operating or finance leases at the lease commencement date (we did not have any finance leases as of March 31, 2023).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INTERIM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components of our operating leases follows:</w:t>
      </w:r>
    </w:p>
    <w:p>
      <w:pPr>
        <w:spacing w:after="0" w:line="239"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color w:val="auto"/>
        </w:rPr>
        <w:t>March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8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1"/>
                <w:szCs w:val="2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1"/>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follows: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1"/>
        </w:trPr>
        <w:tc>
          <w:tcPr>
            <w:tcW w:w="7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r>
      <w:tr>
        <w:trPr>
          <w:trHeight w:val="250"/>
        </w:trPr>
        <w:tc>
          <w:tcPr>
            <w:tcW w:w="7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30"/>
        </w:trPr>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82"/>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 of use asset (1)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(2)</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5,769</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7"/>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5"/>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expenses and other liabilities in our Condensed Consolidated Statements of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analysis of our lease liabilities at March 31, 2023 based on required contractual payments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2023</w:t>
            </w:r>
          </w:p>
        </w:tc>
        <w:tc>
          <w:tcPr>
            <w:tcW w:w="5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5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6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5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5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4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TEM</w:t>
      </w:r>
      <w:r>
        <w:rPr>
          <w:rFonts w:ascii="Times New Roman" w:cs="Times New Roman" w:eastAsia="Times New Roman" w:hAnsi="Times New Roman"/>
          <w:sz w:val="18"/>
          <w:szCs w:val="18"/>
          <w:b w:val="1"/>
          <w:bCs w:val="1"/>
          <w:color w:val="auto"/>
        </w:rPr>
        <w:t xml:space="preserve"> 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ANAGEMENT’S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The following section presents additional information to assess the financial condition and results of operations of Independent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(“IBCP”), its wholly-owned bank, Independent Bank (the “Bank”), and their subsidiaries. This section should be read in conjunction with the Condensed Consolidated Financial Statements. We also encourage you to read our 2022 Annual Report on Form 10-K filed with the U.S. Securities and Exchange Commission (“SEC”). That report includes a list of risk factors that you should consider in connection with any decision to buy or sell our securities.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Overview</w:t>
      </w:r>
      <w:r>
        <w:rPr>
          <w:rFonts w:ascii="Times New Roman" w:cs="Times New Roman" w:eastAsia="Times New Roman" w:hAnsi="Times New Roman"/>
          <w:sz w:val="18"/>
          <w:szCs w:val="18"/>
          <w:color w:val="auto"/>
        </w:rPr>
        <w:t>. We provide banking services to customers located primarily in Michigan’s Lower Peninsula. We also have a loan production office in Fairlawn,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Ohio. As a result, our success depends to a great extent upon the economic conditions in Michigan’s Lower Peninsula.</w:t>
      </w:r>
    </w:p>
    <w:p>
      <w:pPr>
        <w:spacing w:after="0" w:line="11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Recent Developments. </w:t>
      </w:r>
      <w:r>
        <w:rPr>
          <w:rFonts w:ascii="Times New Roman" w:cs="Times New Roman" w:eastAsia="Times New Roman" w:hAnsi="Times New Roman"/>
          <w:sz w:val="18"/>
          <w:szCs w:val="18"/>
          <w:color w:val="auto"/>
        </w:rPr>
        <w:t>As explained in more detail below under Item 1A – “Risk Factors” – the recent closures of Silicon Valley Bank and Signature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impacted the financial services industry. These events have caused banks to reexamine their funding sources and liquidity risks and in some cases have caused deposit holders to reevaluate their banking relationships. As addressed below, we believe these events have caused little to no impact on our deposit base, aside from the mix and pricing of deposits, and that our liquidity and funding and capital resources remain strong. In the wake of these events, initiatives taken with our customer base included discussing how these events unfolded, reinforcing our current capital and liquidity positions and education to maximize FDIC insurance coverage. (See “Deposits and borrowings” and "Liquidity and capital resources").</w:t>
      </w:r>
    </w:p>
    <w:p>
      <w:pPr>
        <w:spacing w:after="0" w:line="14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Pressures from heightened inflation, rising interest rates, elevated energy prices, supply chain disruptions, concerns over the Russia-Ukraine war, and foreign currency exchange rate fluctuations continue to create significant economic uncertainty. In an effort to combat inflationary pressures, the Federal Reserve Board increased the federal funds rate by a total of 4.25% over 2022, including a 75-basis point increase in November 2022 and a 50-basis point increase in December 2022. The rate was increased by another 25-basis points in February 2023 and another 25-basis points in March 2023. There is a great deal of uncertainty regarding whether and the extent to which the Federal Reserve may continue to increase rates or even reduce rates in the coming months. In addition, the ongoing Russia-Ukraine war, its impact on energy prices, and related events are likely to continue to create additional pressure on economic activity. The resulting responses by the U.S. and other countries (including the imposition of economic sanctions and export restrictions), and the potential for wider conflict has increased volatility and uncertainty in global financial markets and could result in significant market disruptions, including in our customers’ industries or sectors.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against this backdrop that we discuss our results of operations and financial condition for the first quarter of 2023 as compared to earlier periods.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ESULTS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We recorded net income of $13.0 million and $18.0 million during the three months ended March 31, 2023 and 2022, respectively. The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2023 first quarter results as compared to 2022 is primarily due to a decrease in non-interest income and an increase in the provision for credit losses that were partially offset by an increase in net-interest income and decreases in non-interest expense and income tax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performance ratios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7880" w:type="dxa"/>
            <w:vAlign w:val="bottom"/>
          </w:tcPr>
          <w:p>
            <w:pPr>
              <w:spacing w:after="0"/>
              <w:rPr>
                <w:sz w:val="22"/>
                <w:szCs w:val="22"/>
                <w:color w:val="auto"/>
              </w:rPr>
            </w:pPr>
          </w:p>
        </w:tc>
        <w:tc>
          <w:tcPr>
            <w:tcW w:w="330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50"/>
        </w:trPr>
        <w:tc>
          <w:tcPr>
            <w:tcW w:w="788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3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(annualized) to</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assets</w:t>
            </w: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50"/>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14.77 %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19.38 %</w:t>
            </w:r>
          </w:p>
        </w:tc>
      </w:tr>
      <w:tr>
        <w:trPr>
          <w:trHeight w:val="277"/>
        </w:trPr>
        <w:tc>
          <w:tcPr>
            <w:tcW w:w="7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0.85</w:t>
            </w:r>
          </w:p>
        </w:tc>
      </w:tr>
      <w:tr>
        <w:trPr>
          <w:trHeight w:val="243"/>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0.84</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Net interest income is the most important source of our earnings and thus is critical in evaluating our results of operations.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net interest income totaled $38.4 million during the first quarter of 2023, an increase of $5.4 million, or 16.5% from the year-ago period. This increase primarily reflects a $204.0 million increase in average interest-earning assets as well as a 33 basis point increase in our tax equivalent net interest income as a percent of average interest-earning assets (the “net interest margin”).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average interest-earning assets in 2023 as compared to 2022 primarily reflects growth in commercial, mortgage and installment loans funded from an increase in deposits.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33 basis point increase in our net interest margin is attributed to a 151 basis point increase in interest income as a percent of average interest-earning assets that was partially offset by an increase in the cost of funding liabilities. These increases are primarily attributed to the 475 basis point increase in the federal funds rate since March of 2022. Despite this year over year net interest margin expansion, our net interest margin has been negatively impacted by changes in funding mix (including movement of non-interest bearing deposits to interest-bearing deposits and an increase in time deposits) and higher deposit pricing betas. This change in funding mix and pricing is expected to continue to have an impact on our net interest margin during 2023. See Asset/liability management.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interest income is also impacted by our level of non-accrual loans. In the first quarter of 2023, non-accrual loans averaged $3.7 million. In the first quarter of 2022, non-accrual loans averaged $5.0 million. In the first quarter of 2023 we had net recoveries of $0.13 million of unpaid interest on loans placed on or taken off non-accrual or on loans previously charged-off compared to net recoveries of $0.14 million during the same period in 2022.</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Average Balances and Tax Equivalent Rates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5"/>
                <w:szCs w:val="15"/>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Rate (2)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5"/>
                <w:szCs w:val="15"/>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Rate (2)</w:t>
            </w:r>
          </w:p>
        </w:tc>
        <w:tc>
          <w:tcPr>
            <w:tcW w:w="0" w:type="dxa"/>
            <w:vAlign w:val="bottom"/>
          </w:tcPr>
          <w:p>
            <w:pPr>
              <w:spacing w:after="0"/>
              <w:rPr>
                <w:sz w:val="1"/>
                <w:szCs w:val="1"/>
                <w:color w:val="auto"/>
              </w:rPr>
            </w:pPr>
          </w:p>
        </w:tc>
      </w:tr>
      <w:tr>
        <w:trPr>
          <w:trHeight w:val="239"/>
        </w:trPr>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3,487,539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7"/>
              </w:rPr>
              <w:t>5.12 %</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2,971,566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loans (1)</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Taxable securities</w:t>
            </w: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securities (1)</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2"/>
                <w:szCs w:val="22"/>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2"/>
                <w:szCs w:val="22"/>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bearing cash</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4,696,786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due from banks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4,721,205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and interest-bearing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checking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50"/>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3,304,868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gridSpan w:val="2"/>
            <w:vMerge w:val="continue"/>
            <w:shd w:val="clear" w:color="auto" w:fill="CCEEFF"/>
          </w:tcPr>
          <w:p>
            <w:pPr>
              <w:spacing w:after="0"/>
              <w:rPr>
                <w:sz w:val="22"/>
                <w:szCs w:val="22"/>
                <w:color w:val="auto"/>
              </w:rPr>
            </w:pPr>
          </w:p>
        </w:tc>
        <w:tc>
          <w:tcPr>
            <w:tcW w:w="1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Interest Income</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Interest Income as a Percent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Average Interest Earning</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7"/>
              </w:rPr>
              <w:t>3.33 %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54"/>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98"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7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63"/>
        </w:trPr>
        <w:tc>
          <w:tcPr>
            <w:tcW w:w="7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43"/>
        </w:trPr>
        <w:tc>
          <w:tcPr>
            <w:tcW w:w="7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5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Margin, Fully Taxable Equivalent ("FTE")</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3"/>
        </w:trPr>
        <w:tc>
          <w:tcPr>
            <w:tcW w:w="7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33,001</w:t>
            </w:r>
          </w:p>
        </w:tc>
      </w:tr>
      <w:tr>
        <w:trPr>
          <w:trHeight w:val="264"/>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Add: taxable equivalent adjustment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482</w:t>
            </w:r>
          </w:p>
        </w:tc>
      </w:tr>
      <w:tr>
        <w:trPr>
          <w:trHeight w:val="28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 taxable equivalent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33,483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(GAAP) (1)</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 (FTE) (1)</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Annualized.</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Provision for credit losses. </w:t>
      </w:r>
      <w:r>
        <w:rPr>
          <w:rFonts w:ascii="Times New Roman" w:cs="Times New Roman" w:eastAsia="Times New Roman" w:hAnsi="Times New Roman"/>
          <w:sz w:val="18"/>
          <w:szCs w:val="18"/>
          <w:color w:val="auto"/>
        </w:rPr>
        <w:t>The provision for credit losses on loans was a credit of $0.8 million and $1.6 million in the first quarters of 2023 and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The provision on loans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on loans and their impact on the provision for credit losses on loans in 2023. The decrease in the provision for credit losses credit on loans from the prior year period is primarily due to the change in the adjustment to allocations based on subjective factors as the prior year included a reduction in allocations related to risks associated with COVID-19.</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on securities HTM was an expense of $2.99 million and zero in the first quarters of 2023 and 2022, respectively. The provision in 2023 was the result of a loss incurred on a $3.0 million corporate security (Signature Bank) that defaulted during the quarter. This security was fully charged off during the first quarter of 2023.</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Non-interest income. </w:t>
      </w:r>
      <w:r>
        <w:rPr>
          <w:rFonts w:ascii="Times New Roman" w:cs="Times New Roman" w:eastAsia="Times New Roman" w:hAnsi="Times New Roman"/>
          <w:sz w:val="18"/>
          <w:szCs w:val="18"/>
          <w:color w:val="auto"/>
        </w:rPr>
        <w:t>Non-interest income is a significant element in assessing our results of operations. Non-interest income totaled $10.6 million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of 2023 compared to $18.9 million in the first quarter of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income are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1"/>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5"/>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50"/>
        </w:trPr>
        <w:tc>
          <w:tcPr>
            <w:tcW w:w="8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8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1"/>
                <w:szCs w:val="21"/>
                <w:color w:val="auto"/>
              </w:rPr>
            </w:pP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6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insurance commissions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7"/>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Interchange income increased on a comparative quarterly basis in 2023 as compared to 2022. The quarterly increase was due to higher rates earned on debit card transactions.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charges on deposit accounts decreased modestly on a comparative quarterly basis in 2023 as compared to 2022. The quarterly decrease was principally due to increases in non-sufficient funds occurrences (and related fees) and an increase in treasury management fees.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reflected in the table below, the sale of mortgage loans dropped significantly on a quarterly basis in 2023 compared to 2022. Mortgage loan activity is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Loan Activity</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7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7"/>
        </w:trPr>
        <w:tc>
          <w:tcPr>
            <w:tcW w:w="7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7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2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6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 originated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113,021</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270,194</w:t>
            </w:r>
          </w:p>
        </w:tc>
      </w:tr>
      <w:tr>
        <w:trPr>
          <w:trHeight w:val="25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loans sold</w:t>
            </w:r>
          </w:p>
        </w:tc>
        <w:tc>
          <w:tcPr>
            <w:tcW w:w="30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106,846</w:t>
            </w:r>
          </w:p>
        </w:tc>
        <w:tc>
          <w:tcPr>
            <w:tcW w:w="4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221,725</w:t>
            </w:r>
          </w:p>
        </w:tc>
      </w:tr>
      <w:tr>
        <w:trPr>
          <w:trHeight w:val="26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mortgage loans</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1,256</w:t>
            </w:r>
          </w:p>
        </w:tc>
        <w:tc>
          <w:tcPr>
            <w:tcW w:w="4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835</w:t>
            </w:r>
          </w:p>
        </w:tc>
      </w:tr>
      <w:tr>
        <w:trPr>
          <w:trHeight w:val="26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as a percent of mortgage loans sold ("Loan Sales Margin")</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4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7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 included in the Loan Sales Margin</w:t>
            </w:r>
          </w:p>
        </w:tc>
        <w:tc>
          <w:tcPr>
            <w:tcW w:w="3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Mortgage loan refinance volumes declined in the first quarter of 2023 as compared to 2022 as higher mortgage loan interest rates in 2023 reduced this activity. Mortgage loans sold decreased in the first quarter of 2023 as compared to 2022 due primarily to lower loan origination volume.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gains on mortgage loans totaled $1.3 million and $0.8 million during the first quarters of 2023 and 2022, respectively. The increase from the prior year quarter, despite a decrease in mortgage loans sold, was primarily due to the impact of fair value adjustments on certain unhedged construction loans during the first quarter of 2022 as a result of the significant increase in interest rates during that quarter. During the the first quarter of 2023, interest rates were less volatile and these constructions loans were fully hedged.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net loss of $0.2 million and a net gain $0.1 million on securities AFS for the first three months of 2023 and 2022, respectively. We recorded no credit related charges in either 2023 or 2022 on securities AFS. See “Securities” below and note #3 to the Condensed Consolidated Financial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 servicing, net, generated income of $0.7 million and $9.6 million in the first quarters of 2023 and 2022, respectively. The significant decrease in mortgage loan servicing, net is due to changes in the fair value of capitalized mortgage loan servicing rights associated with changes in interest rates and the associated expected future prepayment levels and expected float rates.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 servicing, net activity is summarized in the following table:</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Mortgage Servicing Revenue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7940" w:type="dxa"/>
            <w:vAlign w:val="bottom"/>
          </w:tcPr>
          <w:p>
            <w:pPr>
              <w:spacing w:after="0"/>
              <w:rPr>
                <w:sz w:val="24"/>
                <w:szCs w:val="24"/>
                <w:color w:val="auto"/>
              </w:rPr>
            </w:pPr>
          </w:p>
        </w:tc>
        <w:tc>
          <w:tcPr>
            <w:tcW w:w="308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7"/>
        </w:trPr>
        <w:tc>
          <w:tcPr>
            <w:tcW w:w="79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 loan servicing, net:</w:t>
            </w:r>
          </w:p>
        </w:tc>
        <w:tc>
          <w:tcPr>
            <w:tcW w:w="100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Pr>
          <w:p>
            <w:pPr>
              <w:spacing w:after="0"/>
              <w:rPr>
                <w:sz w:val="21"/>
                <w:szCs w:val="21"/>
                <w:color w:val="auto"/>
              </w:rPr>
            </w:pPr>
          </w:p>
        </w:tc>
      </w:tr>
      <w:tr>
        <w:trPr>
          <w:trHeight w:val="263"/>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 net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50"/>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change due to price</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57"/>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change due to pay-downs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5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9,641</w:t>
            </w:r>
          </w:p>
        </w:tc>
      </w:tr>
      <w:tr>
        <w:trPr>
          <w:trHeight w:val="21"/>
        </w:trPr>
        <w:tc>
          <w:tcPr>
            <w:tcW w:w="7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capitalized mortgage loan servicing rights is as follows: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Capitalized Mortgage Loan Servicing Rights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5"/>
        </w:trPr>
        <w:tc>
          <w:tcPr>
            <w:tcW w:w="7980" w:type="dxa"/>
            <w:vAlign w:val="bottom"/>
          </w:tcPr>
          <w:p>
            <w:pPr>
              <w:spacing w:after="0"/>
              <w:rPr>
                <w:sz w:val="24"/>
                <w:szCs w:val="24"/>
                <w:color w:val="auto"/>
              </w:rPr>
            </w:pPr>
          </w:p>
        </w:tc>
        <w:tc>
          <w:tcPr>
            <w:tcW w:w="32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7"/>
        </w:trPr>
        <w:tc>
          <w:tcPr>
            <w:tcW w:w="79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7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1"/>
                <w:szCs w:val="21"/>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42,489</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r>
      <w:tr>
        <w:trPr>
          <w:trHeight w:val="250"/>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Originated servicing rights capitalized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63"/>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41,923</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35,933</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2023 we were servicing approximately $3.52 billion in mortgage loans for others on which servicing rights have been capitalized. This servicing portfolio had a weighted average coupon rate of 3.66% and a weighted average service fee of approximately 25.6 basis points. Capitalized mortgage loan servicing rights at March 31, 2023 totaled $41.9 million, representing approximately 119.1 basis points on the related amount of mortgage loans serviced for others.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and insurance commissions represent revenues generated on the sale or management of investments and insurance for our customers. These increased on a quarterly basis in 2023 as compared to 2022, primarily due to growth in assets under management and in annuity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non-interest income increased on a comparative quarterly basis in 2023 as compared to 2022 due primarily to an increase in swap fee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Non-interest expense. </w:t>
      </w:r>
      <w:r>
        <w:rPr>
          <w:rFonts w:ascii="Times New Roman" w:cs="Times New Roman" w:eastAsia="Times New Roman" w:hAnsi="Times New Roman"/>
          <w:sz w:val="18"/>
          <w:szCs w:val="18"/>
          <w:color w:val="auto"/>
        </w:rPr>
        <w:t>Non-interest expense is an important component of our results of operations. We strive to efficiently manage our cost structure.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decreased by $0.5 million to $31.0 million during the three--month period ended March 31, 2023, compared to the same period in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non-interest expense are as follows:</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5"/>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5"/>
        </w:trPr>
        <w:tc>
          <w:tcPr>
            <w:tcW w:w="7980" w:type="dxa"/>
            <w:vAlign w:val="bottom"/>
          </w:tcPr>
          <w:p>
            <w:pPr>
              <w:spacing w:after="0"/>
              <w:rPr>
                <w:sz w:val="24"/>
                <w:szCs w:val="24"/>
                <w:color w:val="auto"/>
              </w:rPr>
            </w:pPr>
          </w:p>
        </w:tc>
        <w:tc>
          <w:tcPr>
            <w:tcW w:w="31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77"/>
        </w:trPr>
        <w:tc>
          <w:tcPr>
            <w:tcW w:w="798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50"/>
        </w:trPr>
        <w:tc>
          <w:tcPr>
            <w:tcW w:w="7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1"/>
                <w:szCs w:val="21"/>
                <w:color w:val="auto"/>
              </w:rPr>
            </w:pP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13,269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taxes and employee benefits</w:t>
            </w: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19,339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 net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Interchange expense</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 deposit insurance</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professional</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and collection</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Correspondent bank service fees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loss reimbursement on sold loans</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on other real estate and repossessed assets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related to unfunded lending commitments</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5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5"/>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30,957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employee benefits expenses, in total, decreased $0.8 million on a quarterly comparative basis in 2023 compared to the same period in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increased by $0.8 million in the first quarter of 2023 compared to the same period in 2022. The comparative increase in 2023 was primarily due to salary increases that were predominantly effective on January 1, 2023, and a decreased level of compensation that was deferred as direct origination costs due to lower mortgage loan origination volume.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Performance-based compensation decreased by $1.4 million in the first quarter of 2023 compared to the same period in 2022. The decrease is primarily due to lower expected incentive compensation payout for salaried and hourly employees and a decrease in mortgage lending related incentives attributed to the decline in mortgage lending volume.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Payroll taxes and employee benefits decreased by $0.2 million in the first quarter of 2023 compared to the same period in 2022, due primarily to decreases in payroll taxes (reflecting lower performance-based compensation costs), our 401(k) plan match and other indirect costs related to mortgage lending.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processing expense increased by $0.8 million in the first quarter of 2023 compared to the same prior year period due primarily to the prior year including a credit from our core data processor related to certain expenses that had been previously paid and expensed, core data processor annual asset growth and CPI related cost increases and lower net mortgage processing relating cost deferrals due to lower mortgage loan volume.</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We recorded an income tax expense of $2.9 million in the first quarter of 2023. This compares to an income tax expense of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first quarter of 2022. The decrease in expense for the first three months of 2023 compared to the same period in 2022 is primarily due to a decrease in pretax income.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2023 and 2022 and at December 31, 2022, that the realization of substantially all of our deferred tax assets continues to be more likely than not.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ONDITION</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Our total assets increased by $139.1 million during the first three months of 2023. Loans, excluding loans held for sale, were $3.51 billion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 compared to $3.47 billion at December 31, 2022. Commercial loans, mortgage loans and installment loans each increased during the first three months of 2023. (See “Portfolio Loans and asset quality.”)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totaled $4.54 billion at March 31, 2023, an increase of $165.7 million from December 31, 2022. The increase in deposits from December 31, 2022, is due in part to the seasonal cash management needs of our business and municipal customers and our increased use of brokered deposits.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will receive full value for these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Available for Sale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Unrealized</w:t>
            </w:r>
          </w:p>
        </w:tc>
        <w:tc>
          <w:tcPr>
            <w:tcW w:w="10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Gains</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7"/>
              </w:rPr>
              <w:t>Losses</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8"/>
              </w:rPr>
              <w:t>(In thousands)</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839,927</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330</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767,526</w:t>
            </w: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866,363</w:t>
            </w:r>
          </w:p>
        </w:tc>
        <w:tc>
          <w:tcPr>
            <w:tcW w:w="320" w:type="dxa"/>
            <w:vAlign w:val="bottom"/>
          </w:tcPr>
          <w:p>
            <w:pPr>
              <w:spacing w:after="0"/>
              <w:rPr>
                <w:sz w:val="20"/>
                <w:szCs w:val="20"/>
                <w:color w:val="auto"/>
              </w:rPr>
            </w:pPr>
          </w:p>
        </w:tc>
        <w:tc>
          <w:tcPr>
            <w:tcW w:w="1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329</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87,345</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779,347</w:t>
            </w:r>
          </w:p>
        </w:tc>
      </w:tr>
      <w:tr>
        <w:trPr>
          <w:trHeight w:val="91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 to Maturity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Transferred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Unrealized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7"/>
                <w:szCs w:val="17"/>
                <w:color w:val="auto"/>
              </w:rPr>
            </w:pPr>
          </w:p>
        </w:tc>
        <w:tc>
          <w:tcPr>
            <w:tcW w:w="110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rPr>
              <w:t>Unrealized</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Loss (1)</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ACL</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Gains</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3"/>
              </w:rPr>
              <w:t>Losses</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8"/>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369,577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391,953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BFE4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52,724</w:t>
            </w:r>
          </w:p>
        </w:tc>
        <w:tc>
          <w:tcPr>
            <w:tcW w:w="100" w:type="dxa"/>
            <w:vAlign w:val="bottom"/>
            <w:shd w:val="clear" w:color="auto" w:fill="CCEEFF"/>
          </w:tcPr>
          <w:p>
            <w:pPr>
              <w:spacing w:after="0"/>
              <w:rPr>
                <w:sz w:val="19"/>
                <w:szCs w:val="19"/>
                <w:color w:val="auto"/>
              </w:rPr>
            </w:pP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339,337</w:t>
            </w:r>
          </w:p>
        </w:tc>
        <w:tc>
          <w:tcPr>
            <w:tcW w:w="0" w:type="dxa"/>
            <w:vAlign w:val="bottom"/>
          </w:tcPr>
          <w:p>
            <w:pPr>
              <w:spacing w:after="0"/>
              <w:rPr>
                <w:sz w:val="1"/>
                <w:szCs w:val="1"/>
                <w:color w:val="auto"/>
              </w:rPr>
            </w:pPr>
          </w:p>
        </w:tc>
      </w:tr>
      <w:tr>
        <w:trPr>
          <w:trHeight w:val="23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374,818</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23,066</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398,052</w:t>
            </w:r>
          </w:p>
        </w:tc>
        <w:tc>
          <w:tcPr>
            <w:tcW w:w="2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335,418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the remaining unrealized loss to be accreted on securities that were transferred from AFS to HTM on April 1, 2022.</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March 31, 2023. The decrease in unrealized losses during the first quarter of 2023 is primarily attributed to a decrease in interest rates since December 31, 2022. See note #3 to the Condensed Consolidated Financial Statements included within this report for further discussion.</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Despite this lone security loss, the long-term historical loss rates associated with securities having similar grades as those in our portfolio have been insignificant. See note #3 to the Condensed Consolidated Financial Statements included within this report for further discussion.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Sales of securities were as follows (See “Non-interest income.”):</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of Securities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5"/>
        </w:trPr>
        <w:tc>
          <w:tcPr>
            <w:tcW w:w="7980" w:type="dxa"/>
            <w:vAlign w:val="bottom"/>
          </w:tcPr>
          <w:p>
            <w:pPr>
              <w:spacing w:after="0"/>
              <w:rPr>
                <w:sz w:val="24"/>
                <w:szCs w:val="24"/>
                <w:color w:val="auto"/>
              </w:rPr>
            </w:pPr>
          </w:p>
        </w:tc>
        <w:tc>
          <w:tcPr>
            <w:tcW w:w="324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57"/>
        </w:trPr>
        <w:tc>
          <w:tcPr>
            <w:tcW w:w="798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29"/>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gains</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losses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Portfolio Loans and asset quality. </w:t>
      </w:r>
      <w:r>
        <w:rPr>
          <w:rFonts w:ascii="Times New Roman" w:cs="Times New Roman" w:eastAsia="Times New Roman" w:hAnsi="Times New Roman"/>
          <w:sz w:val="18"/>
          <w:szCs w:val="18"/>
          <w:color w:val="auto"/>
        </w:rPr>
        <w:t>In addition to the communities served by our Bank branch and loan production office network, our principal lending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retain loans that may be profitably funded within established risk parameters. (See “Asset/liability management.”) As a result, we may hold adjustable-rate and fixed rate jumbo mortgage loans as Portfolio Loans, while 15- and 30-year fixed-rate non-jumbo mortgage loans are generally sold to mitigate exposure to changes in interest rates. (See “Non-interest income.”) The retention of newly originated fixed rate jumbo mortgage loans has declined relative to the prior year as the growth in mortgage loans during the first quarter of 2023 has primarily been attributed to the origination of adjustable-rate mortgage loans as well as the continued advances on legacy fixed rate construction mortgage loans. (See “Asset/liability management.”).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Portfolio Loans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Real estate(1)</w:t>
            </w:r>
          </w:p>
        </w:tc>
        <w:tc>
          <w:tcPr>
            <w:tcW w:w="240" w:type="dxa"/>
            <w:vAlign w:val="bottom"/>
          </w:tcPr>
          <w:p>
            <w:pPr>
              <w:spacing w:after="0"/>
              <w:rPr>
                <w:sz w:val="19"/>
                <w:szCs w:val="19"/>
                <w:color w:val="auto"/>
              </w:rPr>
            </w:pPr>
          </w:p>
        </w:tc>
        <w:tc>
          <w:tcPr>
            <w:tcW w:w="28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25"/>
        </w:trPr>
        <w:tc>
          <w:tcPr>
            <w:tcW w:w="8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 first mortgages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1,081,359</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Residential home equity and other junior mortgages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319,157</w:t>
            </w:r>
          </w:p>
        </w:tc>
        <w:tc>
          <w:tcPr>
            <w:tcW w:w="0" w:type="dxa"/>
            <w:vAlign w:val="bottom"/>
          </w:tcPr>
          <w:p>
            <w:pPr>
              <w:spacing w:after="0"/>
              <w:rPr>
                <w:sz w:val="1"/>
                <w:szCs w:val="1"/>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874,019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624,047</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423,055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0" w:type="dxa"/>
            <w:vAlign w:val="bottom"/>
          </w:tcPr>
          <w:p>
            <w:pPr>
              <w:spacing w:after="0"/>
              <w:rPr>
                <w:sz w:val="1"/>
                <w:szCs w:val="1"/>
                <w:color w:val="auto"/>
              </w:rPr>
            </w:pP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loans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3,509,809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3,465,352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5"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residential and non-residential commercial loans secured by real estate.</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loans secured by multi-family residential and non-farm, non-residential property.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Non-performing assets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31,</w:t>
            </w:r>
          </w:p>
        </w:tc>
        <w:tc>
          <w:tcPr>
            <w:tcW w:w="20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7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7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90 days or more past due and still accruing interest</w:t>
            </w:r>
          </w:p>
        </w:tc>
        <w:tc>
          <w:tcPr>
            <w:tcW w:w="2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Government guaranteed loans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7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3,721</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real estate and repossessed assets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455</w:t>
            </w:r>
          </w:p>
        </w:tc>
      </w:tr>
      <w:tr>
        <w:trPr>
          <w:trHeight w:val="248"/>
        </w:trPr>
        <w:tc>
          <w:tcPr>
            <w:tcW w:w="7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 of Portfolio Loans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Non-performing loans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0.11 %</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a percent of non-performing loans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1409.16</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Non-performing loans have remained relatively stable since year-end 2022, reflecting generally improving economic conditions and our ongoing collection efforts. Our collection and resolution efforts have generally resulted in a positive trend in non-performing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real estate and repossessed assets totaled $0.50 million and $0.46 million at March 31, 2023, and December 31, 2022, respectively.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49" w:lineRule="exact"/>
        <w:rPr>
          <w:sz w:val="20"/>
          <w:szCs w:val="20"/>
          <w:color w:val="auto"/>
        </w:rPr>
      </w:pPr>
    </w:p>
    <w:p>
      <w:pPr>
        <w:ind w:right="380"/>
        <w:spacing w:after="0" w:line="477" w:lineRule="auto"/>
        <w:rPr>
          <w:sz w:val="20"/>
          <w:szCs w:val="20"/>
          <w:color w:val="auto"/>
        </w:rPr>
      </w:pPr>
      <w:r>
        <w:rPr>
          <w:rFonts w:ascii="Times New Roman" w:cs="Times New Roman" w:eastAsia="Times New Roman" w:hAnsi="Times New Roman"/>
          <w:sz w:val="18"/>
          <w:szCs w:val="18"/>
          <w:color w:val="auto"/>
        </w:rPr>
        <w:t xml:space="preserve">The following tables reflect activity in our ACL on loans, securities and unfunded lending commitments as well as the allocation of our ACL on loans. </w:t>
      </w:r>
      <w:r>
        <w:rPr>
          <w:rFonts w:ascii="Times New Roman" w:cs="Times New Roman" w:eastAsia="Times New Roman" w:hAnsi="Times New Roman"/>
          <w:sz w:val="18"/>
          <w:szCs w:val="18"/>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Unfunded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Commitments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Commitments</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included in non-interest expense</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loans charged (recovered) against the</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allowance to average Portfolio Loans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Allocation of the Allowance for Credit Losses on Loans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Specific allocations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 analysis allocations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allocations based on subjective factors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52,435</w:t>
            </w:r>
          </w:p>
        </w:tc>
      </w:tr>
      <w:tr>
        <w:trPr>
          <w:trHeight w:val="21"/>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decreased $1.9 million to $50.6 million at March 31, 2023 from $52.4 million at December 31, 2022, and was equal to 1.44% and 1.51% of total Portfolio Loans at March 31, 2023, and December 31, 2022,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December 31, 2022, the ACL related to specific loans decreased $1.2 million due primarily to one commercial loan that was partially charged-off during the first quarter. The ACL related to pooled analysis of loans decreased $0.8 million due primarily to a decline in the expected duration of the mortgage loan portfolio. The ACL related to subjective factors increased modestly reflecting loan growth during the first quarter.</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Deposits and borrowings. </w:t>
      </w:r>
      <w:r>
        <w:rPr>
          <w:rFonts w:ascii="Times New Roman" w:cs="Times New Roman" w:eastAsia="Times New Roman" w:hAnsi="Times New Roman"/>
          <w:sz w:val="18"/>
          <w:szCs w:val="18"/>
          <w:color w:val="auto"/>
        </w:rPr>
        <w:t>Historically, the loyalty of our customer base has allowed us to price deposits competitively, contributing to a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Deposits totaled $4.54 billion and $4.38 billion at March 31, 2023, and December 31, 2022, respectively. The increase in deposits is primarily due to growth in reciprocal deposits, time deposits and brokered time deposits that were partially offset by a decrease in non-interest bearing deposits. Reciprocal deposits totaled $685.5 million and $602.6 million at March 31, 2023 and December 31, 2022,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sure that we will be able to maintain our current level of core deposits. In particular, those deposits that are uninsured may be susceptible to outflow. Data relating to our our deposit portfolios (excluding brokered time)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March 31,</w:t>
            </w:r>
          </w:p>
        </w:tc>
        <w:tc>
          <w:tcPr>
            <w:tcW w:w="320" w:type="dxa"/>
            <w:vAlign w:val="bottom"/>
          </w:tcPr>
          <w:p>
            <w:pPr>
              <w:spacing w:after="0"/>
              <w:rPr>
                <w:sz w:val="17"/>
                <w:szCs w:val="17"/>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0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29"/>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Uninsured deposits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964,927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975,938</w:t>
            </w:r>
          </w:p>
        </w:tc>
      </w:tr>
      <w:tr>
        <w:trPr>
          <w:trHeight w:val="229"/>
        </w:trPr>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Uninsured deposits as a percentage of deposits</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r>
      <w:tr>
        <w:trPr>
          <w:trHeight w:val="230"/>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deposit account size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19.63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16.33</w:t>
            </w:r>
          </w:p>
        </w:tc>
      </w:tr>
      <w:tr>
        <w:trPr>
          <w:trHeight w:val="229"/>
        </w:trPr>
        <w:tc>
          <w:tcPr>
            <w:tcW w:w="7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Balance of top 100 largest depositors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835,879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752,924</w:t>
            </w:r>
          </w:p>
        </w:tc>
      </w:tr>
      <w:tr>
        <w:trPr>
          <w:trHeight w:val="230"/>
        </w:trPr>
        <w:tc>
          <w:tcPr>
            <w:tcW w:w="7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Balance of top 100 depositors as a percentage of deposits</w:t>
            </w: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borrowings, comprised primarily of FRB and FHLB borrowings, totaled $50.0 million and $86.0 million at March 31, 2023, and December 31, 2022, respectively.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we have utilized wholesale funding, including federal funds purchased, FHLB and FRB borrowings and Brokered CDs to augment our core deposits and fund a portion of our assets. At March 31, 2023, our use of such wholesale funding sources (including reciprocal deposits) amounted to approximately $1.02 billion, or 22.2%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employed derivative financial instruments to manage our exposure to changes in interest rates. During the first three months of 2023 and 2022, we entered into $19.5 million and $11.2 million (aggregate notional amounts), respectively, of interest rate swaps with commercial loan customers, which were offset with interest rate swaps that the Bank entered into with a broker-dealer. We recorded $0.4 million and $0.2 million of fee income related to these transactions during the first three months of 2023 and 2022, respectively. See note #6 to the Condensed Consolidated Financial Statements included within this report for more information on our derivative financial instruments.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Liquidity risk is the risk of being unable to timely meet obligations as they come due at a reasonable funding cost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funds include our deposit base, secured advances from the FHLB and FRB, federal funds purchased borrowing facilities with other banks, and access to the capital markets (for Brokered CDs). At March 31, 2023, in addition to liquidity available from our normal operating, funding and investing activities we had unused credit lines with the FHLB and FRB of approximately $930.1 million and $502.7 million, respectively. We also had approximately $928.5 million in fair value of unpledged securities AFS and HTM at March 31, 2023, which could be pledged for an estimated additional borrowing capacity at the FHLB and FRB of approximately $854.9 million.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2023, we had $696.8 million of time deposits that mature in the next 12 months. Historically, a majority of these maturing time deposits are renewed by our customers. Additionally, $3.78 billion of our deposits at March 31, 2023,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that the available cash on hand at the parent company (including time deposits) of approximately $50.7 million as of March 31, 2023,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8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7"/>
        </w:trPr>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debentures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not qualifying as regulatory capital</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Amount qualifying as regulatory capital</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78,436</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320,991</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119,368</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347,596</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capitalization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426,032</w:t>
            </w: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March 31, 2023, balance of $39.5 million is net of remaining unamortized deferred issuance costs of approximately $0.5 million that are being amortized through the maturity date into interest expense on other borrowings and subordinated debt and debentures in our Condensed Consolidated Statements of Operations.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four special purpose entities with $39.7 million of outstanding cumulative trust preferred securities as of March 31, 2023.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2023, and December 31,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shareholders’ equity increased to $367.7 million at March 31, 2023, from $347.6 million at December 31, 2022. The increase is primarily due to a $12.0 million decrease in accumulated other comprehensive loss related to unrealized losses on securities AFS as well as earnings retention. Our tangible common equity (“TCE”) totaled $337.0 million and $316.7 million, respectively, at those same dates. Our ratio of TCE to tangible assets was 6.60% and 6.37% at March 31,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2023, and December 31, 2022, respectively. TCE and the ratio of TCE to tangible assets are non-GAAP measures. TCE represents total common equity less goodwill and other intangible assets.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2022, our Board of Directors authorized a 2023 share repurchase plan. Under the terms of the 2023 share repurchase plan, we are authorized to buy back up to 1,100,000, or approximately 5% of our outstanding common stock. The Company did not repurchase any shares during the first three months of 2023.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quarterly cash dividend on our common stock. These dividends totaled $0.23 per share and $0.22 per share in the first three months of 2023 and 2022, respectively. We generally favor a dividend payout ratio between 30% and 50% of net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our Bank (and holding company) continued to meet the requirements to be considered “well-capitalized” under federal regulatory standards (also see note #10 to the Condensed Consolidated Financial Statements included within this report).</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Asset/liability management. </w:t>
      </w:r>
      <w:r>
        <w:rPr>
          <w:rFonts w:ascii="Times New Roman" w:cs="Times New Roman" w:eastAsia="Times New Roman" w:hAnsi="Times New Roman"/>
          <w:sz w:val="18"/>
          <w:szCs w:val="18"/>
          <w:color w:val="auto"/>
        </w:rPr>
        <w:t>Interest-rate risk is created by differences in the cash flow characteristics of our assets and liabilities. Options embedded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financial instruments, including caps on adjustable-rate loans as well as borrowers’ rights to prepay fixed-rate loans, also create interest-rate risk.</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March 31, 2023, both our interest rate risk profile as measured by our short term earnings simulation and our longer term interest rate risk measure based on changes in economic value indicates exposure to rising rates. These measures are largely unchanged from December 31, 2022 as an adverse impact of changes in our deposit mix were offset by a favorable impact of additional hedging and term funding transactions. In addition, at March 31, 2023 our simulation base-rate scenario declined from December 31, 2023 due primarily to the changes in our funding mix and change in deposit pricing betas.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CHANGES IN MARKET VALUE OF PORTFOLIO EQUITY AND NET INTEREST INCOME</w:t>
            </w: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8"/>
                <w:szCs w:val="18"/>
                <w:color w:val="auto"/>
              </w:rPr>
            </w:pPr>
          </w:p>
        </w:tc>
        <w:tc>
          <w:tcPr>
            <w:tcW w:w="15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65"/>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Equity(1)</w:t>
            </w: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Income(2)</w:t>
            </w: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460,200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161,200</w:t>
            </w:r>
          </w:p>
        </w:tc>
        <w:tc>
          <w:tcPr>
            <w:tcW w:w="142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(1.10)%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506,900</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(8.45)</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162,600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553,700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163,000</w:t>
            </w:r>
          </w:p>
        </w:tc>
        <w:tc>
          <w:tcPr>
            <w:tcW w:w="142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592,200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161,300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604,900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158,400</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 rise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457,800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165,800</w:t>
            </w:r>
          </w:p>
        </w:tc>
        <w:tc>
          <w:tcPr>
            <w:tcW w:w="1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(0.90)%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rise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500,700</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167,000</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Base-rate scenario</w:t>
            </w:r>
          </w:p>
        </w:tc>
        <w:tc>
          <w:tcPr>
            <w:tcW w:w="240" w:type="dxa"/>
            <w:vAlign w:val="bottom"/>
          </w:tcPr>
          <w:p>
            <w:pPr>
              <w:spacing w:after="0"/>
              <w:rPr>
                <w:sz w:val="19"/>
                <w:szCs w:val="19"/>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544,100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167,300</w:t>
            </w:r>
          </w:p>
        </w:tc>
        <w:tc>
          <w:tcPr>
            <w:tcW w:w="14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decline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586,400</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166,600</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 decline</w:t>
            </w:r>
          </w:p>
        </w:tc>
        <w:tc>
          <w:tcPr>
            <w:tcW w:w="24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608,800</w:t>
            </w: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11.89</w:t>
            </w:r>
          </w:p>
        </w:tc>
        <w:tc>
          <w:tcPr>
            <w:tcW w:w="28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164,000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98" w:lineRule="exact"/>
        <w:rPr>
          <w:sz w:val="20"/>
          <w:szCs w:val="20"/>
          <w:color w:val="auto"/>
        </w:rPr>
      </w:pPr>
    </w:p>
    <w:p>
      <w:pPr>
        <w:jc w:val="both"/>
        <w:ind w:left="340" w:hanging="332"/>
        <w:spacing w:after="0" w:line="257"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Accounting standards update. </w:t>
      </w:r>
      <w:r>
        <w:rPr>
          <w:rFonts w:ascii="Times New Roman" w:cs="Times New Roman" w:eastAsia="Times New Roman" w:hAnsi="Times New Roman"/>
          <w:sz w:val="18"/>
          <w:szCs w:val="18"/>
          <w:color w:val="auto"/>
        </w:rPr>
        <w:t>See note #2 to the Condensed Consolidated Financial Statements included elsewhere in this report for details on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accounting pronouncements and their impact on our interim condensed consolidated financial statements.</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valuation of financial instruments. </w:t>
      </w:r>
      <w:r>
        <w:rPr>
          <w:rFonts w:ascii="Times New Roman" w:cs="Times New Roman" w:eastAsia="Times New Roman" w:hAnsi="Times New Roman"/>
          <w:sz w:val="18"/>
          <w:szCs w:val="18"/>
          <w:color w:val="auto"/>
        </w:rPr>
        <w:t>Financial Accounting Standards Board (“FASB”) Accounting Standards Codification (“ASC”) Topic 820 -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ITIGATION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amount we have accrued for losses we consider probable as a result of litigation matters is immaterial. However, because of the inherent uncertainty of outcomes from any litigation matter, we believe it is reasonably possible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RITICAL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2022.</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4"/>
          <w:szCs w:val="14"/>
          <w:b w:val="1"/>
          <w:bCs w:val="1"/>
          <w:color w:val="auto"/>
        </w:rPr>
        <w:t>UANTITATIVE AND</w:t>
      </w:r>
      <w:r>
        <w:rPr>
          <w:rFonts w:ascii="Times New Roman" w:cs="Times New Roman" w:eastAsia="Times New Roman" w:hAnsi="Times New Roman"/>
          <w:sz w:val="18"/>
          <w:szCs w:val="18"/>
          <w:b w:val="1"/>
          <w:bCs w:val="1"/>
          <w:color w:val="auto"/>
        </w:rPr>
        <w:t xml:space="preserve"> Q</w:t>
      </w:r>
      <w:r>
        <w:rPr>
          <w:rFonts w:ascii="Times New Roman" w:cs="Times New Roman" w:eastAsia="Times New Roman" w:hAnsi="Times New Roman"/>
          <w:sz w:val="14"/>
          <w:szCs w:val="14"/>
          <w:b w:val="1"/>
          <w:bCs w:val="1"/>
          <w:color w:val="auto"/>
        </w:rPr>
        <w:t>UALITATIVE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ISCLOSURES ABOUT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applicable disclosures set forth in “Management’s Discussion and Analysis of Financial Condition and Results of Operations” in Item 2 under the caption “Asset/liability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ONTROLS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89"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84"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2023, have concluded that, as of such date, our disclosure controls and procedures were effective.</w:t>
      </w:r>
    </w:p>
    <w:p>
      <w:pPr>
        <w:spacing w:after="0" w:line="14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w:t>
      </w:r>
    </w:p>
    <w:p>
      <w:pPr>
        <w:spacing w:after="0" w:line="184"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2023,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-119380</wp:posOffset>
            </wp:positionV>
            <wp:extent cx="60833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330" cy="128905"/>
                    </a:xfrm>
                    <a:prstGeom prst="rect">
                      <a:avLst/>
                    </a:prstGeom>
                    <a:noFill/>
                  </pic:spPr>
                </pic:pic>
              </a:graphicData>
            </a:graphic>
          </wp:anchor>
        </w:drawing>
      </w:r>
    </w:p>
    <w:p>
      <w:pPr>
        <w:jc w:val="both"/>
        <w:spacing w:after="0" w:line="243" w:lineRule="auto"/>
        <w:rPr>
          <w:sz w:val="20"/>
          <w:szCs w:val="20"/>
          <w:color w:val="auto"/>
        </w:rPr>
      </w:pPr>
      <w:r>
        <w:rPr>
          <w:rFonts w:ascii="Times New Roman" w:cs="Times New Roman" w:eastAsia="Times New Roman" w:hAnsi="Times New Roman"/>
          <w:sz w:val="18"/>
          <w:szCs w:val="18"/>
          <w:color w:val="auto"/>
        </w:rPr>
        <w:t>In adition to the risk factors disclosed in Item 1A. Risk Factors of our Annual Report on Form 10-K for the year ended December 31, 2022 the following risk factors apply to the Company:</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developments affecting the financial services industry, including recent bank failures and the resulting liquidity concerns, may have a material effect on our business, financial condition, results of operations, or cash flows.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Recent developments and events, including the closures of Silicon Valley Bank and Signature Bank due to large-scale deposit withdrawals over a short period of time, created liquidity risks and concerns within the financial services industry, as well as decreased confidences in banks among depositors, investors, and other counterparties. In general, these events have caused volatility and disruption in the capital markets, as well as reduced valuations of equity and other securities of banks, which may increase the risk of a potential recession. These failures have also highlighted the importance of maintaining diversified funding sources. These market conditions and related factors may impact the competitive landscape for deposits in the financial services industry in an unpredictable manner.</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Specifically, these developments and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which is being used to ensure that all depositors in Silicon Valley Bank and Signature Bank are made whole at no cost to taxpayers. The recent bank failures may also prompt changes to laws or regulations governing banks, which could impact our profitability and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2023, the Company issued 344 shares of common stock to non-employee directors on a current basis and 3,274 shares of common stock to the trust for distribution to directors on a deferred basis. These shares were issued on April 1, 2023 representing aggregate fees of $0.09 million. The shares on a current basis were issued at a price of $23.92 per share and the shares on a deferred basis were issued at a price of $21.53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certain information relating to repurchases of common stock for the three-months ended March 31,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16"/>
        </w:trPr>
        <w:tc>
          <w:tcPr>
            <w:tcW w:w="51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Authorized</w:t>
            </w:r>
          </w:p>
        </w:tc>
      </w:tr>
      <w:tr>
        <w:trPr>
          <w:trHeight w:val="216"/>
        </w:trPr>
        <w:tc>
          <w:tcPr>
            <w:tcW w:w="51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 Price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Purchase</w:t>
            </w:r>
          </w:p>
        </w:tc>
      </w:tr>
      <w:tr>
        <w:trPr>
          <w:trHeight w:val="261"/>
        </w:trPr>
        <w:tc>
          <w:tcPr>
            <w:tcW w:w="51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Paid Per Share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 the Plan</w:t>
            </w:r>
          </w:p>
        </w:tc>
      </w:tr>
      <w:tr>
        <w:trPr>
          <w:trHeight w:val="22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80" w:type="dxa"/>
            <w:vAlign w:val="bottom"/>
          </w:tcPr>
          <w:p>
            <w:pPr>
              <w:spacing w:after="0"/>
              <w:rPr>
                <w:sz w:val="19"/>
                <w:szCs w:val="19"/>
                <w:color w:val="auto"/>
              </w:rPr>
            </w:pPr>
          </w:p>
        </w:tc>
        <w:tc>
          <w:tcPr>
            <w:tcW w:w="15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340" w:hanging="332"/>
        <w:spacing w:after="0" w:line="242" w:lineRule="auto"/>
        <w:tabs>
          <w:tab w:leader="none" w:pos="2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January, February and March include 24,484 shares, 524 shares and 2,634 shares, respectively, withheld from the shares that would otherwise have been issued to certain officers in order to satisfy the tax withholding obligations </w:t>
      </w:r>
      <w:r>
        <w:rPr>
          <w:rFonts w:ascii="Times New Roman" w:cs="Times New Roman" w:eastAsia="Times New Roman" w:hAnsi="Times New Roman"/>
          <w:sz w:val="16"/>
          <w:szCs w:val="16"/>
          <w:color w:val="auto"/>
        </w:rPr>
        <w:t>resulting from the vesting of restricted stock</w:t>
      </w:r>
      <w:r>
        <w:rPr>
          <w:rFonts w:ascii="Times New Roman" w:cs="Times New Roman" w:eastAsia="Times New Roman" w:hAnsi="Times New Roman"/>
          <w:sz w:val="18"/>
          <w:szCs w:val="18"/>
          <w:color w:val="auto"/>
        </w:rPr>
        <w:t xml:space="preserve"> and performance share units as well as satisfy the tax withholding obligations and stock option exercise price resulting from the exercise of stock options. </w:t>
      </w:r>
      <w:r>
        <w:rPr>
          <w:rFonts w:ascii="Times New Roman" w:cs="Times New Roman" w:eastAsia="Times New Roman" w:hAnsi="Times New Roman"/>
          <w:sz w:val="16"/>
          <w:szCs w:val="16"/>
          <w:color w:val="auto"/>
        </w:rPr>
        <w:t>February also includes 42,067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 our common stock purchased in the open market by the Independent Bank Corporation Employee Stock Ownership Trust as part of our employee stock ownership plan.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pacing w:after="0" w:line="225" w:lineRule="exact"/>
        <w:rPr>
          <w:sz w:val="20"/>
          <w:szCs w:val="20"/>
          <w:color w:val="auto"/>
        </w:rPr>
      </w:pPr>
    </w:p>
    <w:p>
      <w:pPr>
        <w:ind w:left="920" w:hanging="566"/>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8"/>
          <w:szCs w:val="18"/>
          <w:color w:val="auto"/>
        </w:rPr>
      </w:pPr>
    </w:p>
    <w:p>
      <w:pPr>
        <w:ind w:left="1600" w:right="20" w:hanging="688"/>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auto"/>
        </w:rPr>
        <w:t>Certificate of the Chief Executive Officer of Independent Bank Corporation pursuant to Section 302 of the Sarbanes-Oxley Act of 2002 (18 U.S.C. 1350).</w:t>
      </w:r>
    </w:p>
    <w:p>
      <w:pPr>
        <w:spacing w:after="0" w:line="10" w:lineRule="exact"/>
        <w:rPr>
          <w:rFonts w:ascii="Times New Roman" w:cs="Times New Roman" w:eastAsia="Times New Roman" w:hAnsi="Times New Roman"/>
          <w:sz w:val="18"/>
          <w:szCs w:val="18"/>
          <w:color w:val="auto"/>
        </w:rPr>
      </w:pPr>
    </w:p>
    <w:p>
      <w:pPr>
        <w:ind w:left="1600" w:right="2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auto"/>
        </w:rPr>
        <w:t>Certificate of the Chief Financial Officer of Independent Bank Corporation pursuant to Section 302 of the Sarbanes-Oxley Act of 2002 (18 U.S.C. 1350).</w:t>
      </w:r>
    </w:p>
    <w:p>
      <w:pPr>
        <w:spacing w:after="0" w:line="9" w:lineRule="exact"/>
        <w:rPr>
          <w:rFonts w:ascii="Times New Roman" w:cs="Times New Roman" w:eastAsia="Times New Roman" w:hAnsi="Times New Roman"/>
          <w:sz w:val="18"/>
          <w:szCs w:val="18"/>
          <w:color w:val="auto"/>
        </w:rPr>
      </w:pPr>
    </w:p>
    <w:p>
      <w:pPr>
        <w:ind w:left="1600" w:right="2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auto"/>
        </w:rPr>
        <w:t>Certificate of the Chief Executive Officer of Independent Bank Corporation pursuant to Section 906 of the Sarbanes-Oxley Act of 2002 (18 U.S.C. 1350).</w:t>
      </w:r>
    </w:p>
    <w:p>
      <w:pPr>
        <w:spacing w:after="0" w:line="9" w:lineRule="exact"/>
        <w:rPr>
          <w:rFonts w:ascii="Times New Roman" w:cs="Times New Roman" w:eastAsia="Times New Roman" w:hAnsi="Times New Roman"/>
          <w:sz w:val="18"/>
          <w:szCs w:val="18"/>
          <w:color w:val="auto"/>
        </w:rPr>
      </w:pPr>
    </w:p>
    <w:p>
      <w:pPr>
        <w:ind w:left="1600" w:right="20" w:hanging="688"/>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265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600" w:right="20" w:hanging="683"/>
        <w:spacing w:after="0" w:line="237" w:lineRule="auto"/>
        <w:tabs>
          <w:tab w:leader="none" w:pos="1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60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600" w:hanging="683"/>
        <w:spacing w:after="0"/>
        <w:tabs>
          <w:tab w:leader="none" w:pos="1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600" w:hanging="683"/>
        <w:spacing w:after="0"/>
        <w:tabs>
          <w:tab w:leader="none" w:pos="1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Inline XBRL Taxonomy Extension Calculation Linkbase Document</w:t>
      </w:r>
    </w:p>
    <w:p>
      <w:pPr>
        <w:spacing w:after="0" w:line="23" w:lineRule="exact"/>
        <w:rPr>
          <w:sz w:val="20"/>
          <w:szCs w:val="20"/>
          <w:color w:val="auto"/>
        </w:rPr>
      </w:pPr>
    </w:p>
    <w:p>
      <w:pPr>
        <w:ind w:left="1600" w:hanging="683"/>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600" w:hanging="683"/>
        <w:spacing w:after="0"/>
        <w:tabs>
          <w:tab w:leader="none" w:pos="1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Inline XBRL Taxonomy Extension Label Linkbase Document</w:t>
      </w:r>
    </w:p>
    <w:p>
      <w:pPr>
        <w:spacing w:after="0" w:line="23" w:lineRule="exact"/>
        <w:rPr>
          <w:sz w:val="20"/>
          <w:szCs w:val="20"/>
          <w:color w:val="auto"/>
        </w:rPr>
      </w:pPr>
    </w:p>
    <w:p>
      <w:pPr>
        <w:ind w:left="1600" w:hanging="683"/>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600" w:hanging="683"/>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tabs>
          <w:tab w:leader="none" w:pos="2460" w:val="left"/>
          <w:tab w:leader="none" w:pos="602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780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1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Gavin A. Mohr, Principal Financial Officer</w:t>
      </w:r>
    </w:p>
    <w:p>
      <w:pPr>
        <w:spacing w:after="0" w:line="293" w:lineRule="exact"/>
        <w:rPr>
          <w:sz w:val="20"/>
          <w:szCs w:val="20"/>
          <w:color w:val="auto"/>
        </w:rPr>
      </w:pPr>
    </w:p>
    <w:p>
      <w:pPr>
        <w:ind w:left="20"/>
        <w:spacing w:after="0"/>
        <w:tabs>
          <w:tab w:leader="none" w:pos="2460" w:val="left"/>
          <w:tab w:leader="none" w:pos="602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5,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780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9" w:right="339" w:bottom="1440" w:gutter="0" w:footer="0" w:header="0"/>
        </w:sectPr>
      </w:pPr>
    </w:p>
    <w:bookmarkStart w:id="75" w:name="page76"/>
    <w:bookmarkEnd w:id="75"/>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Kessel, certify that:</w:t>
      </w:r>
    </w:p>
    <w:p>
      <w:pPr>
        <w:spacing w:after="0" w:line="18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306"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5, 2023</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34290</wp:posOffset>
            </wp:positionV>
            <wp:extent cx="32232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William B. Kessel</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07" w:right="339" w:bottom="1440" w:gutter="0" w:footer="0" w:header="0"/>
        </w:sectPr>
      </w:pPr>
    </w:p>
    <w:bookmarkStart w:id="76" w:name="page77"/>
    <w:bookmarkEnd w:id="76"/>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A. Mohr, certify that:</w:t>
      </w:r>
    </w:p>
    <w:p>
      <w:pPr>
        <w:spacing w:after="0" w:line="18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Independent Bank Corporation;</w:t>
      </w:r>
    </w:p>
    <w:p>
      <w:pPr>
        <w:spacing w:after="0" w:line="27"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644"/>
        <w:spacing w:after="0" w:line="250"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20" w:hanging="644"/>
        <w:spacing w:after="0" w:line="250" w:lineRule="auto"/>
        <w:tabs>
          <w:tab w:leader="none" w:pos="12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Gavin A. Mohr</w:t>
            </w:r>
          </w:p>
        </w:tc>
      </w:tr>
      <w:tr>
        <w:trPr>
          <w:trHeight w:val="234"/>
        </w:trPr>
        <w:tc>
          <w:tcPr>
            <w:tcW w:w="616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0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William B. Kessel, President and Chief Executive Officer of Independent Bank Corporation, certify, to the best of my knowledge and belief, pursuant to Section 906 of the Sarbanes-Oxley Act of 2002 (18 U.S.C. 1350) that:</w:t>
      </w:r>
    </w:p>
    <w:p>
      <w:pPr>
        <w:spacing w:after="0" w:line="135" w:lineRule="exact"/>
        <w:rPr>
          <w:sz w:val="20"/>
          <w:szCs w:val="20"/>
          <w:color w:val="auto"/>
        </w:rPr>
      </w:pPr>
    </w:p>
    <w:p>
      <w:pPr>
        <w:ind w:left="1300" w:hanging="644"/>
        <w:spacing w:after="0" w:line="282"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2023, which this statement accompanies, fully complies with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31, 2023, fairly presents, in all material respects, the financial condition and results of operations of Independent Bank Corporation.</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B. Kessel</w:t>
            </w:r>
          </w:p>
        </w:tc>
      </w:tr>
      <w:tr>
        <w:trPr>
          <w:trHeight w:val="218"/>
        </w:trPr>
        <w:tc>
          <w:tcPr>
            <w:tcW w:w="616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William B. Kessel</w:t>
            </w:r>
          </w:p>
        </w:tc>
      </w:tr>
      <w:tr>
        <w:trPr>
          <w:trHeight w:val="234"/>
        </w:trPr>
        <w:tc>
          <w:tcPr>
            <w:tcW w:w="6160" w:type="dxa"/>
            <w:vAlign w:val="bottom"/>
          </w:tcPr>
          <w:p>
            <w:pPr>
              <w:spacing w:after="0"/>
              <w:rPr>
                <w:sz w:val="20"/>
                <w:szCs w:val="20"/>
                <w:color w:val="auto"/>
              </w:rPr>
            </w:pPr>
          </w:p>
        </w:tc>
        <w:tc>
          <w:tcPr>
            <w:tcW w:w="5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10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Gavin A. Mohr, Chief Financial Officer of Independent Bank Corporation, certify, to the best of my knowledge and belief, pursuant to Section 906 of the Sarbanes-Oxley Act of 2002 (18 U.S.C. 1350) that:</w:t>
      </w:r>
    </w:p>
    <w:p>
      <w:pPr>
        <w:spacing w:after="0" w:line="135" w:lineRule="exact"/>
        <w:rPr>
          <w:sz w:val="20"/>
          <w:szCs w:val="20"/>
          <w:color w:val="auto"/>
        </w:rPr>
      </w:pPr>
    </w:p>
    <w:p>
      <w:pPr>
        <w:ind w:left="1300" w:hanging="644"/>
        <w:spacing w:after="0" w:line="282"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2023, which this statement accompanies, fully complies with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March 31, 2023, fairly presents, in all material respects, the financial condition and results of operations of Independent Bank Corporation.</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tc>
      </w:tr>
      <w:tr>
        <w:trPr>
          <w:trHeight w:val="49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Gavin A. Mohr</w:t>
            </w:r>
          </w:p>
        </w:tc>
      </w:tr>
      <w:tr>
        <w:trPr>
          <w:trHeight w:val="218"/>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Gavin A. Mohr</w:t>
            </w:r>
          </w:p>
        </w:tc>
      </w:tr>
      <w:tr>
        <w:trPr>
          <w:trHeight w:val="234"/>
        </w:trPr>
        <w:tc>
          <w:tcPr>
            <w:tcW w:w="616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4"/>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lvl w:ilvl="1">
      <w:lvlJc w:val="left"/>
      <w:lvlText w:val="(%2)"/>
      <w:numFmt w:val="decimal"/>
      <w:start w:val="1"/>
    </w:lvl>
  </w:abstractNum>
  <w:abstractNum w:abstractNumId="14">
    <w:nsid w:val="7C3DBD3D"/>
    <w:multiLevelType w:val="hybridMultilevel"/>
    <w:lvl w:ilvl="0">
      <w:lvlJc w:val="left"/>
      <w:lvlText w:val="%1."/>
      <w:numFmt w:val="decimal"/>
      <w:start w:val="11"/>
    </w:lvl>
    <w:lvl w:ilvl="1">
      <w:lvlJc w:val="left"/>
      <w:lvlText w:val="%2"/>
      <w:numFmt w:val="decimal"/>
      <w:start w:val="1"/>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2"/>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3"/>
    </w:lvl>
  </w:abstractNum>
  <w:abstractNum w:abstractNumId="23">
    <w:nsid w:val="440BADFC"/>
    <w:multiLevelType w:val="hybridMultilevel"/>
    <w:lvl w:ilvl="0">
      <w:lvlJc w:val="left"/>
      <w:lvlText w:val="%1."/>
      <w:numFmt w:val="decimal"/>
      <w:start w:val="14"/>
    </w:lvl>
  </w:abstractNum>
  <w:abstractNum w:abstractNumId="24">
    <w:nsid w:val="5072367"/>
    <w:multiLevelType w:val="hybridMultilevel"/>
    <w:lvl w:ilvl="0">
      <w:lvlJc w:val="left"/>
      <w:lvlText w:val="$"/>
      <w:numFmt w:val="bullet"/>
      <w:start w:val="1"/>
    </w:lvl>
    <w:lvl w:ilvl="1">
      <w:lvlJc w:val="left"/>
      <w:lvlText w:val="(%2)"/>
      <w:numFmt w:val="decimal"/>
      <w:start w:val="47"/>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1."/>
      <w:numFmt w:val="decimal"/>
      <w:start w:val="15"/>
    </w:lvl>
  </w:abstractNum>
  <w:abstractNum w:abstractNumId="28">
    <w:nsid w:val="5C482A97"/>
    <w:multiLevelType w:val="hybridMultilevel"/>
    <w:lvl w:ilvl="0">
      <w:lvlJc w:val="left"/>
      <w:lvlText w:val="%1."/>
      <w:numFmt w:val="decimal"/>
      <w:start w:val="16"/>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decimal"/>
      <w:start w:val="101"/>
    </w:lvl>
  </w:abstractNum>
  <w:abstractNum w:abstractNumId="37">
    <w:nsid w:val="6A2342EC"/>
    <w:multiLevelType w:val="hybridMultilevel"/>
    <w:lvl w:ilvl="0">
      <w:lvlJc w:val="left"/>
      <w:lvlText w:val="%1."/>
      <w:numFmt w:val="decimal"/>
      <w:start w:val="101"/>
    </w:lvl>
  </w:abstractNum>
  <w:abstractNum w:abstractNumId="38">
    <w:nsid w:val="2A487CB0"/>
    <w:multiLevelType w:val="hybridMultilevel"/>
    <w:lvl w:ilvl="0">
      <w:lvlJc w:val="left"/>
      <w:lvlText w:val="%1."/>
      <w:numFmt w:val="decimal"/>
      <w:start w:val="101"/>
    </w:lvl>
  </w:abstractNum>
  <w:abstractNum w:abstractNumId="39">
    <w:nsid w:val="1D4ED43B"/>
    <w:multiLevelType w:val="hybridMultilevel"/>
    <w:lvl w:ilvl="0">
      <w:lvlJc w:val="left"/>
      <w:lvlText w:val="%1."/>
      <w:numFmt w:val="decimal"/>
      <w:start w:val="101"/>
    </w:lvl>
  </w:abstractNum>
  <w:abstractNum w:abstractNumId="40">
    <w:nsid w:val="725A06FB"/>
    <w:multiLevelType w:val="hybridMultilevel"/>
    <w:lvl w:ilvl="0">
      <w:lvlJc w:val="left"/>
      <w:lvlText w:val="%1."/>
      <w:numFmt w:val="decimal"/>
      <w:start w:val="10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2023-05-05T10:37:54Z</dcterms:created>
  <dcterms:modified xsi:type="dcterms:W3CDTF">2023-05-05T10:37:54Z</dcterms:modified>
</cp:coreProperties>
</file>