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205105</wp:posOffset>
            </wp:positionH>
            <wp:positionV relativeFrom="page">
              <wp:posOffset>678180</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702945</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SECURITIES AND EXCHANGE COMMISSION</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WASHINGTON, D.C. 20549</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31"/>
          <w:szCs w:val="31"/>
          <w:color w:val="auto"/>
        </w:rPr>
        <w:t>FORM 10-Q</w:t>
      </w:r>
    </w:p>
    <w:p>
      <w:pPr>
        <w:spacing w:after="0" w:line="191" w:lineRule="exact"/>
        <w:rPr>
          <w:sz w:val="24"/>
          <w:szCs w:val="24"/>
          <w:color w:val="auto"/>
        </w:rPr>
      </w:pPr>
    </w:p>
    <w:p>
      <w:pPr>
        <w:ind w:right="480"/>
        <w:spacing w:after="0" w:line="279" w:lineRule="auto"/>
        <w:rPr>
          <w:sz w:val="20"/>
          <w:szCs w:val="20"/>
          <w:color w:val="auto"/>
        </w:rPr>
      </w:pPr>
      <w:r>
        <w:rPr>
          <w:rFonts w:ascii="Arial" w:cs="Arial" w:eastAsia="Arial" w:hAnsi="Arial"/>
          <w:sz w:val="17"/>
          <w:szCs w:val="17"/>
          <w:color w:val="auto"/>
        </w:rPr>
        <w:t xml:space="preserve">QUARTERLY REPORT PURSUANT TO SECTION 13 OR 15(d) OF THE SECURITIES EXCHANGE ACT OF 1934 FOR THE QUARTERLY PERIOD ENDED </w:t>
      </w:r>
      <w:r>
        <w:rPr>
          <w:rFonts w:ascii="Arial" w:cs="Arial" w:eastAsia="Arial" w:hAnsi="Arial"/>
          <w:sz w:val="17"/>
          <w:szCs w:val="17"/>
          <w:u w:val="single" w:color="auto"/>
          <w:color w:val="auto"/>
        </w:rPr>
        <w:t>September 30, 2023</w:t>
      </w:r>
    </w:p>
    <w:p>
      <w:pPr>
        <w:spacing w:after="0" w:line="126" w:lineRule="exact"/>
        <w:rPr>
          <w:sz w:val="24"/>
          <w:szCs w:val="24"/>
          <w:color w:val="auto"/>
        </w:rPr>
      </w:pPr>
    </w:p>
    <w:p>
      <w:pPr>
        <w:spacing w:after="0"/>
        <w:rPr>
          <w:sz w:val="20"/>
          <w:szCs w:val="20"/>
          <w:color w:val="auto"/>
        </w:rPr>
      </w:pPr>
      <w:r>
        <w:rPr>
          <w:rFonts w:ascii="Arial" w:cs="Arial" w:eastAsia="Arial" w:hAnsi="Arial"/>
          <w:sz w:val="17"/>
          <w:szCs w:val="17"/>
          <w:color w:val="auto"/>
        </w:rPr>
        <w:t>Commission file number  0-7818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1087120</wp:posOffset>
            </wp:positionH>
            <wp:positionV relativeFrom="paragraph">
              <wp:posOffset>-8890</wp:posOffset>
            </wp:positionV>
            <wp:extent cx="391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41"/>
          <w:szCs w:val="41"/>
          <w:color w:val="auto"/>
        </w:rPr>
        <w:t>INDEPENDENT BANK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30480</wp:posOffset>
            </wp:positionV>
            <wp:extent cx="713867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69"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Michigan</w:t>
            </w:r>
          </w:p>
        </w:tc>
        <w:tc>
          <w:tcPr>
            <w:tcW w:w="80" w:type="dxa"/>
            <w:vAlign w:val="bottom"/>
          </w:tcPr>
          <w:p>
            <w:pPr>
              <w:spacing w:after="0"/>
              <w:rPr>
                <w:sz w:val="20"/>
                <w:szCs w:val="20"/>
                <w:color w:val="auto"/>
              </w:rPr>
            </w:pPr>
          </w:p>
        </w:tc>
        <w:tc>
          <w:tcPr>
            <w:tcW w:w="5580" w:type="dxa"/>
            <w:vAlign w:val="bottom"/>
            <w:tcBorders>
              <w:bottom w:val="single" w:sz="8" w:color="auto"/>
            </w:tcBorders>
          </w:tcPr>
          <w:p>
            <w:pPr>
              <w:jc w:val="right"/>
              <w:ind w:right="2294"/>
              <w:spacing w:after="0"/>
              <w:rPr>
                <w:sz w:val="20"/>
                <w:szCs w:val="20"/>
                <w:color w:val="auto"/>
              </w:rPr>
            </w:pPr>
            <w:r>
              <w:rPr>
                <w:rFonts w:ascii="Arial" w:cs="Arial" w:eastAsia="Arial" w:hAnsi="Arial"/>
                <w:sz w:val="17"/>
                <w:szCs w:val="17"/>
                <w:color w:val="auto"/>
              </w:rPr>
              <w:t>38-2032782</w:t>
            </w:r>
          </w:p>
        </w:tc>
      </w:tr>
      <w:tr>
        <w:trPr>
          <w:trHeight w:val="230"/>
        </w:trPr>
        <w:tc>
          <w:tcPr>
            <w:tcW w:w="566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(State or jurisdiction of Incorporation or Organization)</w:t>
            </w:r>
          </w:p>
        </w:tc>
        <w:tc>
          <w:tcPr>
            <w:tcW w:w="5580" w:type="dxa"/>
            <w:vAlign w:val="bottom"/>
          </w:tcPr>
          <w:p>
            <w:pPr>
              <w:jc w:val="center"/>
              <w:spacing w:after="0"/>
              <w:rPr>
                <w:sz w:val="20"/>
                <w:szCs w:val="20"/>
                <w:color w:val="auto"/>
              </w:rPr>
            </w:pPr>
            <w:r>
              <w:rPr>
                <w:rFonts w:ascii="Arial" w:cs="Arial" w:eastAsia="Arial" w:hAnsi="Arial"/>
                <w:sz w:val="17"/>
                <w:szCs w:val="17"/>
                <w:color w:val="auto"/>
                <w:w w:val="94"/>
              </w:rPr>
              <w:t>(I.R.S. Employer Identification Number)</w:t>
            </w:r>
          </w:p>
        </w:tc>
      </w:tr>
    </w:tbl>
    <w:p>
      <w:pPr>
        <w:spacing w:after="0" w:line="247" w:lineRule="exact"/>
        <w:rPr>
          <w:sz w:val="24"/>
          <w:szCs w:val="24"/>
          <w:color w:val="auto"/>
        </w:rPr>
      </w:pPr>
    </w:p>
    <w:p>
      <w:pPr>
        <w:ind w:left="3860"/>
        <w:spacing w:after="0"/>
        <w:rPr>
          <w:sz w:val="20"/>
          <w:szCs w:val="20"/>
          <w:color w:val="auto"/>
        </w:rPr>
      </w:pPr>
      <w:r>
        <w:rPr>
          <w:rFonts w:ascii="Arial" w:cs="Arial" w:eastAsia="Arial" w:hAnsi="Arial"/>
          <w:sz w:val="17"/>
          <w:szCs w:val="17"/>
          <w:color w:val="auto"/>
        </w:rPr>
        <w:t>4200 East Beltline, Grand Rapids, Michigan 49525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3867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55" w:lineRule="exact"/>
        <w:rPr>
          <w:sz w:val="24"/>
          <w:szCs w:val="24"/>
          <w:color w:val="auto"/>
        </w:rPr>
      </w:pPr>
    </w:p>
    <w:p>
      <w:pPr>
        <w:ind w:left="4260"/>
        <w:spacing w:after="0"/>
        <w:rPr>
          <w:sz w:val="20"/>
          <w:szCs w:val="20"/>
          <w:color w:val="auto"/>
        </w:rPr>
      </w:pPr>
      <w:r>
        <w:rPr>
          <w:rFonts w:ascii="Arial" w:cs="Arial" w:eastAsia="Arial" w:hAnsi="Arial"/>
          <w:sz w:val="17"/>
          <w:szCs w:val="17"/>
          <w:color w:val="auto"/>
        </w:rPr>
        <w:t>(Address of principal executive offices)</w:t>
      </w:r>
    </w:p>
    <w:p>
      <w:pPr>
        <w:spacing w:after="0" w:line="282" w:lineRule="exact"/>
        <w:rPr>
          <w:sz w:val="24"/>
          <w:szCs w:val="24"/>
          <w:color w:val="auto"/>
        </w:rPr>
      </w:pPr>
    </w:p>
    <w:p>
      <w:pPr>
        <w:jc w:val="center"/>
        <w:spacing w:after="0"/>
        <w:rPr>
          <w:sz w:val="20"/>
          <w:szCs w:val="20"/>
          <w:color w:val="auto"/>
        </w:rPr>
      </w:pPr>
      <w:r>
        <w:rPr>
          <w:rFonts w:ascii="Arial" w:cs="Arial" w:eastAsia="Arial" w:hAnsi="Arial"/>
          <w:sz w:val="17"/>
          <w:szCs w:val="17"/>
          <w:u w:val="single" w:color="auto"/>
          <w:color w:val="auto"/>
        </w:rPr>
        <w:t>(616) 527-5820</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3867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address and fiscal year, if changed since last report.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180" w:type="dxa"/>
            <w:vAlign w:val="bottom"/>
            <w:gridSpan w:val="2"/>
          </w:tcPr>
          <w:p>
            <w:pPr>
              <w:spacing w:after="0"/>
              <w:rPr>
                <w:sz w:val="20"/>
                <w:szCs w:val="20"/>
                <w:color w:val="auto"/>
              </w:rPr>
            </w:pPr>
            <w:r>
              <w:rPr>
                <w:rFonts w:ascii="Arial" w:cs="Arial" w:eastAsia="Arial" w:hAnsi="Arial"/>
                <w:sz w:val="17"/>
                <w:szCs w:val="17"/>
                <w:color w:val="auto"/>
                <w:w w:val="96"/>
              </w:rPr>
              <w:t>Securities registered pursuant to Section 12(b) of the Act:</w:t>
            </w: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20" w:type="dxa"/>
            <w:vAlign w:val="bottom"/>
          </w:tcPr>
          <w:p>
            <w:pPr>
              <w:spacing w:after="0"/>
              <w:rPr>
                <w:sz w:val="18"/>
                <w:szCs w:val="18"/>
                <w:color w:val="auto"/>
              </w:rPr>
            </w:pPr>
          </w:p>
        </w:tc>
      </w:tr>
      <w:tr>
        <w:trPr>
          <w:trHeight w:val="381"/>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Title of each Class</w:t>
            </w:r>
          </w:p>
        </w:tc>
        <w:tc>
          <w:tcPr>
            <w:tcW w:w="100" w:type="dxa"/>
            <w:vAlign w:val="bottom"/>
          </w:tcPr>
          <w:p>
            <w:pPr>
              <w:spacing w:after="0"/>
              <w:rPr>
                <w:sz w:val="24"/>
                <w:szCs w:val="24"/>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Trading Symbol</w:t>
            </w:r>
          </w:p>
        </w:tc>
        <w:tc>
          <w:tcPr>
            <w:tcW w:w="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Name of each exchange which registered</w:t>
            </w:r>
          </w:p>
        </w:tc>
      </w:tr>
      <w:tr>
        <w:trPr>
          <w:trHeight w:val="230"/>
        </w:trPr>
        <w:tc>
          <w:tcPr>
            <w:tcW w:w="4180" w:type="dxa"/>
            <w:vAlign w:val="bottom"/>
            <w:gridSpan w:val="2"/>
          </w:tcPr>
          <w:p>
            <w:pPr>
              <w:jc w:val="center"/>
              <w:ind w:right="80"/>
              <w:spacing w:after="0"/>
              <w:rPr>
                <w:sz w:val="20"/>
                <w:szCs w:val="20"/>
                <w:color w:val="auto"/>
              </w:rPr>
            </w:pPr>
            <w:r>
              <w:rPr>
                <w:rFonts w:ascii="Arial" w:cs="Arial" w:eastAsia="Arial" w:hAnsi="Arial"/>
                <w:sz w:val="17"/>
                <w:szCs w:val="17"/>
                <w:color w:val="auto"/>
                <w:w w:val="91"/>
              </w:rPr>
              <w:t>Common stock, no par value</w:t>
            </w:r>
          </w:p>
        </w:tc>
        <w:tc>
          <w:tcPr>
            <w:tcW w:w="2920" w:type="dxa"/>
            <w:vAlign w:val="bottom"/>
            <w:gridSpan w:val="2"/>
          </w:tcPr>
          <w:p>
            <w:pPr>
              <w:jc w:val="center"/>
              <w:ind w:right="100"/>
              <w:spacing w:after="0"/>
              <w:rPr>
                <w:sz w:val="20"/>
                <w:szCs w:val="20"/>
                <w:color w:val="auto"/>
              </w:rPr>
            </w:pPr>
            <w:r>
              <w:rPr>
                <w:rFonts w:ascii="Arial" w:cs="Arial" w:eastAsia="Arial" w:hAnsi="Arial"/>
                <w:sz w:val="17"/>
                <w:szCs w:val="17"/>
                <w:color w:val="auto"/>
                <w:w w:val="95"/>
              </w:rPr>
              <w:t>IBCP</w:t>
            </w:r>
          </w:p>
        </w:tc>
        <w:tc>
          <w:tcPr>
            <w:tcW w:w="4120" w:type="dxa"/>
            <w:vAlign w:val="bottom"/>
          </w:tcPr>
          <w:p>
            <w:pPr>
              <w:jc w:val="center"/>
              <w:spacing w:after="0"/>
              <w:rPr>
                <w:sz w:val="20"/>
                <w:szCs w:val="20"/>
                <w:color w:val="auto"/>
              </w:rPr>
            </w:pPr>
            <w:r>
              <w:rPr>
                <w:rFonts w:ascii="Arial" w:cs="Arial" w:eastAsia="Arial" w:hAnsi="Arial"/>
                <w:sz w:val="17"/>
                <w:szCs w:val="17"/>
                <w:color w:val="auto"/>
                <w:w w:val="92"/>
              </w:rPr>
              <w:t>The Nasdaq Stock Market, LLC</w:t>
            </w:r>
          </w:p>
        </w:tc>
      </w:tr>
    </w:tbl>
    <w:p>
      <w:pPr>
        <w:spacing w:after="0" w:line="260" w:lineRule="exact"/>
        <w:rPr>
          <w:sz w:val="24"/>
          <w:szCs w:val="24"/>
          <w:color w:val="auto"/>
        </w:rPr>
      </w:pPr>
    </w:p>
    <w:p>
      <w:pPr>
        <w:ind w:right="40"/>
        <w:spacing w:after="0" w:line="22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7"/>
          <w:szCs w:val="17"/>
          <w:color w:val="auto"/>
        </w:rPr>
        <w:t>☐</w:t>
      </w:r>
    </w:p>
    <w:p>
      <w:pPr>
        <w:spacing w:after="0" w:line="142" w:lineRule="exact"/>
        <w:rPr>
          <w:sz w:val="24"/>
          <w:szCs w:val="24"/>
          <w:color w:val="auto"/>
        </w:rPr>
      </w:pPr>
    </w:p>
    <w:p>
      <w:pPr>
        <w:ind w:right="60"/>
        <w:spacing w:after="0" w:line="292"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196" w:lineRule="exact"/>
        <w:rPr>
          <w:sz w:val="20"/>
          <w:szCs w:val="20"/>
          <w:color w:val="auto"/>
        </w:rPr>
      </w:pPr>
      <w:r>
        <w:rPr>
          <w:rFonts w:ascii="Arial" w:cs="Arial" w:eastAsia="Arial" w:hAnsi="Arial"/>
          <w:sz w:val="17"/>
          <w:szCs w:val="17"/>
          <w:color w:val="auto"/>
        </w:rPr>
        <w:t xml:space="preserve">YES x NO </w:t>
      </w:r>
      <w:r>
        <w:rPr>
          <w:rFonts w:ascii="MS PGothic" w:cs="MS PGothic" w:eastAsia="MS PGothic" w:hAnsi="MS PGothic"/>
          <w:sz w:val="17"/>
          <w:szCs w:val="17"/>
          <w:color w:val="auto"/>
        </w:rPr>
        <w:t>☐</w:t>
      </w:r>
    </w:p>
    <w:p>
      <w:pPr>
        <w:spacing w:after="0" w:line="171" w:lineRule="exact"/>
        <w:rPr>
          <w:sz w:val="24"/>
          <w:szCs w:val="24"/>
          <w:color w:val="auto"/>
        </w:rPr>
      </w:pPr>
    </w:p>
    <w:p>
      <w:pPr>
        <w:ind w:right="160"/>
        <w:spacing w:after="0" w:line="257"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w:t>
      </w:r>
    </w:p>
    <w:p>
      <w:pPr>
        <w:spacing w:after="0" w:line="2"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Accelerated filer x Non-accelerated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Smaller reporting company </w:t>
      </w:r>
      <w:r>
        <w:rPr>
          <w:rFonts w:ascii="MS PGothic" w:cs="MS PGothic" w:eastAsia="MS PGothic" w:hAnsi="MS PGothic"/>
          <w:sz w:val="17"/>
          <w:szCs w:val="17"/>
          <w:color w:val="auto"/>
        </w:rPr>
        <w:t>☐</w:t>
      </w:r>
      <w:r>
        <w:rPr>
          <w:rFonts w:ascii="Arial" w:cs="Arial" w:eastAsia="Arial" w:hAnsi="Arial"/>
          <w:sz w:val="17"/>
          <w:szCs w:val="17"/>
          <w:color w:val="auto"/>
        </w:rPr>
        <w:t xml:space="preserve"> Emerging growth company </w:t>
      </w:r>
      <w:r>
        <w:rPr>
          <w:rFonts w:ascii="MS PGothic" w:cs="MS PGothic" w:eastAsia="MS PGothic" w:hAnsi="MS PGothic"/>
          <w:sz w:val="17"/>
          <w:szCs w:val="17"/>
          <w:color w:val="auto"/>
        </w:rPr>
        <w:t>☐</w:t>
      </w:r>
    </w:p>
    <w:p>
      <w:pPr>
        <w:spacing w:after="0" w:line="17" w:lineRule="exact"/>
        <w:rPr>
          <w:sz w:val="24"/>
          <w:szCs w:val="24"/>
          <w:color w:val="auto"/>
        </w:rPr>
      </w:pPr>
    </w:p>
    <w:p>
      <w:pPr>
        <w:ind w:right="480"/>
        <w:spacing w:after="0" w:line="207"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8"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x</w:t>
      </w:r>
    </w:p>
    <w:p>
      <w:pPr>
        <w:spacing w:after="0" w:line="14" w:lineRule="exact"/>
        <w:rPr>
          <w:sz w:val="24"/>
          <w:szCs w:val="24"/>
          <w:color w:val="auto"/>
        </w:rPr>
      </w:pPr>
    </w:p>
    <w:p>
      <w:pPr>
        <w:ind w:right="800"/>
        <w:spacing w:after="0" w:line="262" w:lineRule="auto"/>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 common stock, no par value, 20,840,318 as of November 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803910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170180</wp:posOffset>
            </wp:positionV>
            <wp:extent cx="7138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7138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1207"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7"/>
          <w:szCs w:val="17"/>
          <w:color w:val="auto"/>
        </w:rPr>
        <w:t>INDEPENDENT BANK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INDEX</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w w:val="89"/>
              </w:rPr>
              <w:t>Number(s)</w:t>
            </w:r>
          </w:p>
        </w:tc>
      </w:tr>
      <w:tr>
        <w:trPr>
          <w:trHeight w:val="225"/>
        </w:trPr>
        <w:tc>
          <w:tcPr>
            <w:tcW w:w="1020" w:type="dxa"/>
            <w:vAlign w:val="bottom"/>
          </w:tcPr>
          <w:p>
            <w:pPr>
              <w:ind w:left="20"/>
              <w:spacing w:after="0"/>
              <w:rPr>
                <w:sz w:val="20"/>
                <w:szCs w:val="20"/>
                <w:color w:val="auto"/>
              </w:rPr>
            </w:pPr>
            <w:r>
              <w:rPr>
                <w:rFonts w:ascii="Arial" w:cs="Arial" w:eastAsia="Arial" w:hAnsi="Arial"/>
                <w:sz w:val="17"/>
                <w:szCs w:val="17"/>
                <w:color w:val="auto"/>
              </w:rPr>
              <w:t>PART I -</w:t>
            </w:r>
          </w:p>
        </w:tc>
        <w:tc>
          <w:tcPr>
            <w:tcW w:w="9260" w:type="dxa"/>
            <w:vAlign w:val="bottom"/>
            <w:gridSpan w:val="17"/>
          </w:tcPr>
          <w:p>
            <w:pPr>
              <w:spacing w:after="0"/>
              <w:rPr>
                <w:sz w:val="20"/>
                <w:szCs w:val="20"/>
                <w:color w:val="auto"/>
              </w:rPr>
            </w:pPr>
            <w:r>
              <w:rPr>
                <w:rFonts w:ascii="Arial" w:cs="Arial" w:eastAsia="Arial" w:hAnsi="Arial"/>
                <w:sz w:val="17"/>
                <w:szCs w:val="17"/>
                <w:color w:val="auto"/>
              </w:rPr>
              <w:t>Financial Information</w:t>
            </w: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32"/>
        </w:trPr>
        <w:tc>
          <w:tcPr>
            <w:tcW w:w="10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93"/>
        </w:trPr>
        <w:tc>
          <w:tcPr>
            <w:tcW w:w="1020" w:type="dxa"/>
            <w:vAlign w:val="bottom"/>
            <w:shd w:val="clear" w:color="auto" w:fill="CCEEFF"/>
          </w:tcPr>
          <w:p>
            <w:pPr>
              <w:ind w:left="20"/>
              <w:spacing w:after="0" w:line="173" w:lineRule="exact"/>
              <w:rPr>
                <w:sz w:val="20"/>
                <w:szCs w:val="20"/>
                <w:color w:val="auto"/>
              </w:rPr>
            </w:pPr>
            <w:r>
              <w:rPr>
                <w:rFonts w:ascii="Arial" w:cs="Arial" w:eastAsia="Arial" w:hAnsi="Arial"/>
                <w:sz w:val="17"/>
                <w:szCs w:val="17"/>
                <w:color w:val="auto"/>
              </w:rPr>
              <w:t>Item 1.</w:t>
            </w:r>
          </w:p>
        </w:tc>
        <w:tc>
          <w:tcPr>
            <w:tcW w:w="9260" w:type="dxa"/>
            <w:vAlign w:val="bottom"/>
            <w:gridSpan w:val="17"/>
            <w:shd w:val="clear" w:color="auto" w:fill="CCEEFF"/>
          </w:tcPr>
          <w:p>
            <w:pPr>
              <w:spacing w:after="0" w:line="173" w:lineRule="exact"/>
              <w:rPr>
                <w:sz w:val="20"/>
                <w:szCs w:val="20"/>
                <w:color w:val="auto"/>
              </w:rPr>
            </w:pPr>
            <w:r>
              <w:rPr>
                <w:rFonts w:ascii="Arial" w:cs="Arial" w:eastAsia="Arial" w:hAnsi="Arial"/>
                <w:sz w:val="17"/>
                <w:szCs w:val="17"/>
                <w:color w:val="0000FF"/>
              </w:rPr>
              <w:t>Condensed Consolidated Statements of Financial Condition September 30, 2023 and December 31, 2022</w:t>
            </w:r>
          </w:p>
        </w:tc>
        <w:tc>
          <w:tcPr>
            <w:tcW w:w="960" w:type="dxa"/>
            <w:vAlign w:val="bottom"/>
            <w:gridSpan w:val="2"/>
            <w:shd w:val="clear" w:color="auto" w:fill="CCEEFF"/>
          </w:tcPr>
          <w:p>
            <w:pPr>
              <w:jc w:val="right"/>
              <w:ind w:right="20"/>
              <w:spacing w:after="0" w:line="173" w:lineRule="exact"/>
              <w:rPr>
                <w:sz w:val="20"/>
                <w:szCs w:val="20"/>
                <w:color w:val="auto"/>
              </w:rPr>
            </w:pPr>
            <w:r>
              <w:rPr>
                <w:rFonts w:ascii="Arial" w:cs="Arial" w:eastAsia="Arial" w:hAnsi="Arial"/>
                <w:sz w:val="17"/>
                <w:szCs w:val="17"/>
                <w:color w:val="auto"/>
              </w:rPr>
              <w:t>3</w:t>
            </w:r>
          </w:p>
        </w:tc>
      </w:tr>
      <w:tr>
        <w:trPr>
          <w:trHeight w:val="44"/>
        </w:trPr>
        <w:tc>
          <w:tcPr>
            <w:tcW w:w="10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42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38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242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1780" w:type="dxa"/>
            <w:vAlign w:val="bottom"/>
            <w:tcBorders>
              <w:top w:val="single" w:sz="8" w:color="0000FF"/>
            </w:tcBorders>
            <w:shd w:val="clear" w:color="auto" w:fill="CCEEFF"/>
          </w:tcPr>
          <w:p>
            <w:pPr>
              <w:spacing w:after="0"/>
              <w:rPr>
                <w:sz w:val="3"/>
                <w:szCs w:val="3"/>
                <w:color w:val="auto"/>
              </w:rPr>
            </w:pPr>
          </w:p>
        </w:tc>
        <w:tc>
          <w:tcPr>
            <w:tcW w:w="1060" w:type="dxa"/>
            <w:vAlign w:val="bottom"/>
            <w:tcBorders>
              <w:top w:val="single" w:sz="8" w:color="0000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r>
      <w:tr>
        <w:trPr>
          <w:trHeight w:val="193"/>
        </w:trPr>
        <w:tc>
          <w:tcPr>
            <w:tcW w:w="1020" w:type="dxa"/>
            <w:vAlign w:val="bottom"/>
          </w:tcPr>
          <w:p>
            <w:pPr>
              <w:spacing w:after="0"/>
              <w:rPr>
                <w:sz w:val="16"/>
                <w:szCs w:val="16"/>
                <w:color w:val="auto"/>
              </w:rPr>
            </w:pPr>
          </w:p>
        </w:tc>
        <w:tc>
          <w:tcPr>
            <w:tcW w:w="9260" w:type="dxa"/>
            <w:vAlign w:val="bottom"/>
            <w:gridSpan w:val="17"/>
          </w:tcPr>
          <w:p>
            <w:pPr>
              <w:spacing w:after="0" w:line="173" w:lineRule="exact"/>
              <w:rPr>
                <w:sz w:val="20"/>
                <w:szCs w:val="20"/>
                <w:color w:val="auto"/>
              </w:rPr>
            </w:pPr>
            <w:r>
              <w:rPr>
                <w:rFonts w:ascii="Arial" w:cs="Arial" w:eastAsia="Arial" w:hAnsi="Arial"/>
                <w:sz w:val="17"/>
                <w:szCs w:val="17"/>
                <w:color w:val="0000FF"/>
              </w:rPr>
              <w:t>Condensed Consolidated Statements of Operations Three- and Nine-month periods ended September 30, 2023 and 2022</w:t>
            </w:r>
          </w:p>
        </w:tc>
        <w:tc>
          <w:tcPr>
            <w:tcW w:w="960" w:type="dxa"/>
            <w:vAlign w:val="bottom"/>
            <w:gridSpan w:val="2"/>
          </w:tcPr>
          <w:p>
            <w:pPr>
              <w:jc w:val="right"/>
              <w:ind w:right="20"/>
              <w:spacing w:after="0" w:line="173" w:lineRule="exact"/>
              <w:rPr>
                <w:sz w:val="20"/>
                <w:szCs w:val="20"/>
                <w:color w:val="auto"/>
              </w:rPr>
            </w:pPr>
            <w:r>
              <w:rPr>
                <w:rFonts w:ascii="Arial" w:cs="Arial" w:eastAsia="Arial" w:hAnsi="Arial"/>
                <w:sz w:val="17"/>
                <w:szCs w:val="17"/>
                <w:color w:val="auto"/>
              </w:rPr>
              <w:t>4</w:t>
            </w:r>
          </w:p>
        </w:tc>
      </w:tr>
      <w:tr>
        <w:trPr>
          <w:trHeight w:val="44"/>
        </w:trPr>
        <w:tc>
          <w:tcPr>
            <w:tcW w:w="1020" w:type="dxa"/>
            <w:vAlign w:val="bottom"/>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24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780" w:type="dxa"/>
            <w:vAlign w:val="bottom"/>
            <w:tcBorders>
              <w:top w:val="single" w:sz="8" w:color="0000FF"/>
            </w:tcBorders>
          </w:tcPr>
          <w:p>
            <w:pPr>
              <w:spacing w:after="0"/>
              <w:rPr>
                <w:sz w:val="3"/>
                <w:szCs w:val="3"/>
                <w:color w:val="auto"/>
              </w:rPr>
            </w:pPr>
          </w:p>
        </w:tc>
        <w:tc>
          <w:tcPr>
            <w:tcW w:w="106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740" w:type="dxa"/>
            <w:vAlign w:val="bottom"/>
            <w:tcBorders>
              <w:top w:val="single" w:sz="8" w:color="0000FF"/>
            </w:tcBorders>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193"/>
        </w:trPr>
        <w:tc>
          <w:tcPr>
            <w:tcW w:w="1020" w:type="dxa"/>
            <w:vAlign w:val="bottom"/>
            <w:tcBorders>
              <w:bottom w:val="single" w:sz="8" w:color="CCEEFF"/>
            </w:tcBorders>
            <w:shd w:val="clear" w:color="auto" w:fill="CCEEFF"/>
          </w:tcPr>
          <w:p>
            <w:pPr>
              <w:spacing w:after="0"/>
              <w:rPr>
                <w:sz w:val="16"/>
                <w:szCs w:val="16"/>
                <w:color w:val="auto"/>
              </w:rPr>
            </w:pPr>
          </w:p>
        </w:tc>
        <w:tc>
          <w:tcPr>
            <w:tcW w:w="8940" w:type="dxa"/>
            <w:vAlign w:val="bottom"/>
            <w:tcBorders>
              <w:bottom w:val="single" w:sz="8" w:color="0000FF"/>
            </w:tcBorders>
            <w:gridSpan w:val="16"/>
            <w:shd w:val="clear" w:color="auto" w:fill="CCEEFF"/>
          </w:tcPr>
          <w:p>
            <w:pPr>
              <w:spacing w:after="0" w:line="194" w:lineRule="exact"/>
              <w:rPr>
                <w:sz w:val="20"/>
                <w:szCs w:val="20"/>
                <w:color w:val="auto"/>
              </w:rPr>
            </w:pPr>
            <w:r>
              <w:rPr>
                <w:rFonts w:ascii="Arial" w:cs="Arial" w:eastAsia="Arial" w:hAnsi="Arial"/>
                <w:sz w:val="17"/>
                <w:szCs w:val="17"/>
                <w:color w:val="0000FF"/>
                <w:w w:val="90"/>
              </w:rPr>
              <w:t>Condensed Consolidated Statements of Comprehensive Income (Loss) Three- and Nine-month periods ended September 30, 2023</w:t>
            </w:r>
          </w:p>
        </w:tc>
        <w:tc>
          <w:tcPr>
            <w:tcW w:w="3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r>
      <w:tr>
        <w:trPr>
          <w:trHeight w:val="186"/>
        </w:trPr>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120" w:type="dxa"/>
            <w:vAlign w:val="bottom"/>
            <w:gridSpan w:val="16"/>
            <w:shd w:val="clear" w:color="auto" w:fill="CCEEFF"/>
          </w:tcPr>
          <w:p>
            <w:pPr>
              <w:spacing w:after="0" w:line="173" w:lineRule="exact"/>
              <w:rPr>
                <w:sz w:val="20"/>
                <w:szCs w:val="20"/>
                <w:color w:val="auto"/>
              </w:rPr>
            </w:pPr>
            <w:r>
              <w:rPr>
                <w:rFonts w:ascii="Arial" w:cs="Arial" w:eastAsia="Arial" w:hAnsi="Arial"/>
                <w:sz w:val="17"/>
                <w:szCs w:val="17"/>
                <w:color w:val="0000FF"/>
              </w:rPr>
              <w:t>and 2022</w:t>
            </w:r>
          </w:p>
        </w:tc>
        <w:tc>
          <w:tcPr>
            <w:tcW w:w="960" w:type="dxa"/>
            <w:vAlign w:val="bottom"/>
            <w:gridSpan w:val="2"/>
            <w:shd w:val="clear" w:color="auto" w:fill="CCEEFF"/>
          </w:tcPr>
          <w:p>
            <w:pPr>
              <w:jc w:val="right"/>
              <w:ind w:right="20"/>
              <w:spacing w:after="0" w:line="173" w:lineRule="exact"/>
              <w:rPr>
                <w:sz w:val="20"/>
                <w:szCs w:val="20"/>
                <w:color w:val="auto"/>
              </w:rPr>
            </w:pPr>
            <w:r>
              <w:rPr>
                <w:rFonts w:ascii="Arial" w:cs="Arial" w:eastAsia="Arial" w:hAnsi="Arial"/>
                <w:sz w:val="17"/>
                <w:szCs w:val="17"/>
                <w:color w:val="auto"/>
              </w:rPr>
              <w:t>5</w:t>
            </w:r>
          </w:p>
        </w:tc>
      </w:tr>
      <w:tr>
        <w:trPr>
          <w:trHeight w:val="44"/>
        </w:trPr>
        <w:tc>
          <w:tcPr>
            <w:tcW w:w="10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24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780" w:type="dxa"/>
            <w:vAlign w:val="bottom"/>
            <w:tcBorders>
              <w:top w:val="single" w:sz="8" w:color="CCEEFF"/>
            </w:tcBorders>
            <w:shd w:val="clear" w:color="auto" w:fill="CCEEFF"/>
          </w:tcPr>
          <w:p>
            <w:pPr>
              <w:spacing w:after="0"/>
              <w:rPr>
                <w:sz w:val="3"/>
                <w:szCs w:val="3"/>
                <w:color w:val="auto"/>
              </w:rPr>
            </w:pPr>
          </w:p>
        </w:tc>
        <w:tc>
          <w:tcPr>
            <w:tcW w:w="106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r>
      <w:tr>
        <w:trPr>
          <w:trHeight w:val="193"/>
        </w:trPr>
        <w:tc>
          <w:tcPr>
            <w:tcW w:w="1020" w:type="dxa"/>
            <w:vAlign w:val="bottom"/>
          </w:tcPr>
          <w:p>
            <w:pPr>
              <w:spacing w:after="0"/>
              <w:rPr>
                <w:sz w:val="16"/>
                <w:szCs w:val="16"/>
                <w:color w:val="auto"/>
              </w:rPr>
            </w:pPr>
          </w:p>
        </w:tc>
        <w:tc>
          <w:tcPr>
            <w:tcW w:w="9260" w:type="dxa"/>
            <w:vAlign w:val="bottom"/>
            <w:gridSpan w:val="17"/>
          </w:tcPr>
          <w:p>
            <w:pPr>
              <w:spacing w:after="0" w:line="173" w:lineRule="exact"/>
              <w:rPr>
                <w:sz w:val="20"/>
                <w:szCs w:val="20"/>
                <w:color w:val="auto"/>
              </w:rPr>
            </w:pPr>
            <w:r>
              <w:rPr>
                <w:rFonts w:ascii="Arial" w:cs="Arial" w:eastAsia="Arial" w:hAnsi="Arial"/>
                <w:sz w:val="17"/>
                <w:szCs w:val="17"/>
                <w:color w:val="0000FF"/>
              </w:rPr>
              <w:t>Condensed Consolidated Statements of Cash Flows Nine-month periods ended September 30, 2023 and 2022</w:t>
            </w:r>
          </w:p>
        </w:tc>
        <w:tc>
          <w:tcPr>
            <w:tcW w:w="960" w:type="dxa"/>
            <w:vAlign w:val="bottom"/>
            <w:gridSpan w:val="2"/>
          </w:tcPr>
          <w:p>
            <w:pPr>
              <w:jc w:val="right"/>
              <w:ind w:right="20"/>
              <w:spacing w:after="0" w:line="173" w:lineRule="exact"/>
              <w:rPr>
                <w:sz w:val="20"/>
                <w:szCs w:val="20"/>
                <w:color w:val="auto"/>
              </w:rPr>
            </w:pPr>
            <w:r>
              <w:rPr>
                <w:rFonts w:ascii="Arial" w:cs="Arial" w:eastAsia="Arial" w:hAnsi="Arial"/>
                <w:sz w:val="17"/>
                <w:szCs w:val="17"/>
                <w:color w:val="auto"/>
              </w:rPr>
              <w:t>6</w:t>
            </w:r>
          </w:p>
        </w:tc>
      </w:tr>
      <w:tr>
        <w:trPr>
          <w:trHeight w:val="44"/>
        </w:trPr>
        <w:tc>
          <w:tcPr>
            <w:tcW w:w="1020" w:type="dxa"/>
            <w:vAlign w:val="bottom"/>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24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780" w:type="dxa"/>
            <w:vAlign w:val="bottom"/>
            <w:tcBorders>
              <w:top w:val="single" w:sz="8" w:color="0000FF"/>
            </w:tcBorders>
          </w:tcPr>
          <w:p>
            <w:pPr>
              <w:spacing w:after="0"/>
              <w:rPr>
                <w:sz w:val="3"/>
                <w:szCs w:val="3"/>
                <w:color w:val="auto"/>
              </w:rPr>
            </w:pPr>
          </w:p>
        </w:tc>
        <w:tc>
          <w:tcPr>
            <w:tcW w:w="106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38"/>
        </w:trPr>
        <w:tc>
          <w:tcPr>
            <w:tcW w:w="1020" w:type="dxa"/>
            <w:vAlign w:val="bottom"/>
            <w:shd w:val="clear" w:color="auto" w:fill="CCEEFF"/>
          </w:tcPr>
          <w:p>
            <w:pPr>
              <w:spacing w:after="0"/>
              <w:rPr>
                <w:sz w:val="20"/>
                <w:szCs w:val="20"/>
                <w:color w:val="auto"/>
              </w:rPr>
            </w:pPr>
          </w:p>
        </w:tc>
        <w:tc>
          <w:tcPr>
            <w:tcW w:w="9260" w:type="dxa"/>
            <w:vAlign w:val="bottom"/>
            <w:gridSpan w:val="17"/>
            <w:shd w:val="clear" w:color="auto" w:fill="CCEEFF"/>
          </w:tcPr>
          <w:p>
            <w:pPr>
              <w:spacing w:after="0" w:line="194" w:lineRule="exact"/>
              <w:rPr>
                <w:sz w:val="20"/>
                <w:szCs w:val="20"/>
                <w:color w:val="auto"/>
              </w:rPr>
            </w:pPr>
            <w:r>
              <w:rPr>
                <w:rFonts w:ascii="Arial" w:cs="Arial" w:eastAsia="Arial" w:hAnsi="Arial"/>
                <w:sz w:val="17"/>
                <w:szCs w:val="17"/>
                <w:color w:val="0000FF"/>
                <w:w w:val="93"/>
              </w:rPr>
              <w:t>Condensed Consolidated Statements of Shareholders' Equity Three- and Nine-month periods ended September 30, 2023 and 2022</w:t>
            </w:r>
          </w:p>
        </w:tc>
        <w:tc>
          <w:tcPr>
            <w:tcW w:w="96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7</w:t>
            </w:r>
          </w:p>
        </w:tc>
      </w:tr>
      <w:tr>
        <w:trPr>
          <w:trHeight w:val="193"/>
        </w:trPr>
        <w:tc>
          <w:tcPr>
            <w:tcW w:w="1020" w:type="dxa"/>
            <w:vAlign w:val="bottom"/>
            <w:tcBorders>
              <w:top w:val="single" w:sz="8" w:color="CCEEFF"/>
            </w:tcBorders>
          </w:tcPr>
          <w:p>
            <w:pPr>
              <w:spacing w:after="0"/>
              <w:rPr>
                <w:sz w:val="16"/>
                <w:szCs w:val="16"/>
                <w:color w:val="auto"/>
              </w:rPr>
            </w:pPr>
          </w:p>
        </w:tc>
        <w:tc>
          <w:tcPr>
            <w:tcW w:w="8920" w:type="dxa"/>
            <w:vAlign w:val="bottom"/>
            <w:tcBorders>
              <w:top w:val="single" w:sz="8" w:color="0000FF"/>
            </w:tcBorders>
            <w:gridSpan w:val="15"/>
          </w:tcPr>
          <w:p>
            <w:pPr>
              <w:spacing w:after="0" w:line="194" w:lineRule="exact"/>
              <w:rPr>
                <w:sz w:val="20"/>
                <w:szCs w:val="20"/>
                <w:color w:val="auto"/>
              </w:rPr>
            </w:pPr>
            <w:r>
              <w:rPr>
                <w:rFonts w:ascii="Arial" w:cs="Arial" w:eastAsia="Arial" w:hAnsi="Arial"/>
                <w:sz w:val="17"/>
                <w:szCs w:val="17"/>
                <w:color w:val="0000FF"/>
              </w:rPr>
              <w:t>Notes to Interim Condensed Consolidated Financial Statements</w:t>
            </w:r>
          </w:p>
        </w:tc>
        <w:tc>
          <w:tcPr>
            <w:tcW w:w="340" w:type="dxa"/>
            <w:vAlign w:val="bottom"/>
            <w:tcBorders>
              <w:top w:val="single" w:sz="8" w:color="CCEEFF"/>
            </w:tcBorders>
            <w:gridSpan w:val="2"/>
          </w:tcPr>
          <w:p>
            <w:pPr>
              <w:spacing w:after="0"/>
              <w:rPr>
                <w:sz w:val="16"/>
                <w:szCs w:val="16"/>
                <w:color w:val="auto"/>
              </w:rPr>
            </w:pPr>
          </w:p>
        </w:tc>
        <w:tc>
          <w:tcPr>
            <w:tcW w:w="960" w:type="dxa"/>
            <w:vAlign w:val="bottom"/>
            <w:tcBorders>
              <w:top w:val="single" w:sz="8" w:color="CCEEFF"/>
            </w:tcBorders>
            <w:gridSpan w:val="2"/>
          </w:tcPr>
          <w:p>
            <w:pPr>
              <w:jc w:val="right"/>
              <w:ind w:right="20"/>
              <w:spacing w:after="0" w:line="194" w:lineRule="exact"/>
              <w:rPr>
                <w:sz w:val="20"/>
                <w:szCs w:val="20"/>
                <w:color w:val="auto"/>
              </w:rPr>
            </w:pPr>
            <w:r>
              <w:rPr>
                <w:rFonts w:ascii="Arial" w:cs="Arial" w:eastAsia="Arial" w:hAnsi="Arial"/>
                <w:sz w:val="17"/>
                <w:szCs w:val="17"/>
                <w:color w:val="auto"/>
              </w:rPr>
              <w:t>8-63</w:t>
            </w:r>
          </w:p>
        </w:tc>
      </w:tr>
      <w:tr>
        <w:trPr>
          <w:trHeight w:val="32"/>
        </w:trPr>
        <w:tc>
          <w:tcPr>
            <w:tcW w:w="102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5"/>
        </w:trPr>
        <w:tc>
          <w:tcPr>
            <w:tcW w:w="10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Item 2.</w:t>
            </w:r>
          </w:p>
        </w:tc>
        <w:tc>
          <w:tcPr>
            <w:tcW w:w="9260" w:type="dxa"/>
            <w:vAlign w:val="bottom"/>
            <w:gridSpan w:val="17"/>
            <w:shd w:val="clear" w:color="auto" w:fill="CCEEFF"/>
          </w:tcPr>
          <w:p>
            <w:pPr>
              <w:spacing w:after="0" w:line="194" w:lineRule="exact"/>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96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64-81</w:t>
            </w:r>
          </w:p>
        </w:tc>
      </w:tr>
      <w:tr>
        <w:trPr>
          <w:trHeight w:val="193"/>
        </w:trPr>
        <w:tc>
          <w:tcPr>
            <w:tcW w:w="1020" w:type="dxa"/>
            <w:vAlign w:val="bottom"/>
            <w:tcBorders>
              <w:top w:val="single" w:sz="8" w:color="CCEEFF"/>
            </w:tcBorders>
          </w:tcPr>
          <w:p>
            <w:pPr>
              <w:ind w:left="20"/>
              <w:spacing w:after="0" w:line="194" w:lineRule="exact"/>
              <w:rPr>
                <w:sz w:val="20"/>
                <w:szCs w:val="20"/>
                <w:color w:val="auto"/>
              </w:rPr>
            </w:pPr>
            <w:r>
              <w:rPr>
                <w:rFonts w:ascii="Arial" w:cs="Arial" w:eastAsia="Arial" w:hAnsi="Arial"/>
                <w:sz w:val="17"/>
                <w:szCs w:val="17"/>
                <w:color w:val="auto"/>
              </w:rPr>
              <w:t>Item 3.</w:t>
            </w:r>
          </w:p>
        </w:tc>
        <w:tc>
          <w:tcPr>
            <w:tcW w:w="6140" w:type="dxa"/>
            <w:vAlign w:val="bottom"/>
            <w:tcBorders>
              <w:top w:val="single" w:sz="8" w:color="0000FF"/>
            </w:tcBorders>
            <w:gridSpan w:val="11"/>
          </w:tcPr>
          <w:p>
            <w:pPr>
              <w:spacing w:after="0" w:line="194" w:lineRule="exact"/>
              <w:rPr>
                <w:sz w:val="20"/>
                <w:szCs w:val="20"/>
                <w:color w:val="auto"/>
              </w:rPr>
            </w:pPr>
            <w:r>
              <w:rPr>
                <w:rFonts w:ascii="Arial" w:cs="Arial" w:eastAsia="Arial" w:hAnsi="Arial"/>
                <w:sz w:val="17"/>
                <w:szCs w:val="17"/>
                <w:color w:val="0000FF"/>
              </w:rPr>
              <w:t>Quantitative and Qualitative Disclosures about Market Risk</w:t>
            </w:r>
          </w:p>
        </w:tc>
        <w:tc>
          <w:tcPr>
            <w:tcW w:w="3120" w:type="dxa"/>
            <w:vAlign w:val="bottom"/>
            <w:tcBorders>
              <w:top w:val="single" w:sz="8" w:color="CCEEFF"/>
            </w:tcBorders>
            <w:gridSpan w:val="6"/>
          </w:tcPr>
          <w:p>
            <w:pPr>
              <w:spacing w:after="0"/>
              <w:rPr>
                <w:sz w:val="16"/>
                <w:szCs w:val="16"/>
                <w:color w:val="auto"/>
              </w:rPr>
            </w:pPr>
          </w:p>
        </w:tc>
        <w:tc>
          <w:tcPr>
            <w:tcW w:w="960" w:type="dxa"/>
            <w:vAlign w:val="bottom"/>
            <w:tcBorders>
              <w:top w:val="single" w:sz="8" w:color="CCEEFF"/>
            </w:tcBorders>
            <w:gridSpan w:val="2"/>
          </w:tcPr>
          <w:p>
            <w:pPr>
              <w:jc w:val="right"/>
              <w:ind w:right="20"/>
              <w:spacing w:after="0" w:line="194" w:lineRule="exact"/>
              <w:rPr>
                <w:sz w:val="20"/>
                <w:szCs w:val="20"/>
                <w:color w:val="auto"/>
              </w:rPr>
            </w:pPr>
            <w:r>
              <w:rPr>
                <w:rFonts w:ascii="Arial" w:cs="Arial" w:eastAsia="Arial" w:hAnsi="Arial"/>
                <w:sz w:val="17"/>
                <w:szCs w:val="17"/>
                <w:color w:val="auto"/>
              </w:rPr>
              <w:t>82</w:t>
            </w:r>
          </w:p>
        </w:tc>
      </w:tr>
      <w:tr>
        <w:trPr>
          <w:trHeight w:val="32"/>
        </w:trPr>
        <w:tc>
          <w:tcPr>
            <w:tcW w:w="102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5"/>
        </w:trPr>
        <w:tc>
          <w:tcPr>
            <w:tcW w:w="10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Item 4.</w:t>
            </w:r>
          </w:p>
        </w:tc>
        <w:tc>
          <w:tcPr>
            <w:tcW w:w="9260" w:type="dxa"/>
            <w:vAlign w:val="bottom"/>
            <w:gridSpan w:val="17"/>
            <w:shd w:val="clear" w:color="auto" w:fill="CCEEFF"/>
          </w:tcPr>
          <w:p>
            <w:pPr>
              <w:spacing w:after="0" w:line="194" w:lineRule="exact"/>
              <w:rPr>
                <w:sz w:val="20"/>
                <w:szCs w:val="20"/>
                <w:color w:val="auto"/>
              </w:rPr>
            </w:pPr>
            <w:r>
              <w:rPr>
                <w:rFonts w:ascii="Arial" w:cs="Arial" w:eastAsia="Arial" w:hAnsi="Arial"/>
                <w:sz w:val="17"/>
                <w:szCs w:val="17"/>
                <w:color w:val="0000FF"/>
              </w:rPr>
              <w:t>Controls and Procedures</w:t>
            </w:r>
          </w:p>
        </w:tc>
        <w:tc>
          <w:tcPr>
            <w:tcW w:w="96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82</w:t>
            </w:r>
          </w:p>
        </w:tc>
      </w:tr>
      <w:tr>
        <w:trPr>
          <w:trHeight w:val="258"/>
        </w:trPr>
        <w:tc>
          <w:tcPr>
            <w:tcW w:w="1020" w:type="dxa"/>
            <w:vAlign w:val="bottom"/>
            <w:tcBorders>
              <w:top w:val="single" w:sz="8" w:color="CCEE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4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1780" w:type="dxa"/>
            <w:vAlign w:val="bottom"/>
            <w:tcBorders>
              <w:top w:val="single" w:sz="8" w:color="CCEEFF"/>
            </w:tcBorders>
          </w:tcPr>
          <w:p>
            <w:pPr>
              <w:spacing w:after="0"/>
              <w:rPr>
                <w:sz w:val="22"/>
                <w:szCs w:val="22"/>
                <w:color w:val="auto"/>
              </w:rPr>
            </w:pPr>
          </w:p>
        </w:tc>
        <w:tc>
          <w:tcPr>
            <w:tcW w:w="106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6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r>
      <w:tr>
        <w:trPr>
          <w:trHeight w:val="225"/>
        </w:trPr>
        <w:tc>
          <w:tcPr>
            <w:tcW w:w="10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PART II -</w:t>
            </w:r>
          </w:p>
        </w:tc>
        <w:tc>
          <w:tcPr>
            <w:tcW w:w="9260" w:type="dxa"/>
            <w:vAlign w:val="bottom"/>
            <w:gridSpan w:val="17"/>
            <w:shd w:val="clear" w:color="auto" w:fill="CCEEFF"/>
          </w:tcPr>
          <w:p>
            <w:pPr>
              <w:spacing w:after="0" w:line="194" w:lineRule="exact"/>
              <w:rPr>
                <w:sz w:val="20"/>
                <w:szCs w:val="20"/>
                <w:color w:val="auto"/>
              </w:rPr>
            </w:pPr>
            <w:r>
              <w:rPr>
                <w:rFonts w:ascii="Arial" w:cs="Arial" w:eastAsia="Arial" w:hAnsi="Arial"/>
                <w:sz w:val="17"/>
                <w:szCs w:val="17"/>
                <w:color w:val="auto"/>
              </w:rPr>
              <w:t>Other Information</w:t>
            </w: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193"/>
        </w:trPr>
        <w:tc>
          <w:tcPr>
            <w:tcW w:w="1020" w:type="dxa"/>
            <w:vAlign w:val="bottom"/>
            <w:tcBorders>
              <w:top w:val="single" w:sz="8" w:color="CCEEFF"/>
            </w:tcBorders>
          </w:tcPr>
          <w:p>
            <w:pPr>
              <w:ind w:left="20"/>
              <w:spacing w:after="0" w:line="194" w:lineRule="exact"/>
              <w:rPr>
                <w:sz w:val="20"/>
                <w:szCs w:val="20"/>
                <w:color w:val="auto"/>
              </w:rPr>
            </w:pPr>
            <w:r>
              <w:rPr>
                <w:rFonts w:ascii="Arial" w:cs="Arial" w:eastAsia="Arial" w:hAnsi="Arial"/>
                <w:sz w:val="17"/>
                <w:szCs w:val="17"/>
                <w:color w:val="auto"/>
              </w:rPr>
              <w:t>Item 1A</w:t>
            </w:r>
          </w:p>
        </w:tc>
        <w:tc>
          <w:tcPr>
            <w:tcW w:w="1240" w:type="dxa"/>
            <w:vAlign w:val="bottom"/>
            <w:tcBorders>
              <w:top w:val="single" w:sz="8" w:color="auto"/>
            </w:tcBorders>
            <w:gridSpan w:val="5"/>
          </w:tcPr>
          <w:p>
            <w:pPr>
              <w:spacing w:after="0" w:line="194" w:lineRule="exact"/>
              <w:rPr>
                <w:sz w:val="20"/>
                <w:szCs w:val="20"/>
                <w:color w:val="auto"/>
              </w:rPr>
            </w:pPr>
            <w:r>
              <w:rPr>
                <w:rFonts w:ascii="Arial" w:cs="Arial" w:eastAsia="Arial" w:hAnsi="Arial"/>
                <w:sz w:val="17"/>
                <w:szCs w:val="17"/>
                <w:color w:val="0000FF"/>
              </w:rPr>
              <w:t>Risk Factors</w:t>
            </w:r>
          </w:p>
        </w:tc>
        <w:tc>
          <w:tcPr>
            <w:tcW w:w="8020" w:type="dxa"/>
            <w:vAlign w:val="bottom"/>
            <w:tcBorders>
              <w:top w:val="single" w:sz="8" w:color="CCEEFF"/>
            </w:tcBorders>
            <w:gridSpan w:val="12"/>
          </w:tcPr>
          <w:p>
            <w:pPr>
              <w:spacing w:after="0"/>
              <w:rPr>
                <w:sz w:val="16"/>
                <w:szCs w:val="16"/>
                <w:color w:val="auto"/>
              </w:rPr>
            </w:pPr>
          </w:p>
        </w:tc>
        <w:tc>
          <w:tcPr>
            <w:tcW w:w="960" w:type="dxa"/>
            <w:vAlign w:val="bottom"/>
            <w:tcBorders>
              <w:top w:val="single" w:sz="8" w:color="CCEEFF"/>
            </w:tcBorders>
            <w:gridSpan w:val="2"/>
          </w:tcPr>
          <w:p>
            <w:pPr>
              <w:jc w:val="right"/>
              <w:ind w:right="20"/>
              <w:spacing w:after="0" w:line="194" w:lineRule="exact"/>
              <w:rPr>
                <w:sz w:val="20"/>
                <w:szCs w:val="20"/>
                <w:color w:val="auto"/>
              </w:rPr>
            </w:pPr>
            <w:r>
              <w:rPr>
                <w:rFonts w:ascii="Arial" w:cs="Arial" w:eastAsia="Arial" w:hAnsi="Arial"/>
                <w:sz w:val="17"/>
                <w:szCs w:val="17"/>
                <w:color w:val="auto"/>
              </w:rPr>
              <w:t>83</w:t>
            </w:r>
          </w:p>
        </w:tc>
      </w:tr>
      <w:tr>
        <w:trPr>
          <w:trHeight w:val="32"/>
        </w:trPr>
        <w:tc>
          <w:tcPr>
            <w:tcW w:w="102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5"/>
        </w:trPr>
        <w:tc>
          <w:tcPr>
            <w:tcW w:w="10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Item 2.</w:t>
            </w:r>
          </w:p>
        </w:tc>
        <w:tc>
          <w:tcPr>
            <w:tcW w:w="9260" w:type="dxa"/>
            <w:vAlign w:val="bottom"/>
            <w:gridSpan w:val="17"/>
            <w:shd w:val="clear" w:color="auto" w:fill="CCEEFF"/>
          </w:tcPr>
          <w:p>
            <w:pPr>
              <w:spacing w:after="0" w:line="194" w:lineRule="exact"/>
              <w:rPr>
                <w:sz w:val="20"/>
                <w:szCs w:val="20"/>
                <w:color w:val="auto"/>
              </w:rPr>
            </w:pPr>
            <w:r>
              <w:rPr>
                <w:rFonts w:ascii="Arial" w:cs="Arial" w:eastAsia="Arial" w:hAnsi="Arial"/>
                <w:sz w:val="17"/>
                <w:szCs w:val="17"/>
                <w:color w:val="0000FF"/>
              </w:rPr>
              <w:t>Unregistered Sales of Equity Securities and Use of Proceeds</w:t>
            </w:r>
          </w:p>
        </w:tc>
        <w:tc>
          <w:tcPr>
            <w:tcW w:w="96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83-84</w:t>
            </w:r>
          </w:p>
        </w:tc>
      </w:tr>
      <w:tr>
        <w:trPr>
          <w:trHeight w:val="193"/>
        </w:trPr>
        <w:tc>
          <w:tcPr>
            <w:tcW w:w="1020" w:type="dxa"/>
            <w:vAlign w:val="bottom"/>
            <w:tcBorders>
              <w:top w:val="single" w:sz="8" w:color="CCEEFF"/>
            </w:tcBorders>
          </w:tcPr>
          <w:p>
            <w:pPr>
              <w:ind w:left="20"/>
              <w:spacing w:after="0" w:line="194" w:lineRule="exact"/>
              <w:rPr>
                <w:sz w:val="20"/>
                <w:szCs w:val="20"/>
                <w:color w:val="auto"/>
              </w:rPr>
            </w:pPr>
            <w:r>
              <w:rPr>
                <w:rFonts w:ascii="Arial" w:cs="Arial" w:eastAsia="Arial" w:hAnsi="Arial"/>
                <w:sz w:val="17"/>
                <w:szCs w:val="17"/>
                <w:color w:val="auto"/>
              </w:rPr>
              <w:t>Item 5.</w:t>
            </w:r>
          </w:p>
        </w:tc>
        <w:tc>
          <w:tcPr>
            <w:tcW w:w="4140" w:type="dxa"/>
            <w:vAlign w:val="bottom"/>
            <w:tcBorders>
              <w:top w:val="single" w:sz="8" w:color="0000FF"/>
            </w:tcBorders>
            <w:gridSpan w:val="9"/>
          </w:tcPr>
          <w:p>
            <w:pPr>
              <w:spacing w:after="0" w:line="194" w:lineRule="exact"/>
              <w:rPr>
                <w:sz w:val="20"/>
                <w:szCs w:val="20"/>
                <w:color w:val="auto"/>
              </w:rPr>
            </w:pPr>
            <w:r>
              <w:rPr>
                <w:rFonts w:ascii="Arial" w:cs="Arial" w:eastAsia="Arial" w:hAnsi="Arial"/>
                <w:sz w:val="17"/>
                <w:szCs w:val="17"/>
                <w:color w:val="0000FF"/>
              </w:rPr>
              <w:t>Other Information</w:t>
            </w:r>
          </w:p>
        </w:tc>
        <w:tc>
          <w:tcPr>
            <w:tcW w:w="5120" w:type="dxa"/>
            <w:vAlign w:val="bottom"/>
            <w:tcBorders>
              <w:top w:val="single" w:sz="8" w:color="CCEEFF"/>
            </w:tcBorders>
            <w:gridSpan w:val="8"/>
          </w:tcPr>
          <w:p>
            <w:pPr>
              <w:spacing w:after="0"/>
              <w:rPr>
                <w:sz w:val="16"/>
                <w:szCs w:val="16"/>
                <w:color w:val="auto"/>
              </w:rPr>
            </w:pPr>
          </w:p>
        </w:tc>
        <w:tc>
          <w:tcPr>
            <w:tcW w:w="960" w:type="dxa"/>
            <w:vAlign w:val="bottom"/>
            <w:tcBorders>
              <w:top w:val="single" w:sz="8" w:color="CCEEFF"/>
            </w:tcBorders>
            <w:gridSpan w:val="2"/>
          </w:tcPr>
          <w:p>
            <w:pPr>
              <w:jc w:val="right"/>
              <w:ind w:right="20"/>
              <w:spacing w:after="0" w:line="194" w:lineRule="exact"/>
              <w:rPr>
                <w:sz w:val="20"/>
                <w:szCs w:val="20"/>
                <w:color w:val="auto"/>
              </w:rPr>
            </w:pPr>
            <w:r>
              <w:rPr>
                <w:rFonts w:ascii="Arial" w:cs="Arial" w:eastAsia="Arial" w:hAnsi="Arial"/>
                <w:sz w:val="17"/>
                <w:szCs w:val="17"/>
                <w:color w:val="auto"/>
              </w:rPr>
              <w:t>84</w:t>
            </w:r>
          </w:p>
        </w:tc>
      </w:tr>
      <w:tr>
        <w:trPr>
          <w:trHeight w:val="32"/>
        </w:trPr>
        <w:tc>
          <w:tcPr>
            <w:tcW w:w="102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5"/>
        </w:trPr>
        <w:tc>
          <w:tcPr>
            <w:tcW w:w="10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Item 6.</w:t>
            </w:r>
          </w:p>
        </w:tc>
        <w:tc>
          <w:tcPr>
            <w:tcW w:w="9260" w:type="dxa"/>
            <w:vAlign w:val="bottom"/>
            <w:gridSpan w:val="17"/>
            <w:shd w:val="clear" w:color="auto" w:fill="CCEEFF"/>
          </w:tcPr>
          <w:p>
            <w:pPr>
              <w:spacing w:after="0" w:line="194" w:lineRule="exact"/>
              <w:rPr>
                <w:sz w:val="20"/>
                <w:szCs w:val="20"/>
                <w:color w:val="auto"/>
              </w:rPr>
            </w:pPr>
            <w:r>
              <w:rPr>
                <w:rFonts w:ascii="Arial" w:cs="Arial" w:eastAsia="Arial" w:hAnsi="Arial"/>
                <w:sz w:val="17"/>
                <w:szCs w:val="17"/>
                <w:color w:val="0000FF"/>
              </w:rPr>
              <w:t>Exhibits</w:t>
            </w:r>
          </w:p>
        </w:tc>
        <w:tc>
          <w:tcPr>
            <w:tcW w:w="96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84</w:t>
            </w:r>
          </w:p>
        </w:tc>
      </w:tr>
      <w:tr>
        <w:trPr>
          <w:trHeight w:val="849"/>
        </w:trPr>
        <w:tc>
          <w:tcPr>
            <w:tcW w:w="1020" w:type="dxa"/>
            <w:vAlign w:val="bottom"/>
            <w:tcBorders>
              <w:top w:val="single" w:sz="8" w:color="CCEEFF"/>
            </w:tcBorders>
          </w:tcPr>
          <w:p>
            <w:pPr>
              <w:spacing w:after="0"/>
              <w:rPr>
                <w:sz w:val="24"/>
                <w:szCs w:val="24"/>
                <w:color w:val="auto"/>
              </w:rPr>
            </w:pPr>
          </w:p>
        </w:tc>
        <w:tc>
          <w:tcPr>
            <w:tcW w:w="560" w:type="dxa"/>
            <w:vAlign w:val="bottom"/>
            <w:tcBorders>
              <w:top w:val="single" w:sz="8" w:color="0000FF"/>
            </w:tcBorders>
            <w:gridSpan w:val="2"/>
          </w:tcPr>
          <w:p>
            <w:pPr>
              <w:spacing w:after="0"/>
              <w:rPr>
                <w:sz w:val="24"/>
                <w:szCs w:val="24"/>
                <w:color w:val="auto"/>
              </w:rPr>
            </w:pPr>
          </w:p>
        </w:tc>
        <w:tc>
          <w:tcPr>
            <w:tcW w:w="5580" w:type="dxa"/>
            <w:vAlign w:val="bottom"/>
            <w:tcBorders>
              <w:top w:val="single" w:sz="8" w:color="CCEEFF"/>
            </w:tcBorders>
            <w:gridSpan w:val="9"/>
          </w:tcPr>
          <w:p>
            <w:pPr>
              <w:jc w:val="right"/>
              <w:ind w:right="1500"/>
              <w:spacing w:after="0"/>
              <w:rPr>
                <w:sz w:val="20"/>
                <w:szCs w:val="20"/>
                <w:color w:val="auto"/>
              </w:rPr>
            </w:pPr>
            <w:r>
              <w:rPr>
                <w:rFonts w:ascii="Arial" w:cs="Arial" w:eastAsia="Arial" w:hAnsi="Arial"/>
                <w:sz w:val="17"/>
                <w:szCs w:val="17"/>
                <w:color w:val="auto"/>
              </w:rPr>
              <w:t>1</w:t>
            </w:r>
          </w:p>
        </w:tc>
        <w:tc>
          <w:tcPr>
            <w:tcW w:w="10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r>
        <w:trPr>
          <w:trHeight w:val="110"/>
        </w:trPr>
        <w:tc>
          <w:tcPr>
            <w:tcW w:w="10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4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FORWARD-LOOKING STATEMENTS</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Statements in this report that are not statements of historical fact, including statements that 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131" w:lineRule="exact"/>
        <w:rPr>
          <w:sz w:val="20"/>
          <w:szCs w:val="20"/>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economic, market, operational, liquidity, credit, and interest rate risks associated with our business;</w:t>
      </w:r>
    </w:p>
    <w:p>
      <w:pPr>
        <w:spacing w:after="0" w:line="21" w:lineRule="exact"/>
        <w:rPr>
          <w:rFonts w:ascii="Arial" w:cs="Arial" w:eastAsia="Arial" w:hAnsi="Arial"/>
          <w:sz w:val="17"/>
          <w:szCs w:val="17"/>
          <w:color w:val="auto"/>
        </w:rPr>
      </w:pPr>
    </w:p>
    <w:p>
      <w:pPr>
        <w:ind w:left="620" w:hanging="307"/>
        <w:spacing w:after="0" w:line="253" w:lineRule="auto"/>
        <w:tabs>
          <w:tab w:leader="none" w:pos="616" w:val="left"/>
        </w:tabs>
        <w:numPr>
          <w:ilvl w:val="0"/>
          <w:numId w:val="1"/>
        </w:numPr>
        <w:rPr>
          <w:rFonts w:ascii="Arial" w:cs="Arial" w:eastAsia="Arial" w:hAnsi="Arial"/>
          <w:sz w:val="17"/>
          <w:szCs w:val="17"/>
          <w:color w:val="auto"/>
        </w:rPr>
      </w:pPr>
      <w:r>
        <w:rPr>
          <w:rFonts w:ascii="Arial" w:cs="Arial" w:eastAsia="Arial" w:hAnsi="Arial"/>
          <w:sz w:val="17"/>
          <w:szCs w:val="17"/>
          <w:color w:val="auto"/>
        </w:rPr>
        <w:t>economic conditions generally and in the financial services industry, particularly economic conditions within Michigan and the regional and local real estate markets in which our bank operates;</w:t>
      </w: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failure of assumptions underlying the establishment of, and provisions made to, our allowance for credit losses;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increased competition in the financial services industry, either nationally or regionally;</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achieve loan and deposit growth;</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volatility and direction of market interest rates;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continued services of our management team; and</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implementation of new legislation, which may have significant effects on us and the financial services industry.</w:t>
      </w:r>
    </w:p>
    <w:p>
      <w:pPr>
        <w:spacing w:after="0" w:line="16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This list provides examples of factors that could affect the results described by forward-looking statements contained in this report, but the list is not intended to be all-inclusive. The risk factors disclosed in Part I – Item 1A of our Annual Report on Form 10-K for the year ended December 31, 2022, as updated by any new or modified risk factors disclosed in Part II – Item 1A of any subsequently filed Quarterly Report on Form 10-Q, include the known risks our management believes could materially affect the results described by forward-looking statements in this report. However, those risks may not be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20" w:type="dxa"/>
            <w:vAlign w:val="bottom"/>
          </w:tcPr>
          <w:p>
            <w:pPr>
              <w:ind w:left="20"/>
              <w:spacing w:after="0"/>
              <w:rPr>
                <w:sz w:val="20"/>
                <w:szCs w:val="20"/>
                <w:color w:val="auto"/>
              </w:rPr>
            </w:pPr>
            <w:r>
              <w:rPr>
                <w:rFonts w:ascii="Arial" w:cs="Arial" w:eastAsia="Arial" w:hAnsi="Arial"/>
                <w:sz w:val="17"/>
                <w:szCs w:val="17"/>
                <w:color w:val="auto"/>
              </w:rPr>
              <w:t>Part I - Item 1.</w:t>
            </w:r>
          </w:p>
        </w:tc>
        <w:tc>
          <w:tcPr>
            <w:tcW w:w="4960" w:type="dxa"/>
            <w:vAlign w:val="bottom"/>
            <w:gridSpan w:val="3"/>
          </w:tcPr>
          <w:p>
            <w:pPr>
              <w:jc w:val="right"/>
              <w:ind w:right="260"/>
              <w:spacing w:after="0"/>
              <w:rPr>
                <w:sz w:val="20"/>
                <w:szCs w:val="20"/>
                <w:color w:val="auto"/>
              </w:rPr>
            </w:pPr>
            <w:r>
              <w:rPr>
                <w:rFonts w:ascii="Arial" w:cs="Arial" w:eastAsia="Arial" w:hAnsi="Arial"/>
                <w:sz w:val="17"/>
                <w:szCs w:val="17"/>
                <w:color w:val="auto"/>
                <w:w w:val="99"/>
              </w:rPr>
              <w:t>INDEPENDENT BANK CORPORATION AND SUBSIDIARIES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85"/>
        </w:trPr>
        <w:tc>
          <w:tcPr>
            <w:tcW w:w="3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20" w:type="dxa"/>
            <w:vAlign w:val="bottom"/>
            <w:gridSpan w:val="2"/>
          </w:tcPr>
          <w:p>
            <w:pPr>
              <w:jc w:val="right"/>
              <w:ind w:right="500"/>
              <w:spacing w:after="0"/>
              <w:rPr>
                <w:sz w:val="20"/>
                <w:szCs w:val="20"/>
                <w:color w:val="auto"/>
              </w:rPr>
            </w:pPr>
            <w:r>
              <w:rPr>
                <w:rFonts w:ascii="Arial" w:cs="Arial" w:eastAsia="Arial" w:hAnsi="Arial"/>
                <w:sz w:val="17"/>
                <w:szCs w:val="17"/>
                <w:color w:val="auto"/>
                <w:w w:val="91"/>
              </w:rPr>
              <w:t>Condensed Consolidated Statements of Financial Condition</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3"/>
        </w:trPr>
        <w:tc>
          <w:tcPr>
            <w:tcW w:w="3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20" w:type="dxa"/>
            <w:vAlign w:val="bottom"/>
            <w:tcBorders>
              <w:top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color w:val="auto"/>
              </w:rPr>
              <w:t>September 30,</w:t>
            </w:r>
          </w:p>
        </w:tc>
        <w:tc>
          <w:tcPr>
            <w:tcW w:w="320" w:type="dxa"/>
            <w:vAlign w:val="bottom"/>
          </w:tcPr>
          <w:p>
            <w:pPr>
              <w:spacing w:after="0"/>
              <w:rPr>
                <w:sz w:val="15"/>
                <w:szCs w:val="15"/>
                <w:color w:val="auto"/>
              </w:rPr>
            </w:pPr>
          </w:p>
        </w:tc>
        <w:tc>
          <w:tcPr>
            <w:tcW w:w="1160" w:type="dxa"/>
            <w:vAlign w:val="bottom"/>
          </w:tcPr>
          <w:p>
            <w:pPr>
              <w:jc w:val="right"/>
              <w:ind w:right="291"/>
              <w:spacing w:after="0"/>
              <w:rPr>
                <w:sz w:val="20"/>
                <w:szCs w:val="20"/>
                <w:color w:val="auto"/>
              </w:rPr>
            </w:pPr>
            <w:r>
              <w:rPr>
                <w:rFonts w:ascii="Arial" w:cs="Arial" w:eastAsia="Arial" w:hAnsi="Arial"/>
                <w:sz w:val="14"/>
                <w:szCs w:val="14"/>
                <w:color w:val="auto"/>
                <w:w w:val="88"/>
              </w:rPr>
              <w:t>December 31,</w:t>
            </w:r>
          </w:p>
        </w:tc>
      </w:tr>
      <w:tr>
        <w:trPr>
          <w:trHeight w:val="186"/>
        </w:trPr>
        <w:tc>
          <w:tcPr>
            <w:tcW w:w="3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color w:val="auto"/>
              </w:rPr>
              <w:t>2023</w:t>
            </w: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rPr>
              <w:t>2022</w:t>
            </w:r>
          </w:p>
        </w:tc>
      </w:tr>
      <w:tr>
        <w:trPr>
          <w:trHeight w:val="186"/>
        </w:trPr>
        <w:tc>
          <w:tcPr>
            <w:tcW w:w="3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871"/>
              <w:spacing w:after="0"/>
              <w:rPr>
                <w:sz w:val="20"/>
                <w:szCs w:val="20"/>
                <w:color w:val="auto"/>
              </w:rPr>
            </w:pPr>
            <w:r>
              <w:rPr>
                <w:rFonts w:ascii="Arial" w:cs="Arial" w:eastAsia="Arial" w:hAnsi="Arial"/>
                <w:sz w:val="14"/>
                <w:szCs w:val="14"/>
                <w:color w:val="auto"/>
                <w:w w:val="90"/>
              </w:rPr>
              <w:t>(Unaudited)</w:t>
            </w:r>
          </w:p>
        </w:tc>
        <w:tc>
          <w:tcPr>
            <w:tcW w:w="1160" w:type="dxa"/>
            <w:vAlign w:val="bottom"/>
            <w:tcBorders>
              <w:bottom w:val="single" w:sz="8" w:color="auto"/>
            </w:tcBorders>
          </w:tcPr>
          <w:p>
            <w:pPr>
              <w:spacing w:after="0"/>
              <w:rPr>
                <w:sz w:val="16"/>
                <w:szCs w:val="16"/>
                <w:color w:val="auto"/>
              </w:rPr>
            </w:pPr>
          </w:p>
        </w:tc>
      </w:tr>
      <w:tr>
        <w:trPr>
          <w:trHeight w:val="129"/>
        </w:trPr>
        <w:tc>
          <w:tcPr>
            <w:tcW w:w="3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40" w:type="dxa"/>
            <w:vAlign w:val="bottom"/>
            <w:gridSpan w:val="4"/>
          </w:tcPr>
          <w:p>
            <w:pPr>
              <w:jc w:val="center"/>
              <w:ind w:right="151"/>
              <w:spacing w:after="0" w:line="129" w:lineRule="exact"/>
              <w:rPr>
                <w:sz w:val="20"/>
                <w:szCs w:val="20"/>
                <w:color w:val="auto"/>
              </w:rPr>
            </w:pPr>
            <w:r>
              <w:rPr>
                <w:rFonts w:ascii="Arial" w:cs="Arial" w:eastAsia="Arial" w:hAnsi="Arial"/>
                <w:sz w:val="14"/>
                <w:szCs w:val="14"/>
                <w:color w:val="auto"/>
                <w:w w:val="86"/>
              </w:rPr>
              <w:t>(In thousands, except share</w:t>
            </w:r>
          </w:p>
        </w:tc>
      </w:tr>
      <w:tr>
        <w:trPr>
          <w:trHeight w:val="174"/>
        </w:trPr>
        <w:tc>
          <w:tcPr>
            <w:tcW w:w="3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3"/>
          </w:tcPr>
          <w:p>
            <w:pPr>
              <w:jc w:val="center"/>
              <w:ind w:left="891"/>
              <w:spacing w:after="0"/>
              <w:rPr>
                <w:sz w:val="20"/>
                <w:szCs w:val="20"/>
                <w:color w:val="auto"/>
              </w:rPr>
            </w:pPr>
            <w:r>
              <w:rPr>
                <w:rFonts w:ascii="Arial" w:cs="Arial" w:eastAsia="Arial" w:hAnsi="Arial"/>
                <w:sz w:val="14"/>
                <w:szCs w:val="14"/>
                <w:color w:val="auto"/>
                <w:w w:val="89"/>
              </w:rPr>
              <w:t>amounts)</w:t>
            </w:r>
          </w:p>
        </w:tc>
        <w:tc>
          <w:tcPr>
            <w:tcW w:w="1160" w:type="dxa"/>
            <w:vAlign w:val="bottom"/>
          </w:tcPr>
          <w:p>
            <w:pPr>
              <w:spacing w:after="0"/>
              <w:rPr>
                <w:sz w:val="15"/>
                <w:szCs w:val="15"/>
                <w:color w:val="auto"/>
              </w:rPr>
            </w:pPr>
          </w:p>
        </w:tc>
      </w:tr>
      <w:tr>
        <w:trPr>
          <w:trHeight w:val="188"/>
        </w:trPr>
        <w:tc>
          <w:tcPr>
            <w:tcW w:w="3220" w:type="dxa"/>
            <w:vAlign w:val="bottom"/>
          </w:tcPr>
          <w:p>
            <w:pPr>
              <w:ind w:left="20"/>
              <w:spacing w:after="0"/>
              <w:rPr>
                <w:sz w:val="20"/>
                <w:szCs w:val="20"/>
                <w:color w:val="auto"/>
              </w:rPr>
            </w:pPr>
            <w:r>
              <w:rPr>
                <w:rFonts w:ascii="Arial" w:cs="Arial" w:eastAsia="Arial" w:hAnsi="Arial"/>
                <w:sz w:val="14"/>
                <w:szCs w:val="14"/>
                <w:color w:val="auto"/>
              </w:rPr>
              <w:t>Assets</w:t>
            </w:r>
          </w:p>
        </w:tc>
        <w:tc>
          <w:tcPr>
            <w:tcW w:w="3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4"/>
        </w:trPr>
        <w:tc>
          <w:tcPr>
            <w:tcW w:w="3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3"/>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due from banks</w:t>
            </w:r>
          </w:p>
        </w:tc>
        <w:tc>
          <w:tcPr>
            <w:tcW w:w="340" w:type="dxa"/>
            <w:vAlign w:val="bottom"/>
            <w:shd w:val="clear" w:color="auto" w:fill="CCEEFF"/>
          </w:tcPr>
          <w:p>
            <w:pPr>
              <w:spacing w:after="0"/>
              <w:rPr>
                <w:sz w:val="16"/>
                <w:szCs w:val="16"/>
                <w:color w:val="auto"/>
              </w:rPr>
            </w:pPr>
          </w:p>
        </w:tc>
        <w:tc>
          <w:tcPr>
            <w:tcW w:w="4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58,567</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70,180</w:t>
            </w:r>
          </w:p>
        </w:tc>
      </w:tr>
      <w:tr>
        <w:trPr>
          <w:trHeight w:val="186"/>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bearing deposits</w:t>
            </w:r>
          </w:p>
        </w:tc>
        <w:tc>
          <w:tcPr>
            <w:tcW w:w="340" w:type="dxa"/>
            <w:vAlign w:val="bottom"/>
            <w:tcBorders>
              <w:bottom w:val="single" w:sz="8" w:color="CCEEFF"/>
            </w:tcBorders>
          </w:tcPr>
          <w:p>
            <w:pPr>
              <w:spacing w:after="0"/>
              <w:rPr>
                <w:sz w:val="16"/>
                <w:szCs w:val="16"/>
                <w:color w:val="auto"/>
              </w:rPr>
            </w:pPr>
          </w:p>
        </w:tc>
        <w:tc>
          <w:tcPr>
            <w:tcW w:w="41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68,894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4,191</w:t>
            </w:r>
          </w:p>
        </w:tc>
      </w:tr>
      <w:tr>
        <w:trPr>
          <w:trHeight w:val="193"/>
        </w:trPr>
        <w:tc>
          <w:tcPr>
            <w:tcW w:w="3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127,461</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74,371</w:t>
            </w:r>
          </w:p>
        </w:tc>
      </w:tr>
      <w:tr>
        <w:trPr>
          <w:trHeight w:val="184"/>
        </w:trPr>
        <w:tc>
          <w:tcPr>
            <w:tcW w:w="3220" w:type="dxa"/>
            <w:vAlign w:val="bottom"/>
          </w:tcPr>
          <w:p>
            <w:pPr>
              <w:ind w:left="20"/>
              <w:spacing w:after="0"/>
              <w:rPr>
                <w:sz w:val="20"/>
                <w:szCs w:val="20"/>
                <w:color w:val="auto"/>
              </w:rPr>
            </w:pPr>
            <w:r>
              <w:rPr>
                <w:rFonts w:ascii="Arial" w:cs="Arial" w:eastAsia="Arial" w:hAnsi="Arial"/>
                <w:sz w:val="14"/>
                <w:szCs w:val="14"/>
                <w:color w:val="auto"/>
              </w:rPr>
              <w:t>Securities available for sale</w:t>
            </w:r>
          </w:p>
        </w:tc>
        <w:tc>
          <w:tcPr>
            <w:tcW w:w="3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684,641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779,347</w:t>
            </w:r>
          </w:p>
        </w:tc>
      </w:tr>
      <w:tr>
        <w:trPr>
          <w:trHeight w:val="203"/>
        </w:trPr>
        <w:tc>
          <w:tcPr>
            <w:tcW w:w="81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Securities held to maturity (fair value of $309,199 at September 30, 2023 and $335,418 at December 31, 2022 )</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358,899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374,818</w:t>
            </w:r>
          </w:p>
        </w:tc>
      </w:tr>
      <w:tr>
        <w:trPr>
          <w:trHeight w:val="184"/>
        </w:trPr>
        <w:tc>
          <w:tcPr>
            <w:tcW w:w="8180" w:type="dxa"/>
            <w:vAlign w:val="bottom"/>
            <w:gridSpan w:val="4"/>
          </w:tcPr>
          <w:p>
            <w:pPr>
              <w:ind w:left="20"/>
              <w:spacing w:after="0"/>
              <w:rPr>
                <w:sz w:val="20"/>
                <w:szCs w:val="20"/>
                <w:color w:val="auto"/>
              </w:rPr>
            </w:pPr>
            <w:r>
              <w:rPr>
                <w:rFonts w:ascii="Arial" w:cs="Arial" w:eastAsia="Arial" w:hAnsi="Arial"/>
                <w:sz w:val="14"/>
                <w:szCs w:val="14"/>
                <w:color w:val="auto"/>
              </w:rPr>
              <w:t>Federal Home Loan Bank and Federal Reserve Bank stock, at cost</w:t>
            </w: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16,821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17,653</w:t>
            </w:r>
          </w:p>
        </w:tc>
      </w:tr>
      <w:tr>
        <w:trPr>
          <w:trHeight w:val="203"/>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Loans held for sale, carried at fair value</w:t>
            </w:r>
          </w:p>
        </w:tc>
        <w:tc>
          <w:tcPr>
            <w:tcW w:w="34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13,979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26,518</w:t>
            </w:r>
          </w:p>
        </w:tc>
      </w:tr>
      <w:tr>
        <w:trPr>
          <w:trHeight w:val="184"/>
        </w:trPr>
        <w:tc>
          <w:tcPr>
            <w:tcW w:w="3220" w:type="dxa"/>
            <w:vAlign w:val="bottom"/>
          </w:tcPr>
          <w:p>
            <w:pPr>
              <w:ind w:left="20"/>
              <w:spacing w:after="0"/>
              <w:rPr>
                <w:sz w:val="20"/>
                <w:szCs w:val="20"/>
                <w:color w:val="auto"/>
              </w:rPr>
            </w:pPr>
            <w:r>
              <w:rPr>
                <w:rFonts w:ascii="Arial" w:cs="Arial" w:eastAsia="Arial" w:hAnsi="Arial"/>
                <w:sz w:val="14"/>
                <w:szCs w:val="14"/>
                <w:color w:val="auto"/>
                <w:w w:val="92"/>
              </w:rPr>
              <w:t>Loans held for sale, carried at lower of cost or fair value</w:t>
            </w:r>
          </w:p>
        </w:tc>
        <w:tc>
          <w:tcPr>
            <w:tcW w:w="3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20,367</w:t>
            </w:r>
          </w:p>
        </w:tc>
      </w:tr>
      <w:tr>
        <w:trPr>
          <w:trHeight w:val="203"/>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Loans</w:t>
            </w:r>
          </w:p>
        </w:tc>
        <w:tc>
          <w:tcPr>
            <w:tcW w:w="34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84"/>
        </w:trPr>
        <w:tc>
          <w:tcPr>
            <w:tcW w:w="3220" w:type="dxa"/>
            <w:vAlign w:val="bottom"/>
          </w:tcPr>
          <w:p>
            <w:pPr>
              <w:ind w:left="180"/>
              <w:spacing w:after="0"/>
              <w:rPr>
                <w:sz w:val="20"/>
                <w:szCs w:val="20"/>
                <w:color w:val="auto"/>
              </w:rPr>
            </w:pPr>
            <w:r>
              <w:rPr>
                <w:rFonts w:ascii="Arial" w:cs="Arial" w:eastAsia="Arial" w:hAnsi="Arial"/>
                <w:sz w:val="14"/>
                <w:szCs w:val="14"/>
                <w:color w:val="auto"/>
              </w:rPr>
              <w:t>Commercial</w:t>
            </w:r>
          </w:p>
        </w:tc>
        <w:tc>
          <w:tcPr>
            <w:tcW w:w="3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1,626,122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1,466,853</w:t>
            </w:r>
          </w:p>
        </w:tc>
      </w:tr>
      <w:tr>
        <w:trPr>
          <w:trHeight w:val="203"/>
        </w:trPr>
        <w:tc>
          <w:tcPr>
            <w:tcW w:w="3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Mortgage</w:t>
            </w:r>
          </w:p>
        </w:tc>
        <w:tc>
          <w:tcPr>
            <w:tcW w:w="34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1,475,908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1,368,409</w:t>
            </w:r>
          </w:p>
        </w:tc>
      </w:tr>
      <w:tr>
        <w:trPr>
          <w:trHeight w:val="186"/>
        </w:trPr>
        <w:tc>
          <w:tcPr>
            <w:tcW w:w="32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Installment</w:t>
            </w:r>
          </w:p>
        </w:tc>
        <w:tc>
          <w:tcPr>
            <w:tcW w:w="340" w:type="dxa"/>
            <w:vAlign w:val="bottom"/>
            <w:tcBorders>
              <w:bottom w:val="single" w:sz="8" w:color="CCEEFF"/>
            </w:tcBorders>
          </w:tcPr>
          <w:p>
            <w:pPr>
              <w:spacing w:after="0"/>
              <w:rPr>
                <w:sz w:val="16"/>
                <w:szCs w:val="16"/>
                <w:color w:val="auto"/>
              </w:rPr>
            </w:pPr>
          </w:p>
        </w:tc>
        <w:tc>
          <w:tcPr>
            <w:tcW w:w="41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639,456</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630,090</w:t>
            </w:r>
          </w:p>
        </w:tc>
      </w:tr>
      <w:tr>
        <w:trPr>
          <w:trHeight w:val="193"/>
        </w:trPr>
        <w:tc>
          <w:tcPr>
            <w:tcW w:w="3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Total Loans</w:t>
            </w: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3,741,486</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3,465,352</w:t>
            </w:r>
          </w:p>
        </w:tc>
      </w:tr>
      <w:tr>
        <w:trPr>
          <w:trHeight w:val="186"/>
        </w:trPr>
        <w:tc>
          <w:tcPr>
            <w:tcW w:w="32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Allowance for credit losses</w:t>
            </w:r>
          </w:p>
        </w:tc>
        <w:tc>
          <w:tcPr>
            <w:tcW w:w="340" w:type="dxa"/>
            <w:vAlign w:val="bottom"/>
            <w:tcBorders>
              <w:bottom w:val="single" w:sz="8" w:color="CCEEFF"/>
            </w:tcBorders>
          </w:tcPr>
          <w:p>
            <w:pPr>
              <w:spacing w:after="0"/>
              <w:rPr>
                <w:sz w:val="16"/>
                <w:szCs w:val="16"/>
                <w:color w:val="auto"/>
              </w:rPr>
            </w:pPr>
          </w:p>
        </w:tc>
        <w:tc>
          <w:tcPr>
            <w:tcW w:w="41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(55,495)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(52,435)</w:t>
            </w:r>
          </w:p>
        </w:tc>
      </w:tr>
      <w:tr>
        <w:trPr>
          <w:trHeight w:val="193"/>
        </w:trPr>
        <w:tc>
          <w:tcPr>
            <w:tcW w:w="3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Net Loans</w:t>
            </w: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3,685,991</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3,412,917</w:t>
            </w:r>
          </w:p>
        </w:tc>
      </w:tr>
      <w:tr>
        <w:trPr>
          <w:trHeight w:val="184"/>
        </w:trPr>
        <w:tc>
          <w:tcPr>
            <w:tcW w:w="3220" w:type="dxa"/>
            <w:vAlign w:val="bottom"/>
          </w:tcPr>
          <w:p>
            <w:pPr>
              <w:ind w:left="20"/>
              <w:spacing w:after="0"/>
              <w:rPr>
                <w:sz w:val="20"/>
                <w:szCs w:val="20"/>
                <w:color w:val="auto"/>
              </w:rPr>
            </w:pPr>
            <w:r>
              <w:rPr>
                <w:rFonts w:ascii="Arial" w:cs="Arial" w:eastAsia="Arial" w:hAnsi="Arial"/>
                <w:sz w:val="14"/>
                <w:szCs w:val="14"/>
                <w:color w:val="auto"/>
              </w:rPr>
              <w:t>Other real estate and repossessed assets, net</w:t>
            </w:r>
          </w:p>
        </w:tc>
        <w:tc>
          <w:tcPr>
            <w:tcW w:w="3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443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455</w:t>
            </w:r>
          </w:p>
        </w:tc>
      </w:tr>
      <w:tr>
        <w:trPr>
          <w:trHeight w:val="203"/>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34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35,346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35,893</w:t>
            </w:r>
          </w:p>
        </w:tc>
      </w:tr>
      <w:tr>
        <w:trPr>
          <w:trHeight w:val="184"/>
        </w:trPr>
        <w:tc>
          <w:tcPr>
            <w:tcW w:w="3220" w:type="dxa"/>
            <w:vAlign w:val="bottom"/>
          </w:tcPr>
          <w:p>
            <w:pPr>
              <w:ind w:left="20"/>
              <w:spacing w:after="0"/>
              <w:rPr>
                <w:sz w:val="20"/>
                <w:szCs w:val="20"/>
                <w:color w:val="auto"/>
              </w:rPr>
            </w:pPr>
            <w:r>
              <w:rPr>
                <w:rFonts w:ascii="Arial" w:cs="Arial" w:eastAsia="Arial" w:hAnsi="Arial"/>
                <w:sz w:val="14"/>
                <w:szCs w:val="14"/>
                <w:color w:val="auto"/>
              </w:rPr>
              <w:t>Bank-owned life insurance</w:t>
            </w:r>
          </w:p>
        </w:tc>
        <w:tc>
          <w:tcPr>
            <w:tcW w:w="3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54,631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55,204</w:t>
            </w:r>
          </w:p>
        </w:tc>
      </w:tr>
      <w:tr>
        <w:trPr>
          <w:trHeight w:val="203"/>
        </w:trPr>
        <w:tc>
          <w:tcPr>
            <w:tcW w:w="81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Capitalized mortgage loan servicing rights, carried at fair value</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46,057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42,489</w:t>
            </w:r>
          </w:p>
        </w:tc>
      </w:tr>
      <w:tr>
        <w:trPr>
          <w:trHeight w:val="184"/>
        </w:trPr>
        <w:tc>
          <w:tcPr>
            <w:tcW w:w="3220" w:type="dxa"/>
            <w:vAlign w:val="bottom"/>
          </w:tcPr>
          <w:p>
            <w:pPr>
              <w:ind w:left="20"/>
              <w:spacing w:after="0"/>
              <w:rPr>
                <w:sz w:val="20"/>
                <w:szCs w:val="20"/>
                <w:color w:val="auto"/>
              </w:rPr>
            </w:pPr>
            <w:r>
              <w:rPr>
                <w:rFonts w:ascii="Arial" w:cs="Arial" w:eastAsia="Arial" w:hAnsi="Arial"/>
                <w:sz w:val="14"/>
                <w:szCs w:val="14"/>
                <w:color w:val="auto"/>
              </w:rPr>
              <w:t>Other intangibles</w:t>
            </w:r>
          </w:p>
        </w:tc>
        <w:tc>
          <w:tcPr>
            <w:tcW w:w="3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2,141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2,551</w:t>
            </w:r>
          </w:p>
        </w:tc>
      </w:tr>
      <w:tr>
        <w:trPr>
          <w:trHeight w:val="203"/>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34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28,300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28,300</w:t>
            </w:r>
          </w:p>
        </w:tc>
      </w:tr>
      <w:tr>
        <w:trPr>
          <w:trHeight w:val="186"/>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Accrued income and other assets</w:t>
            </w:r>
          </w:p>
        </w:tc>
        <w:tc>
          <w:tcPr>
            <w:tcW w:w="340" w:type="dxa"/>
            <w:vAlign w:val="bottom"/>
            <w:tcBorders>
              <w:bottom w:val="single" w:sz="8" w:color="CCEEFF"/>
            </w:tcBorders>
          </w:tcPr>
          <w:p>
            <w:pPr>
              <w:spacing w:after="0"/>
              <w:rPr>
                <w:sz w:val="16"/>
                <w:szCs w:val="16"/>
                <w:color w:val="auto"/>
              </w:rPr>
            </w:pPr>
          </w:p>
        </w:tc>
        <w:tc>
          <w:tcPr>
            <w:tcW w:w="41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145,308</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128,904</w:t>
            </w:r>
          </w:p>
        </w:tc>
      </w:tr>
      <w:tr>
        <w:trPr>
          <w:trHeight w:val="218"/>
        </w:trPr>
        <w:tc>
          <w:tcPr>
            <w:tcW w:w="3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4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5,200,018</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4,999,787</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49"/>
        </w:trPr>
        <w:tc>
          <w:tcPr>
            <w:tcW w:w="3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193"/>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 and Shareholders' Equity</w:t>
            </w:r>
          </w:p>
        </w:tc>
        <w:tc>
          <w:tcPr>
            <w:tcW w:w="340" w:type="dxa"/>
            <w:vAlign w:val="bottom"/>
            <w:shd w:val="clear" w:color="auto" w:fill="CCEEFF"/>
          </w:tcPr>
          <w:p>
            <w:pPr>
              <w:spacing w:after="0"/>
              <w:rPr>
                <w:sz w:val="16"/>
                <w:szCs w:val="16"/>
                <w:color w:val="auto"/>
              </w:rPr>
            </w:pPr>
          </w:p>
        </w:tc>
        <w:tc>
          <w:tcPr>
            <w:tcW w:w="4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84"/>
        </w:trPr>
        <w:tc>
          <w:tcPr>
            <w:tcW w:w="3220" w:type="dxa"/>
            <w:vAlign w:val="bottom"/>
          </w:tcPr>
          <w:p>
            <w:pPr>
              <w:ind w:left="20"/>
              <w:spacing w:after="0"/>
              <w:rPr>
                <w:sz w:val="20"/>
                <w:szCs w:val="20"/>
                <w:color w:val="auto"/>
              </w:rPr>
            </w:pPr>
            <w:r>
              <w:rPr>
                <w:rFonts w:ascii="Arial" w:cs="Arial" w:eastAsia="Arial" w:hAnsi="Arial"/>
                <w:sz w:val="14"/>
                <w:szCs w:val="14"/>
                <w:color w:val="auto"/>
              </w:rPr>
              <w:t>Deposits</w:t>
            </w:r>
          </w:p>
        </w:tc>
        <w:tc>
          <w:tcPr>
            <w:tcW w:w="3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3"/>
        </w:trPr>
        <w:tc>
          <w:tcPr>
            <w:tcW w:w="3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Non-interest bearing</w:t>
            </w:r>
          </w:p>
        </w:tc>
        <w:tc>
          <w:tcPr>
            <w:tcW w:w="34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1,141,641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1,269,759</w:t>
            </w:r>
          </w:p>
        </w:tc>
      </w:tr>
      <w:tr>
        <w:trPr>
          <w:trHeight w:val="184"/>
        </w:trPr>
        <w:tc>
          <w:tcPr>
            <w:tcW w:w="3220" w:type="dxa"/>
            <w:vAlign w:val="bottom"/>
          </w:tcPr>
          <w:p>
            <w:pPr>
              <w:ind w:left="180"/>
              <w:spacing w:after="0"/>
              <w:rPr>
                <w:sz w:val="20"/>
                <w:szCs w:val="20"/>
                <w:color w:val="auto"/>
              </w:rPr>
            </w:pPr>
            <w:r>
              <w:rPr>
                <w:rFonts w:ascii="Arial" w:cs="Arial" w:eastAsia="Arial" w:hAnsi="Arial"/>
                <w:sz w:val="14"/>
                <w:szCs w:val="14"/>
                <w:color w:val="auto"/>
              </w:rPr>
              <w:t>Savings and interest-bearing checking</w:t>
            </w:r>
          </w:p>
        </w:tc>
        <w:tc>
          <w:tcPr>
            <w:tcW w:w="3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1,929,947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1,973,308</w:t>
            </w:r>
          </w:p>
        </w:tc>
      </w:tr>
      <w:tr>
        <w:trPr>
          <w:trHeight w:val="203"/>
        </w:trPr>
        <w:tc>
          <w:tcPr>
            <w:tcW w:w="3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Reciprocal</w:t>
            </w:r>
          </w:p>
        </w:tc>
        <w:tc>
          <w:tcPr>
            <w:tcW w:w="34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799,883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602,575</w:t>
            </w:r>
          </w:p>
        </w:tc>
      </w:tr>
      <w:tr>
        <w:trPr>
          <w:trHeight w:val="184"/>
        </w:trPr>
        <w:tc>
          <w:tcPr>
            <w:tcW w:w="3220" w:type="dxa"/>
            <w:vAlign w:val="bottom"/>
          </w:tcPr>
          <w:p>
            <w:pPr>
              <w:ind w:left="180"/>
              <w:spacing w:after="0"/>
              <w:rPr>
                <w:sz w:val="20"/>
                <w:szCs w:val="20"/>
                <w:color w:val="auto"/>
              </w:rPr>
            </w:pPr>
            <w:r>
              <w:rPr>
                <w:rFonts w:ascii="Arial" w:cs="Arial" w:eastAsia="Arial" w:hAnsi="Arial"/>
                <w:sz w:val="14"/>
                <w:szCs w:val="14"/>
                <w:color w:val="auto"/>
              </w:rPr>
              <w:t>Time</w:t>
            </w:r>
          </w:p>
        </w:tc>
        <w:tc>
          <w:tcPr>
            <w:tcW w:w="3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477,928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321,492</w:t>
            </w:r>
          </w:p>
        </w:tc>
      </w:tr>
      <w:tr>
        <w:trPr>
          <w:trHeight w:val="203"/>
        </w:trPr>
        <w:tc>
          <w:tcPr>
            <w:tcW w:w="3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Brokered time</w:t>
            </w:r>
          </w:p>
        </w:tc>
        <w:tc>
          <w:tcPr>
            <w:tcW w:w="34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236,213</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211,935</w:t>
            </w:r>
          </w:p>
        </w:tc>
      </w:tr>
      <w:tr>
        <w:trPr>
          <w:trHeight w:val="177"/>
        </w:trPr>
        <w:tc>
          <w:tcPr>
            <w:tcW w:w="3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20" w:type="dxa"/>
            <w:vAlign w:val="bottom"/>
            <w:gridSpan w:val="2"/>
          </w:tcPr>
          <w:p>
            <w:pPr>
              <w:jc w:val="right"/>
              <w:ind w:right="100"/>
              <w:spacing w:after="0"/>
              <w:rPr>
                <w:sz w:val="20"/>
                <w:szCs w:val="20"/>
                <w:color w:val="auto"/>
              </w:rPr>
            </w:pPr>
            <w:r>
              <w:rPr>
                <w:rFonts w:ascii="Arial" w:cs="Arial" w:eastAsia="Arial" w:hAnsi="Arial"/>
                <w:sz w:val="14"/>
                <w:szCs w:val="14"/>
                <w:color w:val="auto"/>
              </w:rPr>
              <w:t>Total Deposits</w:t>
            </w: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4,585,612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4,379,069</w:t>
            </w:r>
          </w:p>
        </w:tc>
      </w:tr>
      <w:tr>
        <w:trPr>
          <w:trHeight w:val="203"/>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borrowings</w:t>
            </w:r>
          </w:p>
        </w:tc>
        <w:tc>
          <w:tcPr>
            <w:tcW w:w="34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50,014</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86,006</w:t>
            </w:r>
          </w:p>
        </w:tc>
      </w:tr>
      <w:tr>
        <w:trPr>
          <w:trHeight w:val="184"/>
        </w:trPr>
        <w:tc>
          <w:tcPr>
            <w:tcW w:w="3220" w:type="dxa"/>
            <w:vAlign w:val="bottom"/>
          </w:tcPr>
          <w:p>
            <w:pPr>
              <w:ind w:left="20"/>
              <w:spacing w:after="0"/>
              <w:rPr>
                <w:sz w:val="20"/>
                <w:szCs w:val="20"/>
                <w:color w:val="auto"/>
              </w:rPr>
            </w:pPr>
            <w:r>
              <w:rPr>
                <w:rFonts w:ascii="Arial" w:cs="Arial" w:eastAsia="Arial" w:hAnsi="Arial"/>
                <w:sz w:val="14"/>
                <w:szCs w:val="14"/>
                <w:color w:val="auto"/>
              </w:rPr>
              <w:t>Subordinated debt</w:t>
            </w:r>
          </w:p>
        </w:tc>
        <w:tc>
          <w:tcPr>
            <w:tcW w:w="3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39,491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39,433</w:t>
            </w:r>
          </w:p>
        </w:tc>
      </w:tr>
      <w:tr>
        <w:trPr>
          <w:trHeight w:val="203"/>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Subordinated debentures</w:t>
            </w:r>
          </w:p>
        </w:tc>
        <w:tc>
          <w:tcPr>
            <w:tcW w:w="34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39,711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39,660</w:t>
            </w:r>
          </w:p>
        </w:tc>
      </w:tr>
      <w:tr>
        <w:trPr>
          <w:trHeight w:val="186"/>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Accrued expenses and other liabilities</w:t>
            </w:r>
          </w:p>
        </w:tc>
        <w:tc>
          <w:tcPr>
            <w:tcW w:w="340" w:type="dxa"/>
            <w:vAlign w:val="bottom"/>
            <w:tcBorders>
              <w:bottom w:val="single" w:sz="8" w:color="CCEEFF"/>
            </w:tcBorders>
          </w:tcPr>
          <w:p>
            <w:pPr>
              <w:spacing w:after="0"/>
              <w:rPr>
                <w:sz w:val="16"/>
                <w:szCs w:val="16"/>
                <w:color w:val="auto"/>
              </w:rPr>
            </w:pPr>
          </w:p>
        </w:tc>
        <w:tc>
          <w:tcPr>
            <w:tcW w:w="41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110,192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108,023</w:t>
            </w:r>
          </w:p>
        </w:tc>
      </w:tr>
      <w:tr>
        <w:trPr>
          <w:trHeight w:val="193"/>
        </w:trPr>
        <w:tc>
          <w:tcPr>
            <w:tcW w:w="3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Total Liabilities</w:t>
            </w:r>
          </w:p>
        </w:tc>
        <w:tc>
          <w:tcPr>
            <w:tcW w:w="2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4,825,020</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4,652,191</w:t>
            </w:r>
          </w:p>
        </w:tc>
      </w:tr>
      <w:tr>
        <w:trPr>
          <w:trHeight w:val="164"/>
        </w:trPr>
        <w:tc>
          <w:tcPr>
            <w:tcW w:w="3220" w:type="dxa"/>
            <w:vAlign w:val="bottom"/>
          </w:tcPr>
          <w:p>
            <w:pPr>
              <w:ind w:left="20"/>
              <w:spacing w:after="0" w:line="155" w:lineRule="exact"/>
              <w:rPr>
                <w:sz w:val="20"/>
                <w:szCs w:val="20"/>
                <w:color w:val="auto"/>
              </w:rPr>
            </w:pPr>
            <w:r>
              <w:rPr>
                <w:rFonts w:ascii="Arial" w:cs="Arial" w:eastAsia="Arial" w:hAnsi="Arial"/>
                <w:sz w:val="14"/>
                <w:szCs w:val="14"/>
                <w:color w:val="auto"/>
              </w:rPr>
              <w:t>Commitments and contingent liabilities</w:t>
            </w:r>
          </w:p>
        </w:tc>
        <w:tc>
          <w:tcPr>
            <w:tcW w:w="3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03"/>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Shareholders’ Equity</w:t>
            </w:r>
          </w:p>
        </w:tc>
        <w:tc>
          <w:tcPr>
            <w:tcW w:w="34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5"/>
        </w:trPr>
        <w:tc>
          <w:tcPr>
            <w:tcW w:w="8180" w:type="dxa"/>
            <w:vAlign w:val="bottom"/>
            <w:gridSpan w:val="4"/>
          </w:tcPr>
          <w:p>
            <w:pPr>
              <w:ind w:left="180"/>
              <w:spacing w:after="0"/>
              <w:rPr>
                <w:sz w:val="20"/>
                <w:szCs w:val="20"/>
                <w:color w:val="auto"/>
              </w:rPr>
            </w:pPr>
            <w:r>
              <w:rPr>
                <w:rFonts w:ascii="Arial" w:cs="Arial" w:eastAsia="Arial" w:hAnsi="Arial"/>
                <w:sz w:val="14"/>
                <w:szCs w:val="14"/>
                <w:color w:val="auto"/>
              </w:rPr>
              <w:t>Preferred stock, no par value, 200,000 shares authorized; none issued or outstanding</w:t>
            </w:r>
          </w:p>
        </w:tc>
        <w:tc>
          <w:tcPr>
            <w:tcW w:w="22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
        </w:trPr>
        <w:tc>
          <w:tcPr>
            <w:tcW w:w="8180" w:type="dxa"/>
            <w:vAlign w:val="bottom"/>
            <w:gridSpan w:val="4"/>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62"/>
        </w:trPr>
        <w:tc>
          <w:tcPr>
            <w:tcW w:w="8180" w:type="dxa"/>
            <w:vAlign w:val="bottom"/>
            <w:gridSpan w:val="4"/>
            <w:shd w:val="clear" w:color="auto" w:fill="CCEEFF"/>
          </w:tcPr>
          <w:p>
            <w:pPr>
              <w:ind w:left="180"/>
              <w:spacing w:after="0"/>
              <w:rPr>
                <w:sz w:val="20"/>
                <w:szCs w:val="20"/>
                <w:color w:val="auto"/>
              </w:rPr>
            </w:pPr>
            <w:r>
              <w:rPr>
                <w:rFonts w:ascii="Arial" w:cs="Arial" w:eastAsia="Arial" w:hAnsi="Arial"/>
                <w:sz w:val="14"/>
                <w:szCs w:val="14"/>
                <w:color w:val="auto"/>
                <w:w w:val="88"/>
              </w:rPr>
              <w:t>Common stock, no par value, 500,000,000 shares authorized; issued and outstanding: 20,850,455 shares at September 30, 2023 and 21,063,971</w:t>
            </w: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05"/>
        </w:trPr>
        <w:tc>
          <w:tcPr>
            <w:tcW w:w="3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shares at December 31, 2022</w:t>
            </w:r>
          </w:p>
        </w:tc>
        <w:tc>
          <w:tcPr>
            <w:tcW w:w="340" w:type="dxa"/>
            <w:vAlign w:val="bottom"/>
            <w:tcBorders>
              <w:bottom w:val="single" w:sz="8" w:color="CCEEFF"/>
            </w:tcBorders>
            <w:shd w:val="clear" w:color="auto" w:fill="CCEEFF"/>
          </w:tcPr>
          <w:p>
            <w:pPr>
              <w:spacing w:after="0"/>
              <w:rPr>
                <w:sz w:val="17"/>
                <w:szCs w:val="17"/>
                <w:color w:val="auto"/>
              </w:rPr>
            </w:pPr>
          </w:p>
        </w:tc>
        <w:tc>
          <w:tcPr>
            <w:tcW w:w="4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317,145</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320,991</w:t>
            </w:r>
          </w:p>
        </w:tc>
      </w:tr>
      <w:tr>
        <w:trPr>
          <w:trHeight w:val="195"/>
        </w:trPr>
        <w:tc>
          <w:tcPr>
            <w:tcW w:w="3220" w:type="dxa"/>
            <w:vAlign w:val="bottom"/>
          </w:tcPr>
          <w:p>
            <w:pPr>
              <w:ind w:left="180"/>
              <w:spacing w:after="0"/>
              <w:rPr>
                <w:sz w:val="20"/>
                <w:szCs w:val="20"/>
                <w:color w:val="auto"/>
              </w:rPr>
            </w:pPr>
            <w:r>
              <w:rPr>
                <w:rFonts w:ascii="Arial" w:cs="Arial" w:eastAsia="Arial" w:hAnsi="Arial"/>
                <w:sz w:val="14"/>
                <w:szCs w:val="14"/>
                <w:color w:val="auto"/>
              </w:rPr>
              <w:t>Retained earnings</w:t>
            </w:r>
          </w:p>
        </w:tc>
        <w:tc>
          <w:tcPr>
            <w:tcW w:w="3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150,157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119,368</w:t>
            </w:r>
          </w:p>
        </w:tc>
      </w:tr>
      <w:tr>
        <w:trPr>
          <w:trHeight w:val="24"/>
        </w:trPr>
        <w:tc>
          <w:tcPr>
            <w:tcW w:w="3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9"/>
        </w:trPr>
        <w:tc>
          <w:tcPr>
            <w:tcW w:w="3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loss</w:t>
            </w:r>
          </w:p>
        </w:tc>
        <w:tc>
          <w:tcPr>
            <w:tcW w:w="340" w:type="dxa"/>
            <w:vAlign w:val="bottom"/>
            <w:tcBorders>
              <w:bottom w:val="single" w:sz="8" w:color="CCEEFF"/>
            </w:tcBorders>
            <w:shd w:val="clear" w:color="auto" w:fill="CCEEFF"/>
          </w:tcPr>
          <w:p>
            <w:pPr>
              <w:spacing w:after="0"/>
              <w:rPr>
                <w:sz w:val="19"/>
                <w:szCs w:val="19"/>
                <w:color w:val="auto"/>
              </w:rPr>
            </w:pPr>
          </w:p>
        </w:tc>
        <w:tc>
          <w:tcPr>
            <w:tcW w:w="4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(92,304)</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(92,763)</w:t>
            </w:r>
          </w:p>
        </w:tc>
      </w:tr>
      <w:tr>
        <w:trPr>
          <w:trHeight w:val="179"/>
        </w:trPr>
        <w:tc>
          <w:tcPr>
            <w:tcW w:w="322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46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4"/>
                <w:szCs w:val="14"/>
                <w:color w:val="auto"/>
              </w:rPr>
              <w:t>Total Shareholders’ Equity</w:t>
            </w:r>
          </w:p>
        </w:tc>
        <w:tc>
          <w:tcPr>
            <w:tcW w:w="22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374,998</w:t>
            </w:r>
          </w:p>
        </w:tc>
        <w:tc>
          <w:tcPr>
            <w:tcW w:w="8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347,596</w:t>
            </w:r>
          </w:p>
        </w:tc>
      </w:tr>
      <w:tr>
        <w:trPr>
          <w:trHeight w:val="218"/>
        </w:trPr>
        <w:tc>
          <w:tcPr>
            <w:tcW w:w="3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4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Total Liabilities and Shareholders’ Equity</w:t>
            </w:r>
          </w:p>
        </w:tc>
        <w:tc>
          <w:tcPr>
            <w:tcW w:w="2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5,200,018</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4,999,787</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See notes to interim condensed consolidated financial statements (Unaudited)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INDEPENDENT BANK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Condensed Consolidated Statements of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160" w:type="dxa"/>
            <w:vAlign w:val="bottom"/>
          </w:tcPr>
          <w:p>
            <w:pPr>
              <w:spacing w:after="0"/>
              <w:rPr>
                <w:sz w:val="15"/>
                <w:szCs w:val="15"/>
                <w:color w:val="auto"/>
              </w:rPr>
            </w:pPr>
          </w:p>
        </w:tc>
        <w:tc>
          <w:tcPr>
            <w:tcW w:w="2580" w:type="dxa"/>
            <w:vAlign w:val="bottom"/>
            <w:gridSpan w:val="6"/>
          </w:tcPr>
          <w:p>
            <w:pPr>
              <w:ind w:left="280"/>
              <w:spacing w:after="0"/>
              <w:rPr>
                <w:sz w:val="20"/>
                <w:szCs w:val="20"/>
                <w:color w:val="auto"/>
              </w:rPr>
            </w:pPr>
            <w:r>
              <w:rPr>
                <w:rFonts w:ascii="Arial" w:cs="Arial" w:eastAsia="Arial" w:hAnsi="Arial"/>
                <w:sz w:val="14"/>
                <w:szCs w:val="14"/>
                <w:color w:val="auto"/>
              </w:rPr>
              <w:t>Three months ended September 30,</w:t>
            </w:r>
          </w:p>
        </w:tc>
        <w:tc>
          <w:tcPr>
            <w:tcW w:w="200" w:type="dxa"/>
            <w:vAlign w:val="bottom"/>
          </w:tcPr>
          <w:p>
            <w:pPr>
              <w:spacing w:after="0"/>
              <w:rPr>
                <w:sz w:val="15"/>
                <w:szCs w:val="15"/>
                <w:color w:val="auto"/>
              </w:rPr>
            </w:pPr>
          </w:p>
        </w:tc>
        <w:tc>
          <w:tcPr>
            <w:tcW w:w="2300" w:type="dxa"/>
            <w:vAlign w:val="bottom"/>
            <w:gridSpan w:val="4"/>
          </w:tcPr>
          <w:p>
            <w:pPr>
              <w:jc w:val="right"/>
              <w:ind w:right="231"/>
              <w:spacing w:after="0"/>
              <w:rPr>
                <w:sz w:val="20"/>
                <w:szCs w:val="20"/>
                <w:color w:val="auto"/>
              </w:rPr>
            </w:pPr>
            <w:r>
              <w:rPr>
                <w:rFonts w:ascii="Arial" w:cs="Arial" w:eastAsia="Arial" w:hAnsi="Arial"/>
                <w:sz w:val="14"/>
                <w:szCs w:val="14"/>
                <w:color w:val="auto"/>
                <w:w w:val="91"/>
              </w:rPr>
              <w:t>Nine months ended September 30,</w:t>
            </w:r>
          </w:p>
        </w:tc>
        <w:tc>
          <w:tcPr>
            <w:tcW w:w="0" w:type="dxa"/>
            <w:vAlign w:val="bottom"/>
          </w:tcPr>
          <w:p>
            <w:pPr>
              <w:spacing w:after="0"/>
              <w:rPr>
                <w:sz w:val="1"/>
                <w:szCs w:val="1"/>
                <w:color w:val="auto"/>
              </w:rPr>
            </w:pPr>
          </w:p>
        </w:tc>
      </w:tr>
      <w:tr>
        <w:trPr>
          <w:trHeight w:val="193"/>
        </w:trPr>
        <w:tc>
          <w:tcPr>
            <w:tcW w:w="6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2023</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391"/>
              <w:spacing w:after="0"/>
              <w:rPr>
                <w:sz w:val="20"/>
                <w:szCs w:val="20"/>
                <w:color w:val="auto"/>
              </w:rPr>
            </w:pPr>
            <w:r>
              <w:rPr>
                <w:rFonts w:ascii="Arial" w:cs="Arial" w:eastAsia="Arial" w:hAnsi="Arial"/>
                <w:sz w:val="14"/>
                <w:szCs w:val="14"/>
                <w:color w:val="auto"/>
              </w:rPr>
              <w:t>2022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411"/>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ind w:right="391"/>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4"/>
        </w:trPr>
        <w:tc>
          <w:tcPr>
            <w:tcW w:w="6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20" w:type="dxa"/>
            <w:vAlign w:val="bottom"/>
            <w:gridSpan w:val="5"/>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6160" w:type="dxa"/>
            <w:vAlign w:val="bottom"/>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1740" w:type="dxa"/>
            <w:vAlign w:val="bottom"/>
            <w:tcBorders>
              <w:top w:val="single" w:sz="8" w:color="auto"/>
              <w:bottom w:val="single" w:sz="8" w:color="auto"/>
            </w:tcBorders>
            <w:gridSpan w:val="4"/>
          </w:tcPr>
          <w:p>
            <w:pPr>
              <w:jc w:val="right"/>
              <w:ind w:right="851"/>
              <w:spacing w:after="0"/>
              <w:rPr>
                <w:sz w:val="20"/>
                <w:szCs w:val="20"/>
                <w:color w:val="auto"/>
              </w:rPr>
            </w:pPr>
            <w:r>
              <w:rPr>
                <w:rFonts w:ascii="Arial" w:cs="Arial" w:eastAsia="Arial" w:hAnsi="Arial"/>
                <w:sz w:val="14"/>
                <w:szCs w:val="14"/>
                <w:color w:val="auto"/>
              </w:rPr>
              <w:t>(Unaudited)</w:t>
            </w:r>
          </w:p>
        </w:tc>
        <w:tc>
          <w:tcPr>
            <w:tcW w:w="80" w:type="dxa"/>
            <w:vAlign w:val="bottom"/>
            <w:tcBorders>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gridSpan w:val="3"/>
          </w:tcPr>
          <w:p>
            <w:pPr>
              <w:jc w:val="right"/>
              <w:ind w:right="31"/>
              <w:spacing w:after="0"/>
              <w:rPr>
                <w:sz w:val="20"/>
                <w:szCs w:val="20"/>
                <w:color w:val="auto"/>
              </w:rPr>
            </w:pPr>
            <w:r>
              <w:rPr>
                <w:rFonts w:ascii="Arial" w:cs="Arial" w:eastAsia="Arial" w:hAnsi="Arial"/>
                <w:sz w:val="14"/>
                <w:szCs w:val="14"/>
                <w:color w:val="auto"/>
              </w:rPr>
              <w:t>(Unaudited)</w:t>
            </w:r>
          </w:p>
        </w:tc>
        <w:tc>
          <w:tcPr>
            <w:tcW w:w="82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5"/>
          </w:tcPr>
          <w:p>
            <w:pPr>
              <w:ind w:left="20"/>
              <w:spacing w:after="0"/>
              <w:rPr>
                <w:sz w:val="20"/>
                <w:szCs w:val="20"/>
                <w:color w:val="auto"/>
              </w:rPr>
            </w:pPr>
            <w:r>
              <w:rPr>
                <w:rFonts w:ascii="Arial" w:cs="Arial" w:eastAsia="Arial" w:hAnsi="Arial"/>
                <w:sz w:val="14"/>
                <w:szCs w:val="14"/>
                <w:color w:val="auto"/>
                <w:w w:val="94"/>
              </w:rPr>
              <w:t>(In thousands, except per share amounts)</w:t>
            </w: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16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and fees on loans</w:t>
            </w:r>
          </w:p>
        </w:tc>
        <w:tc>
          <w:tcPr>
            <w:tcW w:w="760" w:type="dxa"/>
            <w:vAlign w:val="bottom"/>
            <w:shd w:val="clear" w:color="auto" w:fill="CCEEFF"/>
          </w:tcPr>
          <w:p>
            <w:pPr>
              <w:jc w:val="right"/>
              <w:ind w:right="591"/>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51,419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37,092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143,392</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96,964</w:t>
            </w:r>
          </w:p>
        </w:tc>
        <w:tc>
          <w:tcPr>
            <w:tcW w:w="0" w:type="dxa"/>
            <w:vAlign w:val="bottom"/>
          </w:tcPr>
          <w:p>
            <w:pPr>
              <w:spacing w:after="0"/>
              <w:rPr>
                <w:sz w:val="1"/>
                <w:szCs w:val="1"/>
                <w:color w:val="auto"/>
              </w:rPr>
            </w:pPr>
          </w:p>
        </w:tc>
      </w:tr>
      <w:tr>
        <w:trPr>
          <w:trHeight w:val="184"/>
        </w:trPr>
        <w:tc>
          <w:tcPr>
            <w:tcW w:w="6160" w:type="dxa"/>
            <w:vAlign w:val="bottom"/>
          </w:tcPr>
          <w:p>
            <w:pPr>
              <w:ind w:left="280"/>
              <w:spacing w:after="0"/>
              <w:rPr>
                <w:sz w:val="20"/>
                <w:szCs w:val="20"/>
                <w:color w:val="auto"/>
              </w:rPr>
            </w:pPr>
            <w:r>
              <w:rPr>
                <w:rFonts w:ascii="Arial" w:cs="Arial" w:eastAsia="Arial" w:hAnsi="Arial"/>
                <w:sz w:val="14"/>
                <w:szCs w:val="14"/>
                <w:color w:val="auto"/>
              </w:rPr>
              <w:t>Interest on securities</w:t>
            </w: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Taxable</w:t>
            </w: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17,668</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14,831</w:t>
            </w:r>
          </w:p>
        </w:tc>
        <w:tc>
          <w:tcPr>
            <w:tcW w:w="0" w:type="dxa"/>
            <w:vAlign w:val="bottom"/>
          </w:tcPr>
          <w:p>
            <w:pPr>
              <w:spacing w:after="0"/>
              <w:rPr>
                <w:sz w:val="1"/>
                <w:szCs w:val="1"/>
                <w:color w:val="auto"/>
              </w:rPr>
            </w:pPr>
          </w:p>
        </w:tc>
      </w:tr>
      <w:tr>
        <w:trPr>
          <w:trHeight w:val="184"/>
        </w:trPr>
        <w:tc>
          <w:tcPr>
            <w:tcW w:w="6160" w:type="dxa"/>
            <w:vAlign w:val="bottom"/>
          </w:tcPr>
          <w:p>
            <w:pPr>
              <w:ind w:left="540"/>
              <w:spacing w:after="0"/>
              <w:rPr>
                <w:sz w:val="20"/>
                <w:szCs w:val="20"/>
                <w:color w:val="auto"/>
              </w:rPr>
            </w:pPr>
            <w:r>
              <w:rPr>
                <w:rFonts w:ascii="Arial" w:cs="Arial" w:eastAsia="Arial" w:hAnsi="Arial"/>
                <w:sz w:val="14"/>
                <w:szCs w:val="14"/>
                <w:color w:val="auto"/>
              </w:rPr>
              <w:t>Tax-exempt</w:t>
            </w:r>
          </w:p>
        </w:tc>
        <w:tc>
          <w:tcPr>
            <w:tcW w:w="7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3,409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2,284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9,775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5,584</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investments</w:t>
            </w:r>
          </w:p>
        </w:tc>
        <w:tc>
          <w:tcPr>
            <w:tcW w:w="7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1,739</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3,481</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651</w:t>
            </w:r>
          </w:p>
        </w:tc>
        <w:tc>
          <w:tcPr>
            <w:tcW w:w="0" w:type="dxa"/>
            <w:vAlign w:val="bottom"/>
          </w:tcPr>
          <w:p>
            <w:pPr>
              <w:spacing w:after="0"/>
              <w:rPr>
                <w:sz w:val="1"/>
                <w:szCs w:val="1"/>
                <w:color w:val="auto"/>
              </w:rPr>
            </w:pPr>
          </w:p>
        </w:tc>
      </w:tr>
      <w:tr>
        <w:trPr>
          <w:trHeight w:val="179"/>
        </w:trPr>
        <w:tc>
          <w:tcPr>
            <w:tcW w:w="6160" w:type="dxa"/>
            <w:vAlign w:val="bottom"/>
            <w:tcBorders>
              <w:bottom w:val="single" w:sz="8" w:color="CCEEFF"/>
            </w:tcBorders>
          </w:tcPr>
          <w:p>
            <w:pPr>
              <w:jc w:val="right"/>
              <w:ind w:right="11"/>
              <w:spacing w:after="0"/>
              <w:rPr>
                <w:sz w:val="20"/>
                <w:szCs w:val="20"/>
                <w:color w:val="auto"/>
              </w:rPr>
            </w:pPr>
            <w:r>
              <w:rPr>
                <w:rFonts w:ascii="Arial" w:cs="Arial" w:eastAsia="Arial" w:hAnsi="Arial"/>
                <w:sz w:val="14"/>
                <w:szCs w:val="14"/>
                <w:color w:val="auto"/>
              </w:rPr>
              <w:t>Total Interest Income</w:t>
            </w:r>
          </w:p>
        </w:tc>
        <w:tc>
          <w:tcPr>
            <w:tcW w:w="7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62,432</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44,925</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174,316</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118,030</w:t>
            </w:r>
          </w:p>
        </w:tc>
        <w:tc>
          <w:tcPr>
            <w:tcW w:w="0" w:type="dxa"/>
            <w:vAlign w:val="bottom"/>
          </w:tcPr>
          <w:p>
            <w:pPr>
              <w:spacing w:after="0"/>
              <w:rPr>
                <w:sz w:val="1"/>
                <w:szCs w:val="1"/>
                <w:color w:val="auto"/>
              </w:rPr>
            </w:pPr>
          </w:p>
        </w:tc>
      </w:tr>
      <w:tr>
        <w:trPr>
          <w:trHeight w:val="180"/>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7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160" w:type="dxa"/>
            <w:vAlign w:val="bottom"/>
          </w:tcPr>
          <w:p>
            <w:pPr>
              <w:ind w:left="280"/>
              <w:spacing w:after="0"/>
              <w:rPr>
                <w:sz w:val="20"/>
                <w:szCs w:val="20"/>
                <w:color w:val="auto"/>
              </w:rPr>
            </w:pPr>
            <w:r>
              <w:rPr>
                <w:rFonts w:ascii="Arial" w:cs="Arial" w:eastAsia="Arial" w:hAnsi="Arial"/>
                <w:sz w:val="14"/>
                <w:szCs w:val="14"/>
                <w:color w:val="auto"/>
              </w:rPr>
              <w:t>Deposits</w:t>
            </w:r>
          </w:p>
        </w:tc>
        <w:tc>
          <w:tcPr>
            <w:tcW w:w="7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8"/>
              </w:rPr>
              <w:t>20,743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3,625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51,964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5,608</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borrowings and subordinated debt and debentures</w:t>
            </w:r>
          </w:p>
        </w:tc>
        <w:tc>
          <w:tcPr>
            <w:tcW w:w="7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2,262</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1,403</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6,134</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3,463</w:t>
            </w:r>
          </w:p>
        </w:tc>
        <w:tc>
          <w:tcPr>
            <w:tcW w:w="0" w:type="dxa"/>
            <w:vAlign w:val="bottom"/>
          </w:tcPr>
          <w:p>
            <w:pPr>
              <w:spacing w:after="0"/>
              <w:rPr>
                <w:sz w:val="1"/>
                <w:szCs w:val="1"/>
                <w:color w:val="auto"/>
              </w:rPr>
            </w:pPr>
          </w:p>
        </w:tc>
      </w:tr>
      <w:tr>
        <w:trPr>
          <w:trHeight w:val="179"/>
        </w:trPr>
        <w:tc>
          <w:tcPr>
            <w:tcW w:w="6160" w:type="dxa"/>
            <w:vAlign w:val="bottom"/>
            <w:tcBorders>
              <w:bottom w:val="single" w:sz="8" w:color="CCEEFF"/>
            </w:tcBorders>
          </w:tcPr>
          <w:p>
            <w:pPr>
              <w:jc w:val="right"/>
              <w:ind w:right="11"/>
              <w:spacing w:after="0"/>
              <w:rPr>
                <w:sz w:val="20"/>
                <w:szCs w:val="20"/>
                <w:color w:val="auto"/>
              </w:rPr>
            </w:pPr>
            <w:r>
              <w:rPr>
                <w:rFonts w:ascii="Arial" w:cs="Arial" w:eastAsia="Arial" w:hAnsi="Arial"/>
                <w:sz w:val="14"/>
                <w:szCs w:val="14"/>
                <w:color w:val="auto"/>
              </w:rPr>
              <w:t>Total Interest Expense</w:t>
            </w:r>
          </w:p>
        </w:tc>
        <w:tc>
          <w:tcPr>
            <w:tcW w:w="7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23,005</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5,028</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58,098</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9,071</w:t>
            </w:r>
          </w:p>
        </w:tc>
        <w:tc>
          <w:tcPr>
            <w:tcW w:w="0" w:type="dxa"/>
            <w:vAlign w:val="bottom"/>
          </w:tcPr>
          <w:p>
            <w:pPr>
              <w:spacing w:after="0"/>
              <w:rPr>
                <w:sz w:val="1"/>
                <w:szCs w:val="1"/>
                <w:color w:val="auto"/>
              </w:rPr>
            </w:pPr>
          </w:p>
        </w:tc>
      </w:tr>
      <w:tr>
        <w:trPr>
          <w:trHeight w:val="193"/>
        </w:trPr>
        <w:tc>
          <w:tcPr>
            <w:tcW w:w="6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Net Interest Income</w:t>
            </w:r>
          </w:p>
        </w:tc>
        <w:tc>
          <w:tcPr>
            <w:tcW w:w="7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39,427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39,897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116,218</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108,959</w:t>
            </w:r>
          </w:p>
        </w:tc>
        <w:tc>
          <w:tcPr>
            <w:tcW w:w="0" w:type="dxa"/>
            <w:vAlign w:val="bottom"/>
          </w:tcPr>
          <w:p>
            <w:pPr>
              <w:spacing w:after="0"/>
              <w:rPr>
                <w:sz w:val="1"/>
                <w:szCs w:val="1"/>
                <w:color w:val="auto"/>
              </w:rPr>
            </w:pPr>
          </w:p>
        </w:tc>
      </w:tr>
      <w:tr>
        <w:trPr>
          <w:trHeight w:val="186"/>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credit losses</w:t>
            </w:r>
          </w:p>
        </w:tc>
        <w:tc>
          <w:tcPr>
            <w:tcW w:w="7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1,350</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3,145</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6,827</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3,951</w:t>
            </w:r>
          </w:p>
        </w:tc>
        <w:tc>
          <w:tcPr>
            <w:tcW w:w="0" w:type="dxa"/>
            <w:vAlign w:val="bottom"/>
          </w:tcPr>
          <w:p>
            <w:pPr>
              <w:spacing w:after="0"/>
              <w:rPr>
                <w:sz w:val="1"/>
                <w:szCs w:val="1"/>
                <w:color w:val="auto"/>
              </w:rPr>
            </w:pPr>
          </w:p>
        </w:tc>
      </w:tr>
      <w:tr>
        <w:trPr>
          <w:trHeight w:val="193"/>
        </w:trPr>
        <w:tc>
          <w:tcPr>
            <w:tcW w:w="6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Net Interest Income After Provision for Credit Losses</w:t>
            </w:r>
          </w:p>
        </w:tc>
        <w:tc>
          <w:tcPr>
            <w:tcW w:w="7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38,077</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36,752</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109,391</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105,008</w:t>
            </w:r>
          </w:p>
        </w:tc>
        <w:tc>
          <w:tcPr>
            <w:tcW w:w="0" w:type="dxa"/>
            <w:vAlign w:val="bottom"/>
          </w:tcPr>
          <w:p>
            <w:pPr>
              <w:spacing w:after="0"/>
              <w:rPr>
                <w:sz w:val="1"/>
                <w:szCs w:val="1"/>
                <w:color w:val="auto"/>
              </w:rPr>
            </w:pPr>
          </w:p>
        </w:tc>
      </w:tr>
      <w:tr>
        <w:trPr>
          <w:trHeight w:val="164"/>
        </w:trPr>
        <w:tc>
          <w:tcPr>
            <w:tcW w:w="6160" w:type="dxa"/>
            <w:vAlign w:val="bottom"/>
          </w:tcPr>
          <w:p>
            <w:pPr>
              <w:ind w:left="20"/>
              <w:spacing w:after="0" w:line="155" w:lineRule="exact"/>
              <w:rPr>
                <w:sz w:val="20"/>
                <w:szCs w:val="20"/>
                <w:color w:val="auto"/>
              </w:rPr>
            </w:pPr>
            <w:r>
              <w:rPr>
                <w:rFonts w:ascii="Arial" w:cs="Arial" w:eastAsia="Arial" w:hAnsi="Arial"/>
                <w:sz w:val="14"/>
                <w:szCs w:val="14"/>
                <w:color w:val="auto"/>
              </w:rPr>
              <w:t>Non-interest Income</w:t>
            </w: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Interchange income</w:t>
            </w: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10,660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10,553</w:t>
            </w:r>
          </w:p>
        </w:tc>
        <w:tc>
          <w:tcPr>
            <w:tcW w:w="0" w:type="dxa"/>
            <w:vAlign w:val="bottom"/>
          </w:tcPr>
          <w:p>
            <w:pPr>
              <w:spacing w:after="0"/>
              <w:rPr>
                <w:sz w:val="1"/>
                <w:szCs w:val="1"/>
                <w:color w:val="auto"/>
              </w:rPr>
            </w:pPr>
          </w:p>
        </w:tc>
      </w:tr>
      <w:tr>
        <w:trPr>
          <w:trHeight w:val="184"/>
        </w:trPr>
        <w:tc>
          <w:tcPr>
            <w:tcW w:w="6160" w:type="dxa"/>
            <w:vAlign w:val="bottom"/>
          </w:tcPr>
          <w:p>
            <w:pPr>
              <w:ind w:left="280"/>
              <w:spacing w:after="0"/>
              <w:rPr>
                <w:sz w:val="20"/>
                <w:szCs w:val="20"/>
                <w:color w:val="auto"/>
              </w:rPr>
            </w:pPr>
            <w:r>
              <w:rPr>
                <w:rFonts w:ascii="Arial" w:cs="Arial" w:eastAsia="Arial" w:hAnsi="Arial"/>
                <w:sz w:val="14"/>
                <w:szCs w:val="14"/>
                <w:color w:val="auto"/>
              </w:rPr>
              <w:t>Service charges on deposit accounts</w:t>
            </w:r>
          </w:p>
        </w:tc>
        <w:tc>
          <w:tcPr>
            <w:tcW w:w="7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3,309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3,082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9,300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9,135</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gains (losses) on assets</w:t>
            </w: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160" w:type="dxa"/>
            <w:vAlign w:val="bottom"/>
          </w:tcPr>
          <w:p>
            <w:pPr>
              <w:ind w:left="540"/>
              <w:spacing w:after="0"/>
              <w:rPr>
                <w:sz w:val="20"/>
                <w:szCs w:val="20"/>
                <w:color w:val="auto"/>
              </w:rPr>
            </w:pPr>
            <w:r>
              <w:rPr>
                <w:rFonts w:ascii="Arial" w:cs="Arial" w:eastAsia="Arial" w:hAnsi="Arial"/>
                <w:sz w:val="14"/>
                <w:szCs w:val="14"/>
                <w:color w:val="auto"/>
              </w:rPr>
              <w:t>Mortgage loans</w:t>
            </w:r>
          </w:p>
        </w:tc>
        <w:tc>
          <w:tcPr>
            <w:tcW w:w="7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2,099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2,857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5,475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4,945</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Securities available for sale</w:t>
            </w:r>
          </w:p>
        </w:tc>
        <w:tc>
          <w:tcPr>
            <w:tcW w:w="7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84"/>
        </w:trPr>
        <w:tc>
          <w:tcPr>
            <w:tcW w:w="6160" w:type="dxa"/>
            <w:vAlign w:val="bottom"/>
          </w:tcPr>
          <w:p>
            <w:pPr>
              <w:ind w:left="280"/>
              <w:spacing w:after="0"/>
              <w:rPr>
                <w:sz w:val="20"/>
                <w:szCs w:val="20"/>
                <w:color w:val="auto"/>
              </w:rPr>
            </w:pPr>
            <w:r>
              <w:rPr>
                <w:rFonts w:ascii="Arial" w:cs="Arial" w:eastAsia="Arial" w:hAnsi="Arial"/>
                <w:sz w:val="14"/>
                <w:szCs w:val="14"/>
                <w:color w:val="auto"/>
              </w:rPr>
              <w:t>Mortgage loan servicing, net</w:t>
            </w:r>
          </w:p>
        </w:tc>
        <w:tc>
          <w:tcPr>
            <w:tcW w:w="7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2,668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4,283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7,068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18,086</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7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3,435</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2,590</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9,298</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7,997</w:t>
            </w:r>
          </w:p>
        </w:tc>
        <w:tc>
          <w:tcPr>
            <w:tcW w:w="0" w:type="dxa"/>
            <w:vAlign w:val="bottom"/>
          </w:tcPr>
          <w:p>
            <w:pPr>
              <w:spacing w:after="0"/>
              <w:rPr>
                <w:sz w:val="1"/>
                <w:szCs w:val="1"/>
                <w:color w:val="auto"/>
              </w:rPr>
            </w:pPr>
          </w:p>
        </w:tc>
      </w:tr>
      <w:tr>
        <w:trPr>
          <w:trHeight w:val="179"/>
        </w:trPr>
        <w:tc>
          <w:tcPr>
            <w:tcW w:w="6160" w:type="dxa"/>
            <w:vAlign w:val="bottom"/>
            <w:tcBorders>
              <w:bottom w:val="single" w:sz="8" w:color="CCEEFF"/>
            </w:tcBorders>
          </w:tcPr>
          <w:p>
            <w:pPr>
              <w:jc w:val="right"/>
              <w:ind w:right="11"/>
              <w:spacing w:after="0"/>
              <w:rPr>
                <w:sz w:val="20"/>
                <w:szCs w:val="20"/>
                <w:color w:val="auto"/>
              </w:rPr>
            </w:pPr>
            <w:r>
              <w:rPr>
                <w:rFonts w:ascii="Arial" w:cs="Arial" w:eastAsia="Arial" w:hAnsi="Arial"/>
                <w:sz w:val="14"/>
                <w:szCs w:val="14"/>
                <w:color w:val="auto"/>
              </w:rPr>
              <w:t>Total Non-interest Income</w:t>
            </w:r>
          </w:p>
        </w:tc>
        <w:tc>
          <w:tcPr>
            <w:tcW w:w="7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15,611</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16,861</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41,579</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50,441</w:t>
            </w:r>
          </w:p>
        </w:tc>
        <w:tc>
          <w:tcPr>
            <w:tcW w:w="0" w:type="dxa"/>
            <w:vAlign w:val="bottom"/>
          </w:tcPr>
          <w:p>
            <w:pPr>
              <w:spacing w:after="0"/>
              <w:rPr>
                <w:sz w:val="1"/>
                <w:szCs w:val="1"/>
                <w:color w:val="auto"/>
              </w:rPr>
            </w:pPr>
          </w:p>
        </w:tc>
      </w:tr>
      <w:tr>
        <w:trPr>
          <w:trHeight w:val="180"/>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Non-interest Expense</w:t>
            </w:r>
          </w:p>
        </w:tc>
        <w:tc>
          <w:tcPr>
            <w:tcW w:w="7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160" w:type="dxa"/>
            <w:vAlign w:val="bottom"/>
          </w:tcPr>
          <w:p>
            <w:pPr>
              <w:ind w:left="280"/>
              <w:spacing w:after="0"/>
              <w:rPr>
                <w:sz w:val="20"/>
                <w:szCs w:val="20"/>
                <w:color w:val="auto"/>
              </w:rPr>
            </w:pPr>
            <w:r>
              <w:rPr>
                <w:rFonts w:ascii="Arial" w:cs="Arial" w:eastAsia="Arial" w:hAnsi="Arial"/>
                <w:sz w:val="14"/>
                <w:szCs w:val="14"/>
                <w:color w:val="auto"/>
              </w:rPr>
              <w:t>Compensation and employee benefits</w:t>
            </w:r>
          </w:p>
        </w:tc>
        <w:tc>
          <w:tcPr>
            <w:tcW w:w="7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8"/>
              </w:rPr>
              <w:t>19,975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20,601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59,916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60,613</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Data processing</w:t>
            </w: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8,953</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7,513</w:t>
            </w:r>
          </w:p>
        </w:tc>
        <w:tc>
          <w:tcPr>
            <w:tcW w:w="0" w:type="dxa"/>
            <w:vAlign w:val="bottom"/>
          </w:tcPr>
          <w:p>
            <w:pPr>
              <w:spacing w:after="0"/>
              <w:rPr>
                <w:sz w:val="1"/>
                <w:szCs w:val="1"/>
                <w:color w:val="auto"/>
              </w:rPr>
            </w:pPr>
          </w:p>
        </w:tc>
      </w:tr>
      <w:tr>
        <w:trPr>
          <w:trHeight w:val="184"/>
        </w:trPr>
        <w:tc>
          <w:tcPr>
            <w:tcW w:w="6160" w:type="dxa"/>
            <w:vAlign w:val="bottom"/>
          </w:tcPr>
          <w:p>
            <w:pPr>
              <w:ind w:left="280"/>
              <w:spacing w:after="0"/>
              <w:rPr>
                <w:sz w:val="20"/>
                <w:szCs w:val="20"/>
                <w:color w:val="auto"/>
              </w:rPr>
            </w:pPr>
            <w:r>
              <w:rPr>
                <w:rFonts w:ascii="Arial" w:cs="Arial" w:eastAsia="Arial" w:hAnsi="Arial"/>
                <w:sz w:val="14"/>
                <w:szCs w:val="14"/>
                <w:color w:val="auto"/>
              </w:rPr>
              <w:t>Occupancy, net</w:t>
            </w:r>
          </w:p>
        </w:tc>
        <w:tc>
          <w:tcPr>
            <w:tcW w:w="7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1,971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2,062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5,975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6,682</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Interchange expense</w:t>
            </w: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3,222</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3,200</w:t>
            </w:r>
          </w:p>
        </w:tc>
        <w:tc>
          <w:tcPr>
            <w:tcW w:w="0" w:type="dxa"/>
            <w:vAlign w:val="bottom"/>
          </w:tcPr>
          <w:p>
            <w:pPr>
              <w:spacing w:after="0"/>
              <w:rPr>
                <w:sz w:val="1"/>
                <w:szCs w:val="1"/>
                <w:color w:val="auto"/>
              </w:rPr>
            </w:pPr>
          </w:p>
        </w:tc>
      </w:tr>
      <w:tr>
        <w:trPr>
          <w:trHeight w:val="184"/>
        </w:trPr>
        <w:tc>
          <w:tcPr>
            <w:tcW w:w="6160" w:type="dxa"/>
            <w:vAlign w:val="bottom"/>
          </w:tcPr>
          <w:p>
            <w:pPr>
              <w:ind w:left="280"/>
              <w:spacing w:after="0"/>
              <w:rPr>
                <w:sz w:val="20"/>
                <w:szCs w:val="20"/>
                <w:color w:val="auto"/>
              </w:rPr>
            </w:pPr>
            <w:r>
              <w:rPr>
                <w:rFonts w:ascii="Arial" w:cs="Arial" w:eastAsia="Arial" w:hAnsi="Arial"/>
                <w:sz w:val="14"/>
                <w:szCs w:val="14"/>
                <w:color w:val="auto"/>
              </w:rPr>
              <w:t>Furniture, fixtures and equipment</w:t>
            </w:r>
          </w:p>
        </w:tc>
        <w:tc>
          <w:tcPr>
            <w:tcW w:w="7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927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987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2,782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3,074</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FDIC deposit insurance</w:t>
            </w: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2,209</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1,570</w:t>
            </w:r>
          </w:p>
        </w:tc>
        <w:tc>
          <w:tcPr>
            <w:tcW w:w="0" w:type="dxa"/>
            <w:vAlign w:val="bottom"/>
          </w:tcPr>
          <w:p>
            <w:pPr>
              <w:spacing w:after="0"/>
              <w:rPr>
                <w:sz w:val="1"/>
                <w:szCs w:val="1"/>
                <w:color w:val="auto"/>
              </w:rPr>
            </w:pPr>
          </w:p>
        </w:tc>
      </w:tr>
      <w:tr>
        <w:trPr>
          <w:trHeight w:val="184"/>
        </w:trPr>
        <w:tc>
          <w:tcPr>
            <w:tcW w:w="6160" w:type="dxa"/>
            <w:vAlign w:val="bottom"/>
          </w:tcPr>
          <w:p>
            <w:pPr>
              <w:ind w:left="280"/>
              <w:spacing w:after="0"/>
              <w:rPr>
                <w:sz w:val="20"/>
                <w:szCs w:val="20"/>
                <w:color w:val="auto"/>
              </w:rPr>
            </w:pPr>
            <w:r>
              <w:rPr>
                <w:rFonts w:ascii="Arial" w:cs="Arial" w:eastAsia="Arial" w:hAnsi="Arial"/>
                <w:sz w:val="14"/>
                <w:szCs w:val="14"/>
                <w:color w:val="auto"/>
              </w:rPr>
              <w:t>Communications</w:t>
            </w:r>
          </w:p>
        </w:tc>
        <w:tc>
          <w:tcPr>
            <w:tcW w:w="7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568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723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1,871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2,242</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Loan and collection</w:t>
            </w: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1,718</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1,978</w:t>
            </w:r>
          </w:p>
        </w:tc>
        <w:tc>
          <w:tcPr>
            <w:tcW w:w="0" w:type="dxa"/>
            <w:vAlign w:val="bottom"/>
          </w:tcPr>
          <w:p>
            <w:pPr>
              <w:spacing w:after="0"/>
              <w:rPr>
                <w:sz w:val="1"/>
                <w:szCs w:val="1"/>
                <w:color w:val="auto"/>
              </w:rPr>
            </w:pPr>
          </w:p>
        </w:tc>
      </w:tr>
      <w:tr>
        <w:trPr>
          <w:trHeight w:val="184"/>
        </w:trPr>
        <w:tc>
          <w:tcPr>
            <w:tcW w:w="6160" w:type="dxa"/>
            <w:vAlign w:val="bottom"/>
          </w:tcPr>
          <w:p>
            <w:pPr>
              <w:ind w:left="280"/>
              <w:spacing w:after="0"/>
              <w:rPr>
                <w:sz w:val="20"/>
                <w:szCs w:val="20"/>
                <w:color w:val="auto"/>
              </w:rPr>
            </w:pPr>
            <w:r>
              <w:rPr>
                <w:rFonts w:ascii="Arial" w:cs="Arial" w:eastAsia="Arial" w:hAnsi="Arial"/>
                <w:sz w:val="14"/>
                <w:szCs w:val="14"/>
                <w:color w:val="auto"/>
              </w:rPr>
              <w:t>Legal and professional</w:t>
            </w:r>
          </w:p>
        </w:tc>
        <w:tc>
          <w:tcPr>
            <w:tcW w:w="7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543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573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1,623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1,545</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Advertising</w:t>
            </w: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1,585</w:t>
            </w:r>
          </w:p>
        </w:tc>
        <w:tc>
          <w:tcPr>
            <w:tcW w:w="0" w:type="dxa"/>
            <w:vAlign w:val="bottom"/>
          </w:tcPr>
          <w:p>
            <w:pPr>
              <w:spacing w:after="0"/>
              <w:rPr>
                <w:sz w:val="1"/>
                <w:szCs w:val="1"/>
                <w:color w:val="auto"/>
              </w:rPr>
            </w:pPr>
          </w:p>
        </w:tc>
      </w:tr>
      <w:tr>
        <w:trPr>
          <w:trHeight w:val="195"/>
        </w:trPr>
        <w:tc>
          <w:tcPr>
            <w:tcW w:w="6160" w:type="dxa"/>
            <w:vAlign w:val="bottom"/>
          </w:tcPr>
          <w:p>
            <w:pPr>
              <w:ind w:left="280"/>
              <w:spacing w:after="0"/>
              <w:rPr>
                <w:sz w:val="20"/>
                <w:szCs w:val="20"/>
                <w:color w:val="auto"/>
              </w:rPr>
            </w:pPr>
            <w:r>
              <w:rPr>
                <w:rFonts w:ascii="Arial" w:cs="Arial" w:eastAsia="Arial" w:hAnsi="Arial"/>
                <w:sz w:val="14"/>
                <w:szCs w:val="14"/>
                <w:color w:val="auto"/>
              </w:rPr>
              <w:t>Costs (recoveries) related to unfunded lending commitments</w:t>
            </w:r>
          </w:p>
        </w:tc>
        <w:tc>
          <w:tcPr>
            <w:tcW w:w="7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451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676</w:t>
            </w:r>
          </w:p>
        </w:tc>
        <w:tc>
          <w:tcPr>
            <w:tcW w:w="0" w:type="dxa"/>
            <w:vAlign w:val="bottom"/>
          </w:tcPr>
          <w:p>
            <w:pPr>
              <w:spacing w:after="0"/>
              <w:rPr>
                <w:sz w:val="1"/>
                <w:szCs w:val="1"/>
                <w:color w:val="auto"/>
              </w:rPr>
            </w:pPr>
          </w:p>
        </w:tc>
      </w:tr>
      <w:tr>
        <w:trPr>
          <w:trHeight w:val="24"/>
        </w:trPr>
        <w:tc>
          <w:tcPr>
            <w:tcW w:w="6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7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1,854</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1,750</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5,610</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5,572</w:t>
            </w:r>
          </w:p>
        </w:tc>
        <w:tc>
          <w:tcPr>
            <w:tcW w:w="0" w:type="dxa"/>
            <w:vAlign w:val="bottom"/>
          </w:tcPr>
          <w:p>
            <w:pPr>
              <w:spacing w:after="0"/>
              <w:rPr>
                <w:sz w:val="1"/>
                <w:szCs w:val="1"/>
                <w:color w:val="auto"/>
              </w:rPr>
            </w:pPr>
          </w:p>
        </w:tc>
      </w:tr>
      <w:tr>
        <w:trPr>
          <w:trHeight w:val="179"/>
        </w:trPr>
        <w:tc>
          <w:tcPr>
            <w:tcW w:w="6160" w:type="dxa"/>
            <w:vAlign w:val="bottom"/>
            <w:tcBorders>
              <w:bottom w:val="single" w:sz="8" w:color="CCEEFF"/>
            </w:tcBorders>
          </w:tcPr>
          <w:p>
            <w:pPr>
              <w:jc w:val="right"/>
              <w:ind w:right="11"/>
              <w:spacing w:after="0"/>
              <w:rPr>
                <w:sz w:val="20"/>
                <w:szCs w:val="20"/>
                <w:color w:val="auto"/>
              </w:rPr>
            </w:pPr>
            <w:r>
              <w:rPr>
                <w:rFonts w:ascii="Arial" w:cs="Arial" w:eastAsia="Arial" w:hAnsi="Arial"/>
                <w:sz w:val="14"/>
                <w:szCs w:val="14"/>
                <w:color w:val="auto"/>
              </w:rPr>
              <w:t>Total Non-interest Expense</w:t>
            </w:r>
          </w:p>
        </w:tc>
        <w:tc>
          <w:tcPr>
            <w:tcW w:w="7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32,036</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32,366</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95,241</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96,250</w:t>
            </w:r>
          </w:p>
        </w:tc>
        <w:tc>
          <w:tcPr>
            <w:tcW w:w="0" w:type="dxa"/>
            <w:vAlign w:val="bottom"/>
          </w:tcPr>
          <w:p>
            <w:pPr>
              <w:spacing w:after="0"/>
              <w:rPr>
                <w:sz w:val="1"/>
                <w:szCs w:val="1"/>
                <w:color w:val="auto"/>
              </w:rPr>
            </w:pPr>
          </w:p>
        </w:tc>
      </w:tr>
      <w:tr>
        <w:trPr>
          <w:trHeight w:val="193"/>
        </w:trPr>
        <w:tc>
          <w:tcPr>
            <w:tcW w:w="6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Income Before Income Tax</w:t>
            </w:r>
          </w:p>
        </w:tc>
        <w:tc>
          <w:tcPr>
            <w:tcW w:w="7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21,652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21,247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55,729</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59,199</w:t>
            </w:r>
          </w:p>
        </w:tc>
        <w:tc>
          <w:tcPr>
            <w:tcW w:w="0" w:type="dxa"/>
            <w:vAlign w:val="bottom"/>
          </w:tcPr>
          <w:p>
            <w:pPr>
              <w:spacing w:after="0"/>
              <w:rPr>
                <w:sz w:val="1"/>
                <w:szCs w:val="1"/>
                <w:color w:val="auto"/>
              </w:rPr>
            </w:pPr>
          </w:p>
        </w:tc>
      </w:tr>
      <w:tr>
        <w:trPr>
          <w:trHeight w:val="186"/>
        </w:trPr>
        <w:tc>
          <w:tcPr>
            <w:tcW w:w="616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Income tax expense</w:t>
            </w:r>
          </w:p>
        </w:tc>
        <w:tc>
          <w:tcPr>
            <w:tcW w:w="7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4,109</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3,950</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10,405</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10,934</w:t>
            </w:r>
          </w:p>
        </w:tc>
        <w:tc>
          <w:tcPr>
            <w:tcW w:w="0" w:type="dxa"/>
            <w:vAlign w:val="bottom"/>
          </w:tcPr>
          <w:p>
            <w:pPr>
              <w:spacing w:after="0"/>
              <w:rPr>
                <w:sz w:val="1"/>
                <w:szCs w:val="1"/>
                <w:color w:val="auto"/>
              </w:rPr>
            </w:pPr>
          </w:p>
        </w:tc>
      </w:tr>
      <w:tr>
        <w:trPr>
          <w:trHeight w:val="218"/>
        </w:trPr>
        <w:tc>
          <w:tcPr>
            <w:tcW w:w="6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Net Income</w:t>
            </w:r>
          </w:p>
        </w:tc>
        <w:tc>
          <w:tcPr>
            <w:tcW w:w="760" w:type="dxa"/>
            <w:vAlign w:val="bottom"/>
            <w:tcBorders>
              <w:bottom w:val="single" w:sz="8" w:color="auto"/>
            </w:tcBorders>
            <w:shd w:val="clear" w:color="auto" w:fill="CCEEFF"/>
          </w:tcPr>
          <w:p>
            <w:pPr>
              <w:jc w:val="right"/>
              <w:ind w:right="591"/>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17,543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17,297</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45,324</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48,265</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Income Per Common Share</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16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6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760" w:type="dxa"/>
            <w:vAlign w:val="bottom"/>
            <w:tcBorders>
              <w:bottom w:val="single" w:sz="8" w:color="auto"/>
            </w:tcBorders>
            <w:shd w:val="clear" w:color="auto" w:fill="CCEEFF"/>
          </w:tcPr>
          <w:p>
            <w:pPr>
              <w:jc w:val="right"/>
              <w:ind w:right="591"/>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160" w:type="dxa"/>
            <w:vAlign w:val="bottom"/>
          </w:tcPr>
          <w:p>
            <w:pPr>
              <w:ind w:left="280"/>
              <w:spacing w:after="0"/>
              <w:rPr>
                <w:sz w:val="20"/>
                <w:szCs w:val="20"/>
                <w:color w:val="auto"/>
              </w:rPr>
            </w:pPr>
            <w:r>
              <w:rPr>
                <w:rFonts w:ascii="Arial" w:cs="Arial" w:eastAsia="Arial" w:hAnsi="Arial"/>
                <w:sz w:val="14"/>
                <w:szCs w:val="14"/>
                <w:color w:val="auto"/>
              </w:rPr>
              <w:t>Diluted</w:t>
            </w:r>
          </w:p>
        </w:tc>
        <w:tc>
          <w:tcPr>
            <w:tcW w:w="7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0.83</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0.81</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See notes to interim condensed consolidated financial statements (Unaudited)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INDEPENDENT BANK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Condensed Consolidated Statements of Comprehensive Income (Loss)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5"/>
          </w:tcPr>
          <w:p>
            <w:pPr>
              <w:jc w:val="center"/>
              <w:ind w:right="340"/>
              <w:spacing w:after="0"/>
              <w:rPr>
                <w:sz w:val="20"/>
                <w:szCs w:val="20"/>
                <w:color w:val="auto"/>
              </w:rPr>
            </w:pPr>
            <w:r>
              <w:rPr>
                <w:rFonts w:ascii="Arial" w:cs="Arial" w:eastAsia="Arial" w:hAnsi="Arial"/>
                <w:sz w:val="17"/>
                <w:szCs w:val="17"/>
                <w:color w:val="auto"/>
                <w:w w:val="89"/>
              </w:rPr>
              <w:t>Three months ended</w:t>
            </w:r>
          </w:p>
        </w:tc>
        <w:tc>
          <w:tcPr>
            <w:tcW w:w="260" w:type="dxa"/>
            <w:vAlign w:val="bottom"/>
          </w:tcPr>
          <w:p>
            <w:pPr>
              <w:spacing w:after="0"/>
              <w:rPr>
                <w:sz w:val="17"/>
                <w:szCs w:val="17"/>
                <w:color w:val="auto"/>
              </w:rPr>
            </w:pPr>
          </w:p>
        </w:tc>
        <w:tc>
          <w:tcPr>
            <w:tcW w:w="2260" w:type="dxa"/>
            <w:vAlign w:val="bottom"/>
            <w:gridSpan w:val="4"/>
          </w:tcPr>
          <w:p>
            <w:pPr>
              <w:jc w:val="right"/>
              <w:ind w:right="514"/>
              <w:spacing w:after="0"/>
              <w:rPr>
                <w:sz w:val="20"/>
                <w:szCs w:val="20"/>
                <w:color w:val="auto"/>
              </w:rPr>
            </w:pPr>
            <w:r>
              <w:rPr>
                <w:rFonts w:ascii="Arial" w:cs="Arial" w:eastAsia="Arial" w:hAnsi="Arial"/>
                <w:sz w:val="17"/>
                <w:szCs w:val="17"/>
                <w:color w:val="auto"/>
              </w:rPr>
              <w:t>Nine months ended</w:t>
            </w:r>
          </w:p>
        </w:tc>
      </w:tr>
      <w:tr>
        <w:trPr>
          <w:trHeight w:val="217"/>
        </w:trPr>
        <w:tc>
          <w:tcPr>
            <w:tcW w:w="6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5"/>
          </w:tcPr>
          <w:p>
            <w:pPr>
              <w:jc w:val="center"/>
              <w:ind w:right="340"/>
              <w:spacing w:after="0"/>
              <w:rPr>
                <w:sz w:val="20"/>
                <w:szCs w:val="20"/>
                <w:color w:val="auto"/>
              </w:rPr>
            </w:pPr>
            <w:r>
              <w:rPr>
                <w:rFonts w:ascii="Arial" w:cs="Arial" w:eastAsia="Arial" w:hAnsi="Arial"/>
                <w:sz w:val="17"/>
                <w:szCs w:val="17"/>
                <w:color w:val="auto"/>
                <w:w w:val="89"/>
              </w:rPr>
              <w:t>September 30,</w:t>
            </w:r>
          </w:p>
        </w:tc>
        <w:tc>
          <w:tcPr>
            <w:tcW w:w="260" w:type="dxa"/>
            <w:vAlign w:val="bottom"/>
          </w:tcPr>
          <w:p>
            <w:pPr>
              <w:spacing w:after="0"/>
              <w:rPr>
                <w:sz w:val="18"/>
                <w:szCs w:val="18"/>
                <w:color w:val="auto"/>
              </w:rPr>
            </w:pPr>
          </w:p>
        </w:tc>
        <w:tc>
          <w:tcPr>
            <w:tcW w:w="2260" w:type="dxa"/>
            <w:vAlign w:val="bottom"/>
            <w:gridSpan w:val="4"/>
          </w:tcPr>
          <w:p>
            <w:pPr>
              <w:jc w:val="right"/>
              <w:ind w:right="674"/>
              <w:spacing w:after="0"/>
              <w:rPr>
                <w:sz w:val="20"/>
                <w:szCs w:val="20"/>
                <w:color w:val="auto"/>
              </w:rPr>
            </w:pPr>
            <w:r>
              <w:rPr>
                <w:rFonts w:ascii="Arial" w:cs="Arial" w:eastAsia="Arial" w:hAnsi="Arial"/>
                <w:sz w:val="17"/>
                <w:szCs w:val="17"/>
                <w:color w:val="auto"/>
              </w:rPr>
              <w:t>September 30,</w:t>
            </w:r>
          </w:p>
        </w:tc>
      </w:tr>
      <w:tr>
        <w:trPr>
          <w:trHeight w:val="246"/>
        </w:trPr>
        <w:tc>
          <w:tcPr>
            <w:tcW w:w="6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2023</w:t>
            </w: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2022</w:t>
            </w: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2023</w:t>
            </w: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2022</w:t>
            </w:r>
          </w:p>
        </w:tc>
      </w:tr>
      <w:tr>
        <w:trPr>
          <w:trHeight w:val="211"/>
        </w:trPr>
        <w:tc>
          <w:tcPr>
            <w:tcW w:w="6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5"/>
          </w:tcPr>
          <w:p>
            <w:pPr>
              <w:ind w:left="120"/>
              <w:spacing w:after="0"/>
              <w:rPr>
                <w:sz w:val="20"/>
                <w:szCs w:val="20"/>
                <w:color w:val="auto"/>
              </w:rPr>
            </w:pPr>
            <w:r>
              <w:rPr>
                <w:rFonts w:ascii="Arial" w:cs="Arial" w:eastAsia="Arial" w:hAnsi="Arial"/>
                <w:sz w:val="17"/>
                <w:szCs w:val="17"/>
                <w:color w:val="auto"/>
              </w:rPr>
              <w:t>(Unaudited - In thousands)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9"/>
        </w:trPr>
        <w:tc>
          <w:tcPr>
            <w:tcW w:w="6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19"/>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17,543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17,297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45,324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48,265</w:t>
            </w:r>
          </w:p>
        </w:tc>
      </w:tr>
      <w:tr>
        <w:trPr>
          <w:trHeight w:val="218"/>
        </w:trPr>
        <w:tc>
          <w:tcPr>
            <w:tcW w:w="6120" w:type="dxa"/>
            <w:vAlign w:val="bottom"/>
          </w:tcPr>
          <w:p>
            <w:pPr>
              <w:ind w:left="20"/>
              <w:spacing w:after="0"/>
              <w:rPr>
                <w:sz w:val="20"/>
                <w:szCs w:val="20"/>
                <w:color w:val="auto"/>
              </w:rPr>
            </w:pPr>
            <w:r>
              <w:rPr>
                <w:rFonts w:ascii="Arial" w:cs="Arial" w:eastAsia="Arial" w:hAnsi="Arial"/>
                <w:sz w:val="17"/>
                <w:szCs w:val="17"/>
                <w:color w:val="auto"/>
              </w:rPr>
              <w:t>Other comprehensive income (loss)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0"/>
        </w:trPr>
        <w:tc>
          <w:tcPr>
            <w:tcW w:w="6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Securities available for sale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8"/>
        </w:trPr>
        <w:tc>
          <w:tcPr>
            <w:tcW w:w="6120" w:type="dxa"/>
            <w:vAlign w:val="bottom"/>
          </w:tcPr>
          <w:p>
            <w:pPr>
              <w:ind w:left="320"/>
              <w:spacing w:after="0"/>
              <w:rPr>
                <w:sz w:val="20"/>
                <w:szCs w:val="20"/>
                <w:color w:val="auto"/>
              </w:rPr>
            </w:pPr>
            <w:r>
              <w:rPr>
                <w:rFonts w:ascii="Arial" w:cs="Arial" w:eastAsia="Arial" w:hAnsi="Arial"/>
                <w:sz w:val="17"/>
                <w:szCs w:val="17"/>
                <w:color w:val="auto"/>
              </w:rPr>
              <w:t>Unrealized losses arising during period</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(15,355)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(16,320)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(1,592)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(99,678)</w:t>
            </w:r>
          </w:p>
        </w:tc>
      </w:tr>
      <w:tr>
        <w:trPr>
          <w:trHeight w:val="220"/>
        </w:trPr>
        <w:tc>
          <w:tcPr>
            <w:tcW w:w="612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3"/>
              </w:rPr>
              <w:t>Net unrealized loss at time of transfer on securities available for sale transferred to</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44"/>
        </w:trPr>
        <w:tc>
          <w:tcPr>
            <w:tcW w:w="6120" w:type="dxa"/>
            <w:vAlign w:val="bottom"/>
            <w:shd w:val="clear" w:color="auto" w:fill="CCEEFF"/>
          </w:tcPr>
          <w:p>
            <w:pPr>
              <w:ind w:left="480"/>
              <w:spacing w:after="0"/>
              <w:rPr>
                <w:sz w:val="20"/>
                <w:szCs w:val="20"/>
                <w:color w:val="auto"/>
              </w:rPr>
            </w:pPr>
            <w:r>
              <w:rPr>
                <w:rFonts w:ascii="Arial" w:cs="Arial" w:eastAsia="Arial" w:hAnsi="Arial"/>
                <w:sz w:val="17"/>
                <w:szCs w:val="17"/>
                <w:color w:val="auto"/>
              </w:rPr>
              <w:t>held to maturity</w:t>
            </w:r>
          </w:p>
        </w:tc>
        <w:tc>
          <w:tcPr>
            <w:tcW w:w="2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(26,479)</w:t>
            </w:r>
          </w:p>
        </w:tc>
      </w:tr>
      <w:tr>
        <w:trPr>
          <w:trHeight w:val="257"/>
        </w:trPr>
        <w:tc>
          <w:tcPr>
            <w:tcW w:w="6120" w:type="dxa"/>
            <w:vAlign w:val="bottom"/>
          </w:tcPr>
          <w:p>
            <w:pPr>
              <w:ind w:left="320"/>
              <w:spacing w:after="0"/>
              <w:rPr>
                <w:sz w:val="20"/>
                <w:szCs w:val="20"/>
                <w:color w:val="auto"/>
              </w:rPr>
            </w:pPr>
            <w:r>
              <w:rPr>
                <w:rFonts w:ascii="Arial" w:cs="Arial" w:eastAsia="Arial" w:hAnsi="Arial"/>
                <w:sz w:val="17"/>
                <w:szCs w:val="17"/>
                <w:color w:val="auto"/>
                <w:w w:val="99"/>
              </w:rPr>
              <w:t>Accretion of net unrealized losses on securities transferred to held to maturity</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881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1,079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2,667</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2,407</w:t>
            </w:r>
          </w:p>
        </w:tc>
      </w:tr>
      <w:tr>
        <w:trPr>
          <w:trHeight w:val="259"/>
        </w:trPr>
        <w:tc>
          <w:tcPr>
            <w:tcW w:w="61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Reclassification adjustments for losses included in earnings</w:t>
            </w:r>
          </w:p>
        </w:tc>
        <w:tc>
          <w:tcPr>
            <w:tcW w:w="2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w:t>
            </w:r>
          </w:p>
        </w:tc>
      </w:tr>
      <w:tr>
        <w:trPr>
          <w:trHeight w:val="200"/>
        </w:trPr>
        <w:tc>
          <w:tcPr>
            <w:tcW w:w="6120" w:type="dxa"/>
            <w:vAlign w:val="bottom"/>
          </w:tcPr>
          <w:p>
            <w:pPr>
              <w:ind w:left="320"/>
              <w:spacing w:after="0"/>
              <w:rPr>
                <w:sz w:val="20"/>
                <w:szCs w:val="20"/>
                <w:color w:val="auto"/>
              </w:rPr>
            </w:pPr>
            <w:r>
              <w:rPr>
                <w:rFonts w:ascii="Arial" w:cs="Arial" w:eastAsia="Arial" w:hAnsi="Arial"/>
                <w:sz w:val="17"/>
                <w:szCs w:val="17"/>
                <w:color w:val="auto"/>
                <w:w w:val="98"/>
              </w:rPr>
              <w:t>Unrealized gains (losses) recognized in other comprehensive income (loss) on</w:t>
            </w: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44"/>
        </w:trPr>
        <w:tc>
          <w:tcPr>
            <w:tcW w:w="6120" w:type="dxa"/>
            <w:vAlign w:val="bottom"/>
          </w:tcPr>
          <w:p>
            <w:pPr>
              <w:ind w:left="480"/>
              <w:spacing w:after="0"/>
              <w:rPr>
                <w:sz w:val="20"/>
                <w:szCs w:val="20"/>
                <w:color w:val="auto"/>
              </w:rPr>
            </w:pPr>
            <w:r>
              <w:rPr>
                <w:rFonts w:ascii="Arial" w:cs="Arial" w:eastAsia="Arial" w:hAnsi="Arial"/>
                <w:sz w:val="17"/>
                <w:szCs w:val="17"/>
                <w:color w:val="auto"/>
              </w:rPr>
              <w:t>securities available for sale</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(14,474)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(15,241)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1,297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(123,475)</w:t>
            </w:r>
          </w:p>
        </w:tc>
      </w:tr>
      <w:tr>
        <w:trPr>
          <w:trHeight w:val="220"/>
        </w:trPr>
        <w:tc>
          <w:tcPr>
            <w:tcW w:w="6120" w:type="dxa"/>
            <w:vAlign w:val="bottom"/>
            <w:shd w:val="clear" w:color="auto" w:fill="CCEEFF"/>
          </w:tcPr>
          <w:p>
            <w:pPr>
              <w:ind w:left="480"/>
              <w:spacing w:after="0"/>
              <w:rPr>
                <w:sz w:val="20"/>
                <w:szCs w:val="20"/>
                <w:color w:val="auto"/>
              </w:rPr>
            </w:pPr>
            <w:r>
              <w:rPr>
                <w:rFonts w:ascii="Arial" w:cs="Arial" w:eastAsia="Arial" w:hAnsi="Arial"/>
                <w:sz w:val="17"/>
                <w:szCs w:val="17"/>
                <w:color w:val="auto"/>
              </w:rPr>
              <w:t>Income tax expense (benefit)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(25,929)</w:t>
            </w:r>
          </w:p>
        </w:tc>
      </w:tr>
      <w:tr>
        <w:trPr>
          <w:trHeight w:val="200"/>
        </w:trPr>
        <w:tc>
          <w:tcPr>
            <w:tcW w:w="6120" w:type="dxa"/>
            <w:vAlign w:val="bottom"/>
          </w:tcPr>
          <w:p>
            <w:pPr>
              <w:ind w:left="320"/>
              <w:spacing w:after="0"/>
              <w:rPr>
                <w:sz w:val="20"/>
                <w:szCs w:val="20"/>
                <w:color w:val="auto"/>
              </w:rPr>
            </w:pPr>
            <w:r>
              <w:rPr>
                <w:rFonts w:ascii="Arial" w:cs="Arial" w:eastAsia="Arial" w:hAnsi="Arial"/>
                <w:sz w:val="17"/>
                <w:szCs w:val="17"/>
                <w:color w:val="auto"/>
                <w:w w:val="98"/>
              </w:rPr>
              <w:t>Unrealized gains (losses) recognized in other comprehensive income (loss) on</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44"/>
        </w:trPr>
        <w:tc>
          <w:tcPr>
            <w:tcW w:w="6120" w:type="dxa"/>
            <w:vAlign w:val="bottom"/>
            <w:tcBorders>
              <w:bottom w:val="single" w:sz="8" w:color="CCEEFF"/>
            </w:tcBorders>
          </w:tcPr>
          <w:p>
            <w:pPr>
              <w:ind w:left="480"/>
              <w:spacing w:after="0"/>
              <w:rPr>
                <w:sz w:val="20"/>
                <w:szCs w:val="20"/>
                <w:color w:val="auto"/>
              </w:rPr>
            </w:pPr>
            <w:r>
              <w:rPr>
                <w:rFonts w:ascii="Arial" w:cs="Arial" w:eastAsia="Arial" w:hAnsi="Arial"/>
                <w:sz w:val="17"/>
                <w:szCs w:val="17"/>
                <w:color w:val="auto"/>
              </w:rPr>
              <w:t>securities available for sale, net of tax</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(11,434)</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(12,042)</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1,025</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(97,546)</w:t>
            </w:r>
          </w:p>
        </w:tc>
      </w:tr>
      <w:tr>
        <w:trPr>
          <w:trHeight w:val="200"/>
        </w:trPr>
        <w:tc>
          <w:tcPr>
            <w:tcW w:w="6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Derivative instruments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57"/>
        </w:trPr>
        <w:tc>
          <w:tcPr>
            <w:tcW w:w="6120" w:type="dxa"/>
            <w:vAlign w:val="bottom"/>
          </w:tcPr>
          <w:p>
            <w:pPr>
              <w:ind w:left="320"/>
              <w:spacing w:after="0"/>
              <w:rPr>
                <w:sz w:val="20"/>
                <w:szCs w:val="20"/>
                <w:color w:val="auto"/>
              </w:rPr>
            </w:pPr>
            <w:r>
              <w:rPr>
                <w:rFonts w:ascii="Arial" w:cs="Arial" w:eastAsia="Arial" w:hAnsi="Arial"/>
                <w:sz w:val="17"/>
                <w:szCs w:val="17"/>
                <w:color w:val="auto"/>
              </w:rPr>
              <w:t>Unrealized losses arising during period</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(527)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(940)</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9"/>
        </w:trPr>
        <w:tc>
          <w:tcPr>
            <w:tcW w:w="61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Reclassification adjustment for expense recognized in earnings</w:t>
            </w: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0"/>
        </w:trPr>
        <w:tc>
          <w:tcPr>
            <w:tcW w:w="6120" w:type="dxa"/>
            <w:vAlign w:val="bottom"/>
          </w:tcPr>
          <w:p>
            <w:pPr>
              <w:ind w:left="320"/>
              <w:spacing w:after="0"/>
              <w:rPr>
                <w:sz w:val="20"/>
                <w:szCs w:val="20"/>
                <w:color w:val="auto"/>
              </w:rPr>
            </w:pPr>
            <w:r>
              <w:rPr>
                <w:rFonts w:ascii="Arial" w:cs="Arial" w:eastAsia="Arial" w:hAnsi="Arial"/>
                <w:sz w:val="17"/>
                <w:szCs w:val="17"/>
                <w:color w:val="auto"/>
                <w:w w:val="94"/>
              </w:rPr>
              <w:t>Unrealized losses recognized in other comprehensive income (loss) on derivative</w:t>
            </w: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44"/>
        </w:trPr>
        <w:tc>
          <w:tcPr>
            <w:tcW w:w="6120" w:type="dxa"/>
            <w:vAlign w:val="bottom"/>
          </w:tcPr>
          <w:p>
            <w:pPr>
              <w:ind w:left="480"/>
              <w:spacing w:after="0"/>
              <w:rPr>
                <w:sz w:val="20"/>
                <w:szCs w:val="20"/>
                <w:color w:val="auto"/>
              </w:rPr>
            </w:pPr>
            <w:r>
              <w:rPr>
                <w:rFonts w:ascii="Arial" w:cs="Arial" w:eastAsia="Arial" w:hAnsi="Arial"/>
                <w:sz w:val="17"/>
                <w:szCs w:val="17"/>
                <w:color w:val="auto"/>
              </w:rPr>
              <w:t>instruments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(455)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(716)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9"/>
        </w:trPr>
        <w:tc>
          <w:tcPr>
            <w:tcW w:w="6120" w:type="dxa"/>
            <w:vAlign w:val="bottom"/>
            <w:shd w:val="clear" w:color="auto" w:fill="CCEEFF"/>
          </w:tcPr>
          <w:p>
            <w:pPr>
              <w:ind w:left="480"/>
              <w:spacing w:after="0"/>
              <w:rPr>
                <w:sz w:val="20"/>
                <w:szCs w:val="20"/>
                <w:color w:val="auto"/>
              </w:rPr>
            </w:pPr>
            <w:r>
              <w:rPr>
                <w:rFonts w:ascii="Arial" w:cs="Arial" w:eastAsia="Arial" w:hAnsi="Arial"/>
                <w:sz w:val="17"/>
                <w:szCs w:val="17"/>
                <w:color w:val="auto"/>
              </w:rPr>
              <w:t>Income tax benefit</w:t>
            </w: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0"/>
        </w:trPr>
        <w:tc>
          <w:tcPr>
            <w:tcW w:w="6120" w:type="dxa"/>
            <w:vAlign w:val="bottom"/>
          </w:tcPr>
          <w:p>
            <w:pPr>
              <w:ind w:left="320"/>
              <w:spacing w:after="0"/>
              <w:rPr>
                <w:sz w:val="20"/>
                <w:szCs w:val="20"/>
                <w:color w:val="auto"/>
              </w:rPr>
            </w:pPr>
            <w:r>
              <w:rPr>
                <w:rFonts w:ascii="Arial" w:cs="Arial" w:eastAsia="Arial" w:hAnsi="Arial"/>
                <w:sz w:val="17"/>
                <w:szCs w:val="17"/>
                <w:color w:val="auto"/>
                <w:w w:val="94"/>
              </w:rPr>
              <w:t>Unrealized losses recognized in other comprehensive income (loss) on derivative</w:t>
            </w: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44"/>
        </w:trPr>
        <w:tc>
          <w:tcPr>
            <w:tcW w:w="6120" w:type="dxa"/>
            <w:vAlign w:val="bottom"/>
          </w:tcPr>
          <w:p>
            <w:pPr>
              <w:ind w:left="480"/>
              <w:spacing w:after="0"/>
              <w:rPr>
                <w:sz w:val="20"/>
                <w:szCs w:val="20"/>
                <w:color w:val="auto"/>
              </w:rPr>
            </w:pPr>
            <w:r>
              <w:rPr>
                <w:rFonts w:ascii="Arial" w:cs="Arial" w:eastAsia="Arial" w:hAnsi="Arial"/>
                <w:sz w:val="17"/>
                <w:szCs w:val="17"/>
                <w:color w:val="auto"/>
              </w:rPr>
              <w:t>instruments, net of tax</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(360)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(566)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(11,794)</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(12,042)</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459</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(97,546)</w:t>
            </w:r>
          </w:p>
        </w:tc>
      </w:tr>
      <w:tr>
        <w:trPr>
          <w:trHeight w:val="213"/>
        </w:trPr>
        <w:tc>
          <w:tcPr>
            <w:tcW w:w="6120" w:type="dxa"/>
            <w:vAlign w:val="bottom"/>
          </w:tcPr>
          <w:p>
            <w:pPr>
              <w:ind w:left="20"/>
              <w:spacing w:after="0"/>
              <w:rPr>
                <w:sz w:val="20"/>
                <w:szCs w:val="20"/>
                <w:color w:val="auto"/>
              </w:rPr>
            </w:pPr>
            <w:r>
              <w:rPr>
                <w:rFonts w:ascii="Arial" w:cs="Arial" w:eastAsia="Arial" w:hAnsi="Arial"/>
                <w:sz w:val="17"/>
                <w:szCs w:val="17"/>
                <w:color w:val="auto"/>
              </w:rPr>
              <w:t>Comprehensive income (loss)</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5,749</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5,255</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45,783</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(49,281)</w:t>
            </w:r>
          </w:p>
        </w:tc>
      </w:tr>
      <w:tr>
        <w:trPr>
          <w:trHeight w:val="20"/>
        </w:trPr>
        <w:tc>
          <w:tcPr>
            <w:tcW w:w="6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See notes to interim condensed consolidated financial statements (Unaudited)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INDEPENDENT BANK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Condensed Consolidated Statements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80" w:type="dxa"/>
            <w:vAlign w:val="bottom"/>
          </w:tcPr>
          <w:p>
            <w:pPr>
              <w:spacing w:after="0"/>
              <w:rPr>
                <w:sz w:val="15"/>
                <w:szCs w:val="15"/>
                <w:color w:val="auto"/>
              </w:rPr>
            </w:pPr>
          </w:p>
        </w:tc>
        <w:tc>
          <w:tcPr>
            <w:tcW w:w="2500" w:type="dxa"/>
            <w:vAlign w:val="bottom"/>
            <w:gridSpan w:val="4"/>
          </w:tcPr>
          <w:p>
            <w:pPr>
              <w:jc w:val="right"/>
              <w:spacing w:after="0"/>
              <w:rPr>
                <w:sz w:val="20"/>
                <w:szCs w:val="20"/>
                <w:color w:val="auto"/>
              </w:rPr>
            </w:pPr>
            <w:r>
              <w:rPr>
                <w:rFonts w:ascii="Arial" w:cs="Arial" w:eastAsia="Arial" w:hAnsi="Arial"/>
                <w:sz w:val="14"/>
                <w:szCs w:val="14"/>
                <w:color w:val="auto"/>
              </w:rPr>
              <w:t>Nine months ended September 30,</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818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180" w:type="dxa"/>
            <w:vAlign w:val="bottom"/>
          </w:tcPr>
          <w:p>
            <w:pPr>
              <w:spacing w:after="0"/>
              <w:rPr>
                <w:sz w:val="15"/>
                <w:szCs w:val="15"/>
                <w:color w:val="auto"/>
              </w:rPr>
            </w:pPr>
          </w:p>
        </w:tc>
        <w:tc>
          <w:tcPr>
            <w:tcW w:w="2500" w:type="dxa"/>
            <w:vAlign w:val="bottom"/>
            <w:gridSpan w:val="4"/>
          </w:tcPr>
          <w:p>
            <w:pPr>
              <w:jc w:val="right"/>
              <w:ind w:right="151"/>
              <w:spacing w:after="0"/>
              <w:rPr>
                <w:sz w:val="20"/>
                <w:szCs w:val="20"/>
                <w:color w:val="auto"/>
              </w:rPr>
            </w:pPr>
            <w:r>
              <w:rPr>
                <w:rFonts w:ascii="Arial" w:cs="Arial" w:eastAsia="Arial" w:hAnsi="Arial"/>
                <w:sz w:val="14"/>
                <w:szCs w:val="14"/>
                <w:color w:val="auto"/>
              </w:rPr>
              <w:t>(Unaudited - In thousands)</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0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45,324</w:t>
            </w:r>
          </w:p>
        </w:tc>
        <w:tc>
          <w:tcPr>
            <w:tcW w:w="8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48,265</w:t>
            </w:r>
          </w:p>
        </w:tc>
        <w:tc>
          <w:tcPr>
            <w:tcW w:w="0" w:type="dxa"/>
            <w:vAlign w:val="bottom"/>
          </w:tcPr>
          <w:p>
            <w:pPr>
              <w:spacing w:after="0"/>
              <w:rPr>
                <w:sz w:val="1"/>
                <w:szCs w:val="1"/>
                <w:color w:val="auto"/>
              </w:rPr>
            </w:pPr>
          </w:p>
        </w:tc>
      </w:tr>
      <w:tr>
        <w:trPr>
          <w:trHeight w:val="162"/>
        </w:trPr>
        <w:tc>
          <w:tcPr>
            <w:tcW w:w="8180" w:type="dxa"/>
            <w:vAlign w:val="bottom"/>
          </w:tcPr>
          <w:p>
            <w:pPr>
              <w:ind w:left="20"/>
              <w:spacing w:after="0"/>
              <w:rPr>
                <w:sz w:val="20"/>
                <w:szCs w:val="20"/>
                <w:color w:val="auto"/>
              </w:rPr>
            </w:pPr>
            <w:r>
              <w:rPr>
                <w:rFonts w:ascii="Arial" w:cs="Arial" w:eastAsia="Arial" w:hAnsi="Arial"/>
                <w:sz w:val="14"/>
                <w:szCs w:val="14"/>
                <w:color w:val="auto"/>
              </w:rPr>
              <w:t>Adjustments to Reconcile Net Income to Net Cash From Operating Activities</w:t>
            </w: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sales of loans held for sale</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273,766</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432,185</w:t>
            </w:r>
          </w:p>
        </w:tc>
        <w:tc>
          <w:tcPr>
            <w:tcW w:w="0" w:type="dxa"/>
            <w:vAlign w:val="bottom"/>
          </w:tcPr>
          <w:p>
            <w:pPr>
              <w:spacing w:after="0"/>
              <w:rPr>
                <w:sz w:val="1"/>
                <w:szCs w:val="1"/>
                <w:color w:val="auto"/>
              </w:rPr>
            </w:pPr>
          </w:p>
        </w:tc>
      </w:tr>
      <w:tr>
        <w:trPr>
          <w:trHeight w:val="184"/>
        </w:trPr>
        <w:tc>
          <w:tcPr>
            <w:tcW w:w="8180" w:type="dxa"/>
            <w:vAlign w:val="bottom"/>
          </w:tcPr>
          <w:p>
            <w:pPr>
              <w:ind w:left="180"/>
              <w:spacing w:after="0"/>
              <w:rPr>
                <w:sz w:val="20"/>
                <w:szCs w:val="20"/>
                <w:color w:val="auto"/>
              </w:rPr>
            </w:pPr>
            <w:r>
              <w:rPr>
                <w:rFonts w:ascii="Arial" w:cs="Arial" w:eastAsia="Arial" w:hAnsi="Arial"/>
                <w:sz w:val="14"/>
                <w:szCs w:val="14"/>
                <w:color w:val="auto"/>
              </w:rPr>
              <w:t>Disbursements for loans held for sale</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0"/>
              </w:rPr>
              <w:t>(255,601)</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86"/>
              </w:rPr>
              <w:t>(381,421)</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Provision for credit losses</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6,827</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3,951</w:t>
            </w:r>
          </w:p>
        </w:tc>
        <w:tc>
          <w:tcPr>
            <w:tcW w:w="0" w:type="dxa"/>
            <w:vAlign w:val="bottom"/>
          </w:tcPr>
          <w:p>
            <w:pPr>
              <w:spacing w:after="0"/>
              <w:rPr>
                <w:sz w:val="1"/>
                <w:szCs w:val="1"/>
                <w:color w:val="auto"/>
              </w:rPr>
            </w:pPr>
          </w:p>
        </w:tc>
      </w:tr>
      <w:tr>
        <w:trPr>
          <w:trHeight w:val="184"/>
        </w:trPr>
        <w:tc>
          <w:tcPr>
            <w:tcW w:w="8180" w:type="dxa"/>
            <w:vAlign w:val="bottom"/>
          </w:tcPr>
          <w:p>
            <w:pPr>
              <w:ind w:left="180"/>
              <w:spacing w:after="0"/>
              <w:rPr>
                <w:sz w:val="20"/>
                <w:szCs w:val="20"/>
                <w:color w:val="auto"/>
              </w:rPr>
            </w:pPr>
            <w:r>
              <w:rPr>
                <w:rFonts w:ascii="Arial" w:cs="Arial" w:eastAsia="Arial" w:hAnsi="Arial"/>
                <w:sz w:val="14"/>
                <w:szCs w:val="14"/>
                <w:color w:val="auto"/>
              </w:rPr>
              <w:t>Deferred income tax expense</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821</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1,922</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deferred loan fees (costs)</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(4,899)</w:t>
            </w:r>
          </w:p>
        </w:tc>
        <w:tc>
          <w:tcPr>
            <w:tcW w:w="0" w:type="dxa"/>
            <w:vAlign w:val="bottom"/>
          </w:tcPr>
          <w:p>
            <w:pPr>
              <w:spacing w:after="0"/>
              <w:rPr>
                <w:sz w:val="1"/>
                <w:szCs w:val="1"/>
                <w:color w:val="auto"/>
              </w:rPr>
            </w:pPr>
          </w:p>
        </w:tc>
      </w:tr>
      <w:tr>
        <w:trPr>
          <w:trHeight w:val="184"/>
        </w:trPr>
        <w:tc>
          <w:tcPr>
            <w:tcW w:w="8180" w:type="dxa"/>
            <w:vAlign w:val="bottom"/>
          </w:tcPr>
          <w:p>
            <w:pPr>
              <w:ind w:left="180"/>
              <w:spacing w:after="0"/>
              <w:rPr>
                <w:sz w:val="20"/>
                <w:szCs w:val="20"/>
                <w:color w:val="auto"/>
              </w:rPr>
            </w:pPr>
            <w:r>
              <w:rPr>
                <w:rFonts w:ascii="Arial" w:cs="Arial" w:eastAsia="Arial" w:hAnsi="Arial"/>
                <w:sz w:val="14"/>
                <w:szCs w:val="14"/>
                <w:color w:val="auto"/>
              </w:rPr>
              <w:t>Net depreciation, amortization of intangible assets and premiums and accretion of discounts on securities and loans</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7,478</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8,340</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gains on mortgage loans</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(5,475)</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(4,945)</w:t>
            </w:r>
          </w:p>
        </w:tc>
        <w:tc>
          <w:tcPr>
            <w:tcW w:w="0" w:type="dxa"/>
            <w:vAlign w:val="bottom"/>
          </w:tcPr>
          <w:p>
            <w:pPr>
              <w:spacing w:after="0"/>
              <w:rPr>
                <w:sz w:val="1"/>
                <w:szCs w:val="1"/>
                <w:color w:val="auto"/>
              </w:rPr>
            </w:pPr>
          </w:p>
        </w:tc>
      </w:tr>
      <w:tr>
        <w:trPr>
          <w:trHeight w:val="184"/>
        </w:trPr>
        <w:tc>
          <w:tcPr>
            <w:tcW w:w="8180" w:type="dxa"/>
            <w:vAlign w:val="bottom"/>
          </w:tcPr>
          <w:p>
            <w:pPr>
              <w:ind w:left="180"/>
              <w:spacing w:after="0"/>
              <w:rPr>
                <w:sz w:val="20"/>
                <w:szCs w:val="20"/>
                <w:color w:val="auto"/>
              </w:rPr>
            </w:pPr>
            <w:r>
              <w:rPr>
                <w:rFonts w:ascii="Arial" w:cs="Arial" w:eastAsia="Arial" w:hAnsi="Arial"/>
                <w:sz w:val="14"/>
                <w:szCs w:val="14"/>
                <w:color w:val="auto"/>
              </w:rPr>
              <w:t>Net losses on securities available for sale</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222</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 based compensation</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1,670</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1,589</w:t>
            </w:r>
          </w:p>
        </w:tc>
        <w:tc>
          <w:tcPr>
            <w:tcW w:w="0" w:type="dxa"/>
            <w:vAlign w:val="bottom"/>
          </w:tcPr>
          <w:p>
            <w:pPr>
              <w:spacing w:after="0"/>
              <w:rPr>
                <w:sz w:val="1"/>
                <w:szCs w:val="1"/>
                <w:color w:val="auto"/>
              </w:rPr>
            </w:pPr>
          </w:p>
        </w:tc>
      </w:tr>
      <w:tr>
        <w:trPr>
          <w:trHeight w:val="184"/>
        </w:trPr>
        <w:tc>
          <w:tcPr>
            <w:tcW w:w="8180" w:type="dxa"/>
            <w:vAlign w:val="bottom"/>
          </w:tcPr>
          <w:p>
            <w:pPr>
              <w:ind w:left="180"/>
              <w:spacing w:after="0"/>
              <w:rPr>
                <w:sz w:val="20"/>
                <w:szCs w:val="20"/>
                <w:color w:val="auto"/>
              </w:rPr>
            </w:pPr>
            <w:r>
              <w:rPr>
                <w:rFonts w:ascii="Arial" w:cs="Arial" w:eastAsia="Arial" w:hAnsi="Arial"/>
                <w:sz w:val="14"/>
                <w:szCs w:val="14"/>
                <w:color w:val="auto"/>
              </w:rPr>
              <w:t>Increase in accrued income and other assets</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(14,642)</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9"/>
              </w:rPr>
              <w:t>(19,039)</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Increase (decrease) in accrued expenses and other liabilities</w:t>
            </w:r>
          </w:p>
        </w:tc>
        <w:tc>
          <w:tcPr>
            <w:tcW w:w="9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(1,887)</w:t>
            </w:r>
          </w:p>
        </w:tc>
        <w:tc>
          <w:tcPr>
            <w:tcW w:w="8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7,582</w:t>
            </w:r>
          </w:p>
        </w:tc>
        <w:tc>
          <w:tcPr>
            <w:tcW w:w="0" w:type="dxa"/>
            <w:vAlign w:val="bottom"/>
          </w:tcPr>
          <w:p>
            <w:pPr>
              <w:spacing w:after="0"/>
              <w:rPr>
                <w:sz w:val="1"/>
                <w:szCs w:val="1"/>
                <w:color w:val="auto"/>
              </w:rPr>
            </w:pPr>
          </w:p>
        </w:tc>
      </w:tr>
      <w:tr>
        <w:trPr>
          <w:trHeight w:val="179"/>
        </w:trPr>
        <w:tc>
          <w:tcPr>
            <w:tcW w:w="8180" w:type="dxa"/>
            <w:vAlign w:val="bottom"/>
            <w:tcBorders>
              <w:bottom w:val="single" w:sz="8" w:color="CCEEFF"/>
            </w:tcBorders>
          </w:tcPr>
          <w:p>
            <w:pPr>
              <w:jc w:val="right"/>
              <w:ind w:right="31"/>
              <w:spacing w:after="0"/>
              <w:rPr>
                <w:sz w:val="20"/>
                <w:szCs w:val="20"/>
                <w:color w:val="auto"/>
              </w:rPr>
            </w:pPr>
            <w:r>
              <w:rPr>
                <w:rFonts w:ascii="Arial" w:cs="Arial" w:eastAsia="Arial" w:hAnsi="Arial"/>
                <w:sz w:val="14"/>
                <w:szCs w:val="14"/>
                <w:color w:val="auto"/>
              </w:rPr>
              <w:t>Total Adjustments</w:t>
            </w:r>
          </w:p>
        </w:tc>
        <w:tc>
          <w:tcPr>
            <w:tcW w:w="9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13,464</w:t>
            </w: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45,540</w:t>
            </w:r>
          </w:p>
        </w:tc>
        <w:tc>
          <w:tcPr>
            <w:tcW w:w="0" w:type="dxa"/>
            <w:vAlign w:val="bottom"/>
          </w:tcPr>
          <w:p>
            <w:pPr>
              <w:spacing w:after="0"/>
              <w:rPr>
                <w:sz w:val="1"/>
                <w:szCs w:val="1"/>
                <w:color w:val="auto"/>
              </w:rPr>
            </w:pPr>
          </w:p>
        </w:tc>
      </w:tr>
      <w:tr>
        <w:trPr>
          <w:trHeight w:val="193"/>
        </w:trPr>
        <w:tc>
          <w:tcPr>
            <w:tcW w:w="8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Net Cash From Operating Activities</w:t>
            </w:r>
          </w:p>
        </w:tc>
        <w:tc>
          <w:tcPr>
            <w:tcW w:w="9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58,788</w:t>
            </w:r>
          </w:p>
        </w:tc>
        <w:tc>
          <w:tcPr>
            <w:tcW w:w="8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93,805</w:t>
            </w:r>
          </w:p>
        </w:tc>
        <w:tc>
          <w:tcPr>
            <w:tcW w:w="0" w:type="dxa"/>
            <w:vAlign w:val="bottom"/>
          </w:tcPr>
          <w:p>
            <w:pPr>
              <w:spacing w:after="0"/>
              <w:rPr>
                <w:sz w:val="1"/>
                <w:szCs w:val="1"/>
                <w:color w:val="auto"/>
              </w:rPr>
            </w:pPr>
          </w:p>
        </w:tc>
      </w:tr>
      <w:tr>
        <w:trPr>
          <w:trHeight w:val="162"/>
        </w:trPr>
        <w:tc>
          <w:tcPr>
            <w:tcW w:w="8180" w:type="dxa"/>
            <w:vAlign w:val="bottom"/>
          </w:tcPr>
          <w:p>
            <w:pPr>
              <w:ind w:left="20"/>
              <w:spacing w:after="0"/>
              <w:rPr>
                <w:sz w:val="20"/>
                <w:szCs w:val="20"/>
                <w:color w:val="auto"/>
              </w:rPr>
            </w:pPr>
            <w:r>
              <w:rPr>
                <w:rFonts w:ascii="Arial" w:cs="Arial" w:eastAsia="Arial" w:hAnsi="Arial"/>
                <w:sz w:val="14"/>
                <w:szCs w:val="14"/>
                <w:color w:val="auto"/>
              </w:rPr>
              <w:t>Cash Flow Used in Investing Activities</w:t>
            </w: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the sale of securities available for sale</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70,523</w:t>
            </w:r>
          </w:p>
        </w:tc>
        <w:tc>
          <w:tcPr>
            <w:tcW w:w="0" w:type="dxa"/>
            <w:vAlign w:val="bottom"/>
          </w:tcPr>
          <w:p>
            <w:pPr>
              <w:spacing w:after="0"/>
              <w:rPr>
                <w:sz w:val="1"/>
                <w:szCs w:val="1"/>
                <w:color w:val="auto"/>
              </w:rPr>
            </w:pPr>
          </w:p>
        </w:tc>
      </w:tr>
      <w:tr>
        <w:trPr>
          <w:trHeight w:val="184"/>
        </w:trPr>
        <w:tc>
          <w:tcPr>
            <w:tcW w:w="8180" w:type="dxa"/>
            <w:vAlign w:val="bottom"/>
          </w:tcPr>
          <w:p>
            <w:pPr>
              <w:ind w:left="180"/>
              <w:spacing w:after="0"/>
              <w:rPr>
                <w:sz w:val="20"/>
                <w:szCs w:val="20"/>
                <w:color w:val="auto"/>
              </w:rPr>
            </w:pPr>
            <w:r>
              <w:rPr>
                <w:rFonts w:ascii="Arial" w:cs="Arial" w:eastAsia="Arial" w:hAnsi="Arial"/>
                <w:sz w:val="14"/>
                <w:szCs w:val="14"/>
                <w:color w:val="auto"/>
              </w:rPr>
              <w:t>Proceeds from maturities, prepayments and calls of securities available for sale</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89,315</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4"/>
              </w:rPr>
              <w:t>137,605</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maturities, prepayments and calls of securities held to maturity</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16,745</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16,579</w:t>
            </w:r>
          </w:p>
        </w:tc>
        <w:tc>
          <w:tcPr>
            <w:tcW w:w="0" w:type="dxa"/>
            <w:vAlign w:val="bottom"/>
          </w:tcPr>
          <w:p>
            <w:pPr>
              <w:spacing w:after="0"/>
              <w:rPr>
                <w:sz w:val="1"/>
                <w:szCs w:val="1"/>
                <w:color w:val="auto"/>
              </w:rPr>
            </w:pPr>
          </w:p>
        </w:tc>
      </w:tr>
      <w:tr>
        <w:trPr>
          <w:trHeight w:val="184"/>
        </w:trPr>
        <w:tc>
          <w:tcPr>
            <w:tcW w:w="8180" w:type="dxa"/>
            <w:vAlign w:val="bottom"/>
          </w:tcPr>
          <w:p>
            <w:pPr>
              <w:ind w:left="180"/>
              <w:spacing w:after="0"/>
              <w:rPr>
                <w:sz w:val="20"/>
                <w:szCs w:val="20"/>
                <w:color w:val="auto"/>
              </w:rPr>
            </w:pPr>
            <w:r>
              <w:rPr>
                <w:rFonts w:ascii="Arial" w:cs="Arial" w:eastAsia="Arial" w:hAnsi="Arial"/>
                <w:sz w:val="14"/>
                <w:szCs w:val="14"/>
                <w:color w:val="auto"/>
              </w:rPr>
              <w:t>Purchases of securities held to maturity</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(1,740)</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(2,658)</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securities available for sale</w:t>
            </w:r>
          </w:p>
        </w:tc>
        <w:tc>
          <w:tcPr>
            <w:tcW w:w="9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(137,550)</w:t>
            </w:r>
          </w:p>
        </w:tc>
        <w:tc>
          <w:tcPr>
            <w:tcW w:w="0" w:type="dxa"/>
            <w:vAlign w:val="bottom"/>
          </w:tcPr>
          <w:p>
            <w:pPr>
              <w:spacing w:after="0"/>
              <w:rPr>
                <w:sz w:val="1"/>
                <w:szCs w:val="1"/>
                <w:color w:val="auto"/>
              </w:rPr>
            </w:pPr>
          </w:p>
        </w:tc>
      </w:tr>
      <w:tr>
        <w:trPr>
          <w:trHeight w:val="184"/>
        </w:trPr>
        <w:tc>
          <w:tcPr>
            <w:tcW w:w="8180" w:type="dxa"/>
            <w:vAlign w:val="bottom"/>
          </w:tcPr>
          <w:p>
            <w:pPr>
              <w:ind w:left="180"/>
              <w:spacing w:after="0"/>
              <w:rPr>
                <w:sz w:val="20"/>
                <w:szCs w:val="20"/>
                <w:color w:val="auto"/>
              </w:rPr>
            </w:pPr>
            <w:r>
              <w:rPr>
                <w:rFonts w:ascii="Arial" w:cs="Arial" w:eastAsia="Arial" w:hAnsi="Arial"/>
                <w:sz w:val="14"/>
                <w:szCs w:val="14"/>
                <w:color w:val="auto"/>
              </w:rPr>
              <w:t>Purchases of Federal Home Loan Bank stock</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(478)</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the redemption of Federal Home Loan Bank stock</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1,310</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w:t>
            </w:r>
          </w:p>
        </w:tc>
        <w:tc>
          <w:tcPr>
            <w:tcW w:w="0" w:type="dxa"/>
            <w:vAlign w:val="bottom"/>
          </w:tcPr>
          <w:p>
            <w:pPr>
              <w:spacing w:after="0"/>
              <w:rPr>
                <w:sz w:val="1"/>
                <w:szCs w:val="1"/>
                <w:color w:val="auto"/>
              </w:rPr>
            </w:pPr>
          </w:p>
        </w:tc>
      </w:tr>
      <w:tr>
        <w:trPr>
          <w:trHeight w:val="184"/>
        </w:trPr>
        <w:tc>
          <w:tcPr>
            <w:tcW w:w="8180" w:type="dxa"/>
            <w:vAlign w:val="bottom"/>
          </w:tcPr>
          <w:p>
            <w:pPr>
              <w:ind w:left="180"/>
              <w:spacing w:after="0"/>
              <w:rPr>
                <w:sz w:val="20"/>
                <w:szCs w:val="20"/>
                <w:color w:val="auto"/>
              </w:rPr>
            </w:pPr>
            <w:r>
              <w:rPr>
                <w:rFonts w:ascii="Arial" w:cs="Arial" w:eastAsia="Arial" w:hAnsi="Arial"/>
                <w:sz w:val="14"/>
                <w:szCs w:val="14"/>
                <w:color w:val="auto"/>
              </w:rPr>
              <w:t>Net increase in portfolio loans (loans originated, net of principal payments)</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0"/>
              </w:rPr>
              <w:t>(311,733)</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86"/>
              </w:rPr>
              <w:t>(521,282)</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the sale of portfolio loans</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51,481</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56,449</w:t>
            </w:r>
          </w:p>
        </w:tc>
        <w:tc>
          <w:tcPr>
            <w:tcW w:w="0" w:type="dxa"/>
            <w:vAlign w:val="bottom"/>
          </w:tcPr>
          <w:p>
            <w:pPr>
              <w:spacing w:after="0"/>
              <w:rPr>
                <w:sz w:val="1"/>
                <w:szCs w:val="1"/>
                <w:color w:val="auto"/>
              </w:rPr>
            </w:pPr>
          </w:p>
        </w:tc>
      </w:tr>
      <w:tr>
        <w:trPr>
          <w:trHeight w:val="184"/>
        </w:trPr>
        <w:tc>
          <w:tcPr>
            <w:tcW w:w="8180" w:type="dxa"/>
            <w:vAlign w:val="bottom"/>
          </w:tcPr>
          <w:p>
            <w:pPr>
              <w:ind w:left="180"/>
              <w:spacing w:after="0"/>
              <w:rPr>
                <w:sz w:val="20"/>
                <w:szCs w:val="20"/>
                <w:color w:val="auto"/>
              </w:rPr>
            </w:pPr>
            <w:r>
              <w:rPr>
                <w:rFonts w:ascii="Arial" w:cs="Arial" w:eastAsia="Arial" w:hAnsi="Arial"/>
                <w:sz w:val="14"/>
                <w:szCs w:val="14"/>
                <w:color w:val="auto"/>
              </w:rPr>
              <w:t>Proceeds from bank-owned life insurance</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905</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the sale of other real estate and repossessed assets</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w:t>
            </w:r>
          </w:p>
        </w:tc>
        <w:tc>
          <w:tcPr>
            <w:tcW w:w="0" w:type="dxa"/>
            <w:vAlign w:val="bottom"/>
          </w:tcPr>
          <w:p>
            <w:pPr>
              <w:spacing w:after="0"/>
              <w:rPr>
                <w:sz w:val="1"/>
                <w:szCs w:val="1"/>
                <w:color w:val="auto"/>
              </w:rPr>
            </w:pPr>
          </w:p>
        </w:tc>
      </w:tr>
      <w:tr>
        <w:trPr>
          <w:trHeight w:val="184"/>
        </w:trPr>
        <w:tc>
          <w:tcPr>
            <w:tcW w:w="8180" w:type="dxa"/>
            <w:vAlign w:val="bottom"/>
          </w:tcPr>
          <w:p>
            <w:pPr>
              <w:ind w:left="180"/>
              <w:spacing w:after="0"/>
              <w:rPr>
                <w:sz w:val="20"/>
                <w:szCs w:val="20"/>
                <w:color w:val="auto"/>
              </w:rPr>
            </w:pPr>
            <w:r>
              <w:rPr>
                <w:rFonts w:ascii="Arial" w:cs="Arial" w:eastAsia="Arial" w:hAnsi="Arial"/>
                <w:sz w:val="14"/>
                <w:szCs w:val="14"/>
                <w:color w:val="auto"/>
              </w:rPr>
              <w:t>Proceeds from the sale of property and equipment</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1,632</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1,563</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Capital expenditures</w:t>
            </w:r>
          </w:p>
        </w:tc>
        <w:tc>
          <w:tcPr>
            <w:tcW w:w="9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(4,511)</w:t>
            </w:r>
          </w:p>
        </w:tc>
        <w:tc>
          <w:tcPr>
            <w:tcW w:w="8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(3,969)</w:t>
            </w:r>
          </w:p>
        </w:tc>
        <w:tc>
          <w:tcPr>
            <w:tcW w:w="0" w:type="dxa"/>
            <w:vAlign w:val="bottom"/>
          </w:tcPr>
          <w:p>
            <w:pPr>
              <w:spacing w:after="0"/>
              <w:rPr>
                <w:sz w:val="1"/>
                <w:szCs w:val="1"/>
                <w:color w:val="auto"/>
              </w:rPr>
            </w:pPr>
          </w:p>
        </w:tc>
      </w:tr>
      <w:tr>
        <w:trPr>
          <w:trHeight w:val="179"/>
        </w:trPr>
        <w:tc>
          <w:tcPr>
            <w:tcW w:w="8180" w:type="dxa"/>
            <w:vAlign w:val="bottom"/>
            <w:tcBorders>
              <w:bottom w:val="single" w:sz="8" w:color="CCEEFF"/>
            </w:tcBorders>
          </w:tcPr>
          <w:p>
            <w:pPr>
              <w:jc w:val="right"/>
              <w:ind w:right="31"/>
              <w:spacing w:after="0"/>
              <w:rPr>
                <w:sz w:val="20"/>
                <w:szCs w:val="20"/>
                <w:color w:val="auto"/>
              </w:rPr>
            </w:pPr>
            <w:r>
              <w:rPr>
                <w:rFonts w:ascii="Arial" w:cs="Arial" w:eastAsia="Arial" w:hAnsi="Arial"/>
                <w:sz w:val="14"/>
                <w:szCs w:val="14"/>
                <w:color w:val="auto"/>
              </w:rPr>
              <w:t>Net Cash Used in Investing Activities</w:t>
            </w:r>
          </w:p>
        </w:tc>
        <w:tc>
          <w:tcPr>
            <w:tcW w:w="9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(156,198)</w:t>
            </w: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6"/>
              </w:rPr>
              <w:t>(380,798)</w:t>
            </w:r>
          </w:p>
        </w:tc>
        <w:tc>
          <w:tcPr>
            <w:tcW w:w="0" w:type="dxa"/>
            <w:vAlign w:val="bottom"/>
          </w:tcPr>
          <w:p>
            <w:pPr>
              <w:spacing w:after="0"/>
              <w:rPr>
                <w:sz w:val="1"/>
                <w:szCs w:val="1"/>
                <w:color w:val="auto"/>
              </w:rPr>
            </w:pPr>
          </w:p>
        </w:tc>
      </w:tr>
      <w:tr>
        <w:trPr>
          <w:trHeight w:val="17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 From Financing Activities</w:t>
            </w:r>
          </w:p>
        </w:tc>
        <w:tc>
          <w:tcPr>
            <w:tcW w:w="9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180" w:type="dxa"/>
            <w:vAlign w:val="bottom"/>
          </w:tcPr>
          <w:p>
            <w:pPr>
              <w:ind w:left="180"/>
              <w:spacing w:after="0"/>
              <w:rPr>
                <w:sz w:val="20"/>
                <w:szCs w:val="20"/>
                <w:color w:val="auto"/>
              </w:rPr>
            </w:pPr>
            <w:r>
              <w:rPr>
                <w:rFonts w:ascii="Arial" w:cs="Arial" w:eastAsia="Arial" w:hAnsi="Arial"/>
                <w:sz w:val="14"/>
                <w:szCs w:val="14"/>
                <w:color w:val="auto"/>
              </w:rPr>
              <w:t>Net increase in total deposits</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206,543</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4"/>
              </w:rPr>
              <w:t>209,938</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increase (decrease) in other borrowings</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(60,992)</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36,698</w:t>
            </w:r>
          </w:p>
        </w:tc>
        <w:tc>
          <w:tcPr>
            <w:tcW w:w="0" w:type="dxa"/>
            <w:vAlign w:val="bottom"/>
          </w:tcPr>
          <w:p>
            <w:pPr>
              <w:spacing w:after="0"/>
              <w:rPr>
                <w:sz w:val="1"/>
                <w:szCs w:val="1"/>
                <w:color w:val="auto"/>
              </w:rPr>
            </w:pPr>
          </w:p>
        </w:tc>
      </w:tr>
      <w:tr>
        <w:trPr>
          <w:trHeight w:val="184"/>
        </w:trPr>
        <w:tc>
          <w:tcPr>
            <w:tcW w:w="8180" w:type="dxa"/>
            <w:vAlign w:val="bottom"/>
          </w:tcPr>
          <w:p>
            <w:pPr>
              <w:ind w:left="180"/>
              <w:spacing w:after="0"/>
              <w:rPr>
                <w:sz w:val="20"/>
                <w:szCs w:val="20"/>
                <w:color w:val="auto"/>
              </w:rPr>
            </w:pPr>
            <w:r>
              <w:rPr>
                <w:rFonts w:ascii="Arial" w:cs="Arial" w:eastAsia="Arial" w:hAnsi="Arial"/>
                <w:sz w:val="14"/>
                <w:szCs w:val="14"/>
                <w:color w:val="auto"/>
              </w:rPr>
              <w:t>Proceeds from Federal Home Loan Bank Advances</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135,000</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4"/>
              </w:rPr>
              <w:t>190,000</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Payments of Federal Home Loan Bank Advances</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(110,000)</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(170,000)</w:t>
            </w:r>
          </w:p>
        </w:tc>
        <w:tc>
          <w:tcPr>
            <w:tcW w:w="0" w:type="dxa"/>
            <w:vAlign w:val="bottom"/>
          </w:tcPr>
          <w:p>
            <w:pPr>
              <w:spacing w:after="0"/>
              <w:rPr>
                <w:sz w:val="1"/>
                <w:szCs w:val="1"/>
                <w:color w:val="auto"/>
              </w:rPr>
            </w:pPr>
          </w:p>
        </w:tc>
      </w:tr>
      <w:tr>
        <w:trPr>
          <w:trHeight w:val="184"/>
        </w:trPr>
        <w:tc>
          <w:tcPr>
            <w:tcW w:w="8180" w:type="dxa"/>
            <w:vAlign w:val="bottom"/>
          </w:tcPr>
          <w:p>
            <w:pPr>
              <w:ind w:left="180"/>
              <w:spacing w:after="0"/>
              <w:rPr>
                <w:sz w:val="20"/>
                <w:szCs w:val="20"/>
                <w:color w:val="auto"/>
              </w:rPr>
            </w:pPr>
            <w:r>
              <w:rPr>
                <w:rFonts w:ascii="Arial" w:cs="Arial" w:eastAsia="Arial" w:hAnsi="Arial"/>
                <w:sz w:val="14"/>
                <w:szCs w:val="14"/>
                <w:color w:val="auto"/>
              </w:rPr>
              <w:t>Dividends paid</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(14,535)</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9"/>
              </w:rPr>
              <w:t>(13,931)</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issuance of common stock</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84"/>
        </w:trPr>
        <w:tc>
          <w:tcPr>
            <w:tcW w:w="8180" w:type="dxa"/>
            <w:vAlign w:val="bottom"/>
          </w:tcPr>
          <w:p>
            <w:pPr>
              <w:ind w:left="180"/>
              <w:spacing w:after="0"/>
              <w:rPr>
                <w:sz w:val="20"/>
                <w:szCs w:val="20"/>
                <w:color w:val="auto"/>
              </w:rPr>
            </w:pPr>
            <w:r>
              <w:rPr>
                <w:rFonts w:ascii="Arial" w:cs="Arial" w:eastAsia="Arial" w:hAnsi="Arial"/>
                <w:sz w:val="14"/>
                <w:szCs w:val="14"/>
                <w:color w:val="auto"/>
              </w:rPr>
              <w:t>Repurchase of common stock</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(4,963)</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(4,010)</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 based compensation withholding obligation</w:t>
            </w:r>
          </w:p>
        </w:tc>
        <w:tc>
          <w:tcPr>
            <w:tcW w:w="9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w:t>
            </w:r>
          </w:p>
        </w:tc>
        <w:tc>
          <w:tcPr>
            <w:tcW w:w="8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0" w:type="dxa"/>
            <w:vAlign w:val="bottom"/>
          </w:tcPr>
          <w:p>
            <w:pPr>
              <w:spacing w:after="0"/>
              <w:rPr>
                <w:sz w:val="1"/>
                <w:szCs w:val="1"/>
                <w:color w:val="auto"/>
              </w:rPr>
            </w:pPr>
          </w:p>
        </w:tc>
      </w:tr>
      <w:tr>
        <w:trPr>
          <w:trHeight w:val="179"/>
        </w:trPr>
        <w:tc>
          <w:tcPr>
            <w:tcW w:w="8180" w:type="dxa"/>
            <w:vAlign w:val="bottom"/>
            <w:tcBorders>
              <w:bottom w:val="single" w:sz="8" w:color="CCEEFF"/>
            </w:tcBorders>
          </w:tcPr>
          <w:p>
            <w:pPr>
              <w:jc w:val="right"/>
              <w:ind w:right="31"/>
              <w:spacing w:after="0"/>
              <w:rPr>
                <w:sz w:val="20"/>
                <w:szCs w:val="20"/>
                <w:color w:val="auto"/>
              </w:rPr>
            </w:pPr>
            <w:r>
              <w:rPr>
                <w:rFonts w:ascii="Arial" w:cs="Arial" w:eastAsia="Arial" w:hAnsi="Arial"/>
                <w:sz w:val="14"/>
                <w:szCs w:val="14"/>
                <w:color w:val="auto"/>
              </w:rPr>
              <w:t>Net Cash From Financing Activities</w:t>
            </w:r>
          </w:p>
        </w:tc>
        <w:tc>
          <w:tcPr>
            <w:tcW w:w="9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150,500</w:t>
            </w: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248,152</w:t>
            </w:r>
          </w:p>
        </w:tc>
        <w:tc>
          <w:tcPr>
            <w:tcW w:w="0" w:type="dxa"/>
            <w:vAlign w:val="bottom"/>
          </w:tcPr>
          <w:p>
            <w:pPr>
              <w:spacing w:after="0"/>
              <w:rPr>
                <w:sz w:val="1"/>
                <w:szCs w:val="1"/>
                <w:color w:val="auto"/>
              </w:rPr>
            </w:pPr>
          </w:p>
        </w:tc>
      </w:tr>
      <w:tr>
        <w:trPr>
          <w:trHeight w:val="193"/>
        </w:trPr>
        <w:tc>
          <w:tcPr>
            <w:tcW w:w="8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Net Increase (Decrease) in Cash and Cash Equivalents</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53,090</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(38,841)</w:t>
            </w:r>
          </w:p>
        </w:tc>
        <w:tc>
          <w:tcPr>
            <w:tcW w:w="0" w:type="dxa"/>
            <w:vAlign w:val="bottom"/>
          </w:tcPr>
          <w:p>
            <w:pPr>
              <w:spacing w:after="0"/>
              <w:rPr>
                <w:sz w:val="1"/>
                <w:szCs w:val="1"/>
                <w:color w:val="auto"/>
              </w:rPr>
            </w:pPr>
          </w:p>
        </w:tc>
      </w:tr>
      <w:tr>
        <w:trPr>
          <w:trHeight w:val="186"/>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74,371</w:t>
            </w: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109,473</w:t>
            </w:r>
          </w:p>
        </w:tc>
        <w:tc>
          <w:tcPr>
            <w:tcW w:w="0" w:type="dxa"/>
            <w:vAlign w:val="bottom"/>
          </w:tcPr>
          <w:p>
            <w:pPr>
              <w:spacing w:after="0"/>
              <w:rPr>
                <w:sz w:val="1"/>
                <w:szCs w:val="1"/>
                <w:color w:val="auto"/>
              </w:rPr>
            </w:pPr>
          </w:p>
        </w:tc>
      </w:tr>
      <w:tr>
        <w:trPr>
          <w:trHeight w:val="218"/>
        </w:trPr>
        <w:tc>
          <w:tcPr>
            <w:tcW w:w="8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Cash and Cash Equivalents at End of Period</w:t>
            </w:r>
          </w:p>
        </w:tc>
        <w:tc>
          <w:tcPr>
            <w:tcW w:w="90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127,461</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70,632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Cash paid during the period for</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818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w:t>
            </w:r>
          </w:p>
        </w:tc>
        <w:tc>
          <w:tcPr>
            <w:tcW w:w="900" w:type="dxa"/>
            <w:vAlign w:val="bottom"/>
            <w:shd w:val="clear" w:color="auto" w:fill="CCEEFF"/>
          </w:tcPr>
          <w:p>
            <w:pPr>
              <w:jc w:val="right"/>
              <w:ind w:right="731"/>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53,936</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71"/>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8,110</w:t>
            </w:r>
          </w:p>
        </w:tc>
        <w:tc>
          <w:tcPr>
            <w:tcW w:w="0" w:type="dxa"/>
            <w:vAlign w:val="bottom"/>
          </w:tcPr>
          <w:p>
            <w:pPr>
              <w:spacing w:after="0"/>
              <w:rPr>
                <w:sz w:val="1"/>
                <w:szCs w:val="1"/>
                <w:color w:val="auto"/>
              </w:rPr>
            </w:pPr>
          </w:p>
        </w:tc>
      </w:tr>
      <w:tr>
        <w:trPr>
          <w:trHeight w:val="184"/>
        </w:trPr>
        <w:tc>
          <w:tcPr>
            <w:tcW w:w="8180" w:type="dxa"/>
            <w:vAlign w:val="bottom"/>
          </w:tcPr>
          <w:p>
            <w:pPr>
              <w:ind w:left="180"/>
              <w:spacing w:after="0"/>
              <w:rPr>
                <w:sz w:val="20"/>
                <w:szCs w:val="20"/>
                <w:color w:val="auto"/>
              </w:rPr>
            </w:pPr>
            <w:r>
              <w:rPr>
                <w:rFonts w:ascii="Arial" w:cs="Arial" w:eastAsia="Arial" w:hAnsi="Arial"/>
                <w:sz w:val="14"/>
                <w:szCs w:val="14"/>
                <w:color w:val="auto"/>
              </w:rPr>
              <w:t>Income taxes</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11,300</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5,040</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Transfers to other real estate and repossessed assets</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w:t>
            </w:r>
          </w:p>
        </w:tc>
        <w:tc>
          <w:tcPr>
            <w:tcW w:w="0" w:type="dxa"/>
            <w:vAlign w:val="bottom"/>
          </w:tcPr>
          <w:p>
            <w:pPr>
              <w:spacing w:after="0"/>
              <w:rPr>
                <w:sz w:val="1"/>
                <w:szCs w:val="1"/>
                <w:color w:val="auto"/>
              </w:rPr>
            </w:pPr>
          </w:p>
        </w:tc>
      </w:tr>
      <w:tr>
        <w:trPr>
          <w:trHeight w:val="184"/>
        </w:trPr>
        <w:tc>
          <w:tcPr>
            <w:tcW w:w="8180" w:type="dxa"/>
            <w:vAlign w:val="bottom"/>
          </w:tcPr>
          <w:p>
            <w:pPr>
              <w:ind w:left="20"/>
              <w:spacing w:after="0"/>
              <w:rPr>
                <w:sz w:val="20"/>
                <w:szCs w:val="20"/>
                <w:color w:val="auto"/>
              </w:rPr>
            </w:pPr>
            <w:r>
              <w:rPr>
                <w:rFonts w:ascii="Arial" w:cs="Arial" w:eastAsia="Arial" w:hAnsi="Arial"/>
                <w:sz w:val="14"/>
                <w:szCs w:val="14"/>
                <w:color w:val="auto"/>
              </w:rPr>
              <w:t>Transfer of securities available for sale to held to maturity</w:t>
            </w:r>
          </w:p>
        </w:tc>
        <w:tc>
          <w:tcPr>
            <w:tcW w:w="9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4"/>
              </w:rPr>
              <w:t>391,618</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Right of use assets obtained in exchange for lease obligations</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1,146</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See notes to interim condensed consolidated financial statements (Unaudited)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INDEPENDENT BANK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Condensed Consolidated Statements of Shareholders’ Equity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color w:val="auto"/>
                <w:w w:val="88"/>
              </w:rPr>
              <w:t>Accumulated</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Other</w:t>
            </w:r>
          </w:p>
        </w:tc>
        <w:tc>
          <w:tcPr>
            <w:tcW w:w="220" w:type="dxa"/>
            <w:vAlign w:val="bottom"/>
          </w:tcPr>
          <w:p>
            <w:pPr>
              <w:spacing w:after="0"/>
              <w:rPr>
                <w:sz w:val="14"/>
                <w:szCs w:val="14"/>
                <w:color w:val="auto"/>
              </w:rPr>
            </w:pPr>
          </w:p>
        </w:tc>
        <w:tc>
          <w:tcPr>
            <w:tcW w:w="1260" w:type="dxa"/>
            <w:vAlign w:val="bottom"/>
          </w:tcPr>
          <w:p>
            <w:pPr>
              <w:jc w:val="center"/>
              <w:ind w:right="151"/>
              <w:spacing w:after="0"/>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55"/>
        </w:trPr>
        <w:tc>
          <w:tcPr>
            <w:tcW w:w="4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380"/>
              <w:spacing w:after="0" w:line="155" w:lineRule="exact"/>
              <w:rPr>
                <w:sz w:val="20"/>
                <w:szCs w:val="20"/>
                <w:color w:val="auto"/>
              </w:rPr>
            </w:pPr>
            <w:r>
              <w:rPr>
                <w:rFonts w:ascii="Arial" w:cs="Arial" w:eastAsia="Arial" w:hAnsi="Arial"/>
                <w:sz w:val="14"/>
                <w:szCs w:val="14"/>
                <w:color w:val="auto"/>
                <w:w w:val="91"/>
              </w:rPr>
              <w:t>Common</w:t>
            </w:r>
          </w:p>
        </w:tc>
        <w:tc>
          <w:tcPr>
            <w:tcW w:w="160" w:type="dxa"/>
            <w:vAlign w:val="bottom"/>
          </w:tcPr>
          <w:p>
            <w:pPr>
              <w:spacing w:after="0"/>
              <w:rPr>
                <w:sz w:val="13"/>
                <w:szCs w:val="13"/>
                <w:color w:val="auto"/>
              </w:rPr>
            </w:pPr>
          </w:p>
        </w:tc>
        <w:tc>
          <w:tcPr>
            <w:tcW w:w="1400" w:type="dxa"/>
            <w:vAlign w:val="bottom"/>
            <w:gridSpan w:val="2"/>
          </w:tcPr>
          <w:p>
            <w:pPr>
              <w:ind w:left="340"/>
              <w:spacing w:after="0" w:line="155" w:lineRule="exact"/>
              <w:rPr>
                <w:sz w:val="20"/>
                <w:szCs w:val="20"/>
                <w:color w:val="auto"/>
              </w:rPr>
            </w:pPr>
            <w:r>
              <w:rPr>
                <w:rFonts w:ascii="Arial" w:cs="Arial" w:eastAsia="Arial" w:hAnsi="Arial"/>
                <w:sz w:val="14"/>
                <w:szCs w:val="14"/>
                <w:color w:val="auto"/>
              </w:rPr>
              <w:t>Retained</w:t>
            </w:r>
          </w:p>
        </w:tc>
        <w:tc>
          <w:tcPr>
            <w:tcW w:w="120" w:type="dxa"/>
            <w:vAlign w:val="bottom"/>
          </w:tcPr>
          <w:p>
            <w:pPr>
              <w:spacing w:after="0"/>
              <w:rPr>
                <w:sz w:val="13"/>
                <w:szCs w:val="13"/>
                <w:color w:val="auto"/>
              </w:rPr>
            </w:pPr>
          </w:p>
        </w:tc>
        <w:tc>
          <w:tcPr>
            <w:tcW w:w="1560" w:type="dxa"/>
            <w:vAlign w:val="bottom"/>
            <w:gridSpan w:val="2"/>
          </w:tcPr>
          <w:p>
            <w:pPr>
              <w:jc w:val="center"/>
              <w:ind w:right="200"/>
              <w:spacing w:after="0" w:line="155" w:lineRule="exact"/>
              <w:rPr>
                <w:sz w:val="20"/>
                <w:szCs w:val="20"/>
                <w:color w:val="auto"/>
              </w:rPr>
            </w:pPr>
            <w:r>
              <w:rPr>
                <w:rFonts w:ascii="Arial" w:cs="Arial" w:eastAsia="Arial" w:hAnsi="Arial"/>
                <w:sz w:val="14"/>
                <w:szCs w:val="14"/>
                <w:color w:val="auto"/>
                <w:w w:val="89"/>
              </w:rPr>
              <w:t>Comprehensive Income</w:t>
            </w:r>
          </w:p>
        </w:tc>
        <w:tc>
          <w:tcPr>
            <w:tcW w:w="220" w:type="dxa"/>
            <w:vAlign w:val="bottom"/>
          </w:tcPr>
          <w:p>
            <w:pPr>
              <w:spacing w:after="0"/>
              <w:rPr>
                <w:sz w:val="13"/>
                <w:szCs w:val="13"/>
                <w:color w:val="auto"/>
              </w:rPr>
            </w:pPr>
          </w:p>
        </w:tc>
        <w:tc>
          <w:tcPr>
            <w:tcW w:w="1260" w:type="dxa"/>
            <w:vAlign w:val="bottom"/>
          </w:tcPr>
          <w:p>
            <w:pPr>
              <w:jc w:val="center"/>
              <w:ind w:right="151"/>
              <w:spacing w:after="0" w:line="155" w:lineRule="exact"/>
              <w:rPr>
                <w:sz w:val="20"/>
                <w:szCs w:val="20"/>
                <w:color w:val="auto"/>
              </w:rPr>
            </w:pPr>
            <w:r>
              <w:rPr>
                <w:rFonts w:ascii="Arial" w:cs="Arial" w:eastAsia="Arial" w:hAnsi="Arial"/>
                <w:sz w:val="14"/>
                <w:szCs w:val="14"/>
                <w:color w:val="auto"/>
                <w:w w:val="87"/>
              </w:rPr>
              <w:t>Shareholders’</w:t>
            </w:r>
          </w:p>
        </w:tc>
        <w:tc>
          <w:tcPr>
            <w:tcW w:w="0" w:type="dxa"/>
            <w:vAlign w:val="bottom"/>
          </w:tcPr>
          <w:p>
            <w:pPr>
              <w:spacing w:after="0"/>
              <w:rPr>
                <w:sz w:val="1"/>
                <w:szCs w:val="1"/>
                <w:color w:val="auto"/>
              </w:rPr>
            </w:pPr>
          </w:p>
        </w:tc>
      </w:tr>
      <w:tr>
        <w:trPr>
          <w:trHeight w:val="187"/>
        </w:trPr>
        <w:tc>
          <w:tcPr>
            <w:tcW w:w="4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color w:val="auto"/>
                <w:w w:val="91"/>
              </w:rPr>
              <w:t>Stock</w:t>
            </w:r>
          </w:p>
        </w:tc>
        <w:tc>
          <w:tcPr>
            <w:tcW w:w="160" w:type="dxa"/>
            <w:vAlign w:val="bottom"/>
          </w:tcPr>
          <w:p>
            <w:pPr>
              <w:spacing w:after="0"/>
              <w:rPr>
                <w:sz w:val="16"/>
                <w:szCs w:val="16"/>
                <w:color w:val="auto"/>
              </w:rPr>
            </w:pPr>
          </w:p>
        </w:tc>
        <w:tc>
          <w:tcPr>
            <w:tcW w:w="1400" w:type="dxa"/>
            <w:vAlign w:val="bottom"/>
            <w:gridSpan w:val="2"/>
          </w:tcPr>
          <w:p>
            <w:pPr>
              <w:ind w:left="340"/>
              <w:spacing w:after="0"/>
              <w:rPr>
                <w:sz w:val="20"/>
                <w:szCs w:val="20"/>
                <w:color w:val="auto"/>
              </w:rPr>
            </w:pPr>
            <w:r>
              <w:rPr>
                <w:rFonts w:ascii="Arial" w:cs="Arial" w:eastAsia="Arial" w:hAnsi="Arial"/>
                <w:sz w:val="14"/>
                <w:szCs w:val="14"/>
                <w:color w:val="auto"/>
              </w:rPr>
              <w:t>Earnings</w:t>
            </w:r>
          </w:p>
        </w:tc>
        <w:tc>
          <w:tcPr>
            <w:tcW w:w="120" w:type="dxa"/>
            <w:vAlign w:val="bottom"/>
          </w:tcPr>
          <w:p>
            <w:pPr>
              <w:spacing w:after="0"/>
              <w:rPr>
                <w:sz w:val="16"/>
                <w:szCs w:val="16"/>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(Loss)</w:t>
            </w:r>
          </w:p>
        </w:tc>
        <w:tc>
          <w:tcPr>
            <w:tcW w:w="220" w:type="dxa"/>
            <w:vAlign w:val="bottom"/>
          </w:tcPr>
          <w:p>
            <w:pPr>
              <w:spacing w:after="0"/>
              <w:rPr>
                <w:sz w:val="16"/>
                <w:szCs w:val="16"/>
                <w:color w:val="auto"/>
              </w:rPr>
            </w:pPr>
          </w:p>
        </w:tc>
        <w:tc>
          <w:tcPr>
            <w:tcW w:w="1260" w:type="dxa"/>
            <w:vAlign w:val="bottom"/>
          </w:tcPr>
          <w:p>
            <w:pPr>
              <w:jc w:val="center"/>
              <w:ind w:right="151"/>
              <w:spacing w:after="0"/>
              <w:rPr>
                <w:sz w:val="20"/>
                <w:szCs w:val="20"/>
                <w:color w:val="auto"/>
              </w:rPr>
            </w:pPr>
            <w:r>
              <w:rPr>
                <w:rFonts w:ascii="Arial" w:cs="Arial" w:eastAsia="Arial" w:hAnsi="Arial"/>
                <w:sz w:val="14"/>
                <w:szCs w:val="14"/>
                <w:color w:val="auto"/>
                <w:w w:val="92"/>
              </w:rPr>
              <w:t>Equity</w:t>
            </w:r>
          </w:p>
        </w:tc>
        <w:tc>
          <w:tcPr>
            <w:tcW w:w="0" w:type="dxa"/>
            <w:vAlign w:val="bottom"/>
          </w:tcPr>
          <w:p>
            <w:pPr>
              <w:spacing w:after="0"/>
              <w:rPr>
                <w:sz w:val="1"/>
                <w:szCs w:val="1"/>
                <w:color w:val="auto"/>
              </w:rPr>
            </w:pPr>
          </w:p>
        </w:tc>
      </w:tr>
      <w:tr>
        <w:trPr>
          <w:trHeight w:val="37"/>
        </w:trPr>
        <w:tc>
          <w:tcPr>
            <w:tcW w:w="49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gridSpan w:val="5"/>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4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80" w:type="dxa"/>
            <w:vAlign w:val="bottom"/>
            <w:gridSpan w:val="5"/>
          </w:tcPr>
          <w:p>
            <w:pPr>
              <w:ind w:left="80"/>
              <w:spacing w:after="0"/>
              <w:rPr>
                <w:sz w:val="20"/>
                <w:szCs w:val="20"/>
                <w:color w:val="auto"/>
              </w:rPr>
            </w:pPr>
            <w:r>
              <w:rPr>
                <w:rFonts w:ascii="Arial" w:cs="Arial" w:eastAsia="Arial" w:hAnsi="Arial"/>
                <w:sz w:val="14"/>
                <w:szCs w:val="14"/>
                <w:color w:val="auto"/>
                <w:w w:val="97"/>
              </w:rPr>
              <w:t>(Dollars in thousands, except per share amounts)</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July 1, 2023</w:t>
            </w:r>
          </w:p>
        </w:tc>
        <w:tc>
          <w:tcPr>
            <w:tcW w:w="2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318,241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137,431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(80,510)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375,162</w:t>
            </w:r>
          </w:p>
        </w:tc>
        <w:tc>
          <w:tcPr>
            <w:tcW w:w="0" w:type="dxa"/>
            <w:vAlign w:val="bottom"/>
          </w:tcPr>
          <w:p>
            <w:pPr>
              <w:spacing w:after="0"/>
              <w:rPr>
                <w:sz w:val="1"/>
                <w:szCs w:val="1"/>
                <w:color w:val="auto"/>
              </w:rPr>
            </w:pPr>
          </w:p>
        </w:tc>
      </w:tr>
      <w:tr>
        <w:trPr>
          <w:trHeight w:val="184"/>
        </w:trPr>
        <w:tc>
          <w:tcPr>
            <w:tcW w:w="4940" w:type="dxa"/>
            <w:vAlign w:val="bottom"/>
          </w:tcPr>
          <w:p>
            <w:pPr>
              <w:ind w:left="20"/>
              <w:spacing w:after="0"/>
              <w:rPr>
                <w:sz w:val="20"/>
                <w:szCs w:val="20"/>
                <w:color w:val="auto"/>
              </w:rPr>
            </w:pPr>
            <w:r>
              <w:rPr>
                <w:rFonts w:ascii="Arial" w:cs="Arial" w:eastAsia="Arial" w:hAnsi="Arial"/>
                <w:sz w:val="14"/>
                <w:szCs w:val="14"/>
                <w:color w:val="auto"/>
              </w:rPr>
              <w:t>Net income, three months ended September 30, 2023</w:t>
            </w:r>
          </w:p>
        </w:tc>
        <w:tc>
          <w:tcPr>
            <w:tcW w:w="28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17,543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17,543</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declared, $0.23 per share</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(4,817)</w:t>
            </w:r>
          </w:p>
        </w:tc>
        <w:tc>
          <w:tcPr>
            <w:tcW w:w="0" w:type="dxa"/>
            <w:vAlign w:val="bottom"/>
          </w:tcPr>
          <w:p>
            <w:pPr>
              <w:spacing w:after="0"/>
              <w:rPr>
                <w:sz w:val="1"/>
                <w:szCs w:val="1"/>
                <w:color w:val="auto"/>
              </w:rPr>
            </w:pPr>
          </w:p>
        </w:tc>
      </w:tr>
      <w:tr>
        <w:trPr>
          <w:trHeight w:val="184"/>
        </w:trPr>
        <w:tc>
          <w:tcPr>
            <w:tcW w:w="4940" w:type="dxa"/>
            <w:vAlign w:val="bottom"/>
          </w:tcPr>
          <w:p>
            <w:pPr>
              <w:ind w:left="20"/>
              <w:spacing w:after="0"/>
              <w:rPr>
                <w:sz w:val="20"/>
                <w:szCs w:val="20"/>
                <w:color w:val="auto"/>
              </w:rPr>
            </w:pPr>
            <w:r>
              <w:rPr>
                <w:rFonts w:ascii="Arial" w:cs="Arial" w:eastAsia="Arial" w:hAnsi="Arial"/>
                <w:sz w:val="14"/>
                <w:szCs w:val="14"/>
                <w:color w:val="auto"/>
              </w:rPr>
              <w:t>Repurchase of 88,401 shares of common stock</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(1,693)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(1,693)</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0 shares of common stock</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4940" w:type="dxa"/>
            <w:vAlign w:val="bottom"/>
          </w:tcPr>
          <w:p>
            <w:pPr>
              <w:ind w:left="20"/>
              <w:spacing w:after="0"/>
              <w:rPr>
                <w:sz w:val="20"/>
                <w:szCs w:val="20"/>
                <w:color w:val="auto"/>
              </w:rPr>
            </w:pPr>
            <w:r>
              <w:rPr>
                <w:rFonts w:ascii="Arial" w:cs="Arial" w:eastAsia="Arial" w:hAnsi="Arial"/>
                <w:sz w:val="14"/>
                <w:szCs w:val="14"/>
                <w:color w:val="auto"/>
              </w:rPr>
              <w:t>Share based compensation (issuance of 0 shares of common stock)</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624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624</w:t>
            </w:r>
          </w:p>
        </w:tc>
        <w:tc>
          <w:tcPr>
            <w:tcW w:w="0" w:type="dxa"/>
            <w:vAlign w:val="bottom"/>
          </w:tcPr>
          <w:p>
            <w:pPr>
              <w:spacing w:after="0"/>
              <w:rPr>
                <w:sz w:val="1"/>
                <w:szCs w:val="1"/>
                <w:color w:val="auto"/>
              </w:rPr>
            </w:pPr>
          </w:p>
        </w:tc>
      </w:tr>
      <w:tr>
        <w:trPr>
          <w:trHeight w:val="138"/>
        </w:trPr>
        <w:tc>
          <w:tcPr>
            <w:tcW w:w="49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7"/>
              </w:rPr>
              <w:t>Share based compensation withholding obligation (withholding of 1,443 shares of</w:t>
            </w:r>
          </w:p>
        </w:tc>
        <w:tc>
          <w:tcPr>
            <w:tcW w:w="28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3"/>
        </w:trPr>
        <w:tc>
          <w:tcPr>
            <w:tcW w:w="49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common stock)</w:t>
            </w:r>
          </w:p>
        </w:tc>
        <w:tc>
          <w:tcPr>
            <w:tcW w:w="28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(11,794)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(11,794)</w:t>
            </w:r>
          </w:p>
        </w:tc>
        <w:tc>
          <w:tcPr>
            <w:tcW w:w="0" w:type="dxa"/>
            <w:vAlign w:val="bottom"/>
          </w:tcPr>
          <w:p>
            <w:pPr>
              <w:spacing w:after="0"/>
              <w:rPr>
                <w:sz w:val="1"/>
                <w:szCs w:val="1"/>
                <w:color w:val="auto"/>
              </w:rPr>
            </w:pPr>
          </w:p>
        </w:tc>
      </w:tr>
      <w:tr>
        <w:trPr>
          <w:trHeight w:val="218"/>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September 30, 2023</w:t>
            </w:r>
          </w:p>
        </w:tc>
        <w:tc>
          <w:tcPr>
            <w:tcW w:w="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317,145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150,157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(92,304)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374,998</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July 1, 2022</w:t>
            </w:r>
          </w:p>
        </w:tc>
        <w:tc>
          <w:tcPr>
            <w:tcW w:w="2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319,885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96,252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(85,003)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331,134</w:t>
            </w:r>
          </w:p>
        </w:tc>
        <w:tc>
          <w:tcPr>
            <w:tcW w:w="0" w:type="dxa"/>
            <w:vAlign w:val="bottom"/>
          </w:tcPr>
          <w:p>
            <w:pPr>
              <w:spacing w:after="0"/>
              <w:rPr>
                <w:sz w:val="1"/>
                <w:szCs w:val="1"/>
                <w:color w:val="auto"/>
              </w:rPr>
            </w:pPr>
          </w:p>
        </w:tc>
      </w:tr>
      <w:tr>
        <w:trPr>
          <w:trHeight w:val="184"/>
        </w:trPr>
        <w:tc>
          <w:tcPr>
            <w:tcW w:w="4940" w:type="dxa"/>
            <w:vAlign w:val="bottom"/>
          </w:tcPr>
          <w:p>
            <w:pPr>
              <w:ind w:left="20"/>
              <w:spacing w:after="0"/>
              <w:rPr>
                <w:sz w:val="20"/>
                <w:szCs w:val="20"/>
                <w:color w:val="auto"/>
              </w:rPr>
            </w:pPr>
            <w:r>
              <w:rPr>
                <w:rFonts w:ascii="Arial" w:cs="Arial" w:eastAsia="Arial" w:hAnsi="Arial"/>
                <w:sz w:val="14"/>
                <w:szCs w:val="14"/>
                <w:color w:val="auto"/>
              </w:rPr>
              <w:t>Net income, three months ended September 30, 2022</w:t>
            </w:r>
          </w:p>
        </w:tc>
        <w:tc>
          <w:tcPr>
            <w:tcW w:w="28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17,297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17,297</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declared, $0.22 per share</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(4,633)</w:t>
            </w:r>
          </w:p>
        </w:tc>
        <w:tc>
          <w:tcPr>
            <w:tcW w:w="0" w:type="dxa"/>
            <w:vAlign w:val="bottom"/>
          </w:tcPr>
          <w:p>
            <w:pPr>
              <w:spacing w:after="0"/>
              <w:rPr>
                <w:sz w:val="1"/>
                <w:szCs w:val="1"/>
                <w:color w:val="auto"/>
              </w:rPr>
            </w:pPr>
          </w:p>
        </w:tc>
      </w:tr>
      <w:tr>
        <w:trPr>
          <w:trHeight w:val="184"/>
        </w:trPr>
        <w:tc>
          <w:tcPr>
            <w:tcW w:w="4940" w:type="dxa"/>
            <w:vAlign w:val="bottom"/>
          </w:tcPr>
          <w:p>
            <w:pPr>
              <w:ind w:left="20"/>
              <w:spacing w:after="0"/>
              <w:rPr>
                <w:sz w:val="20"/>
                <w:szCs w:val="20"/>
                <w:color w:val="auto"/>
              </w:rPr>
            </w:pPr>
            <w:r>
              <w:rPr>
                <w:rFonts w:ascii="Arial" w:cs="Arial" w:eastAsia="Arial" w:hAnsi="Arial"/>
                <w:sz w:val="14"/>
                <w:szCs w:val="14"/>
                <w:color w:val="auto"/>
              </w:rPr>
              <w:t>Repurchase of 0 shares of common stock</w:t>
            </w:r>
          </w:p>
        </w:tc>
        <w:tc>
          <w:tcPr>
            <w:tcW w:w="28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17,900 shares of common stock</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4"/>
        </w:trPr>
        <w:tc>
          <w:tcPr>
            <w:tcW w:w="4940" w:type="dxa"/>
            <w:vAlign w:val="bottom"/>
          </w:tcPr>
          <w:p>
            <w:pPr>
              <w:ind w:left="20"/>
              <w:spacing w:after="0"/>
              <w:rPr>
                <w:sz w:val="20"/>
                <w:szCs w:val="20"/>
                <w:color w:val="auto"/>
              </w:rPr>
            </w:pPr>
            <w:r>
              <w:rPr>
                <w:rFonts w:ascii="Arial" w:cs="Arial" w:eastAsia="Arial" w:hAnsi="Arial"/>
                <w:sz w:val="14"/>
                <w:szCs w:val="14"/>
                <w:color w:val="auto"/>
              </w:rPr>
              <w:t>Share based compensation (issuance of zero shares of common stock)</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535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138"/>
        </w:trPr>
        <w:tc>
          <w:tcPr>
            <w:tcW w:w="49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7"/>
              </w:rPr>
              <w:t>Share based compensation withholding obligation (withholding of 1,666 shares of</w:t>
            </w:r>
          </w:p>
        </w:tc>
        <w:tc>
          <w:tcPr>
            <w:tcW w:w="28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93"/>
        </w:trPr>
        <w:tc>
          <w:tcPr>
            <w:tcW w:w="49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common stock)</w:t>
            </w:r>
          </w:p>
        </w:tc>
        <w:tc>
          <w:tcPr>
            <w:tcW w:w="28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(12,042)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(12,042)</w:t>
            </w:r>
          </w:p>
        </w:tc>
        <w:tc>
          <w:tcPr>
            <w:tcW w:w="0" w:type="dxa"/>
            <w:vAlign w:val="bottom"/>
          </w:tcPr>
          <w:p>
            <w:pPr>
              <w:spacing w:after="0"/>
              <w:rPr>
                <w:sz w:val="1"/>
                <w:szCs w:val="1"/>
                <w:color w:val="auto"/>
              </w:rPr>
            </w:pPr>
          </w:p>
        </w:tc>
      </w:tr>
      <w:tr>
        <w:trPr>
          <w:trHeight w:val="218"/>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September 30, 2022</w:t>
            </w:r>
          </w:p>
        </w:tc>
        <w:tc>
          <w:tcPr>
            <w:tcW w:w="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320,437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108,916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(97,045)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332,308</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January 1, 2023</w:t>
            </w:r>
          </w:p>
        </w:tc>
        <w:tc>
          <w:tcPr>
            <w:tcW w:w="2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320,991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119,368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(92,763)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347,596</w:t>
            </w:r>
          </w:p>
        </w:tc>
        <w:tc>
          <w:tcPr>
            <w:tcW w:w="0" w:type="dxa"/>
            <w:vAlign w:val="bottom"/>
          </w:tcPr>
          <w:p>
            <w:pPr>
              <w:spacing w:after="0"/>
              <w:rPr>
                <w:sz w:val="1"/>
                <w:szCs w:val="1"/>
                <w:color w:val="auto"/>
              </w:rPr>
            </w:pPr>
          </w:p>
        </w:tc>
      </w:tr>
      <w:tr>
        <w:trPr>
          <w:trHeight w:val="184"/>
        </w:trPr>
        <w:tc>
          <w:tcPr>
            <w:tcW w:w="4940" w:type="dxa"/>
            <w:vAlign w:val="bottom"/>
          </w:tcPr>
          <w:p>
            <w:pPr>
              <w:ind w:left="20"/>
              <w:spacing w:after="0"/>
              <w:rPr>
                <w:sz w:val="20"/>
                <w:szCs w:val="20"/>
                <w:color w:val="auto"/>
              </w:rPr>
            </w:pPr>
            <w:r>
              <w:rPr>
                <w:rFonts w:ascii="Arial" w:cs="Arial" w:eastAsia="Arial" w:hAnsi="Arial"/>
                <w:sz w:val="14"/>
                <w:szCs w:val="14"/>
                <w:color w:val="auto"/>
              </w:rPr>
              <w:t>Net income, nine months ended September 30, 2023</w:t>
            </w:r>
          </w:p>
        </w:tc>
        <w:tc>
          <w:tcPr>
            <w:tcW w:w="28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45,324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45,324</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declared, $0.69 per share</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(14,535)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(14,535)</w:t>
            </w:r>
          </w:p>
        </w:tc>
        <w:tc>
          <w:tcPr>
            <w:tcW w:w="0" w:type="dxa"/>
            <w:vAlign w:val="bottom"/>
          </w:tcPr>
          <w:p>
            <w:pPr>
              <w:spacing w:after="0"/>
              <w:rPr>
                <w:sz w:val="1"/>
                <w:szCs w:val="1"/>
                <w:color w:val="auto"/>
              </w:rPr>
            </w:pPr>
          </w:p>
        </w:tc>
      </w:tr>
      <w:tr>
        <w:trPr>
          <w:trHeight w:val="184"/>
        </w:trPr>
        <w:tc>
          <w:tcPr>
            <w:tcW w:w="4940" w:type="dxa"/>
            <w:vAlign w:val="bottom"/>
          </w:tcPr>
          <w:p>
            <w:pPr>
              <w:ind w:left="20"/>
              <w:spacing w:after="0"/>
              <w:rPr>
                <w:sz w:val="20"/>
                <w:szCs w:val="20"/>
                <w:color w:val="auto"/>
              </w:rPr>
            </w:pPr>
            <w:r>
              <w:rPr>
                <w:rFonts w:ascii="Arial" w:cs="Arial" w:eastAsia="Arial" w:hAnsi="Arial"/>
                <w:sz w:val="14"/>
                <w:szCs w:val="14"/>
                <w:color w:val="auto"/>
              </w:rPr>
              <w:t>Repurchase of 288,401 shares of common stock</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(4,963)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(4,963)</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23,000 shares of common stock</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84"/>
        </w:trPr>
        <w:tc>
          <w:tcPr>
            <w:tcW w:w="4940" w:type="dxa"/>
            <w:vAlign w:val="bottom"/>
          </w:tcPr>
          <w:p>
            <w:pPr>
              <w:ind w:left="20"/>
              <w:spacing w:after="0"/>
              <w:rPr>
                <w:sz w:val="20"/>
                <w:szCs w:val="20"/>
                <w:color w:val="auto"/>
              </w:rPr>
            </w:pPr>
            <w:r>
              <w:rPr>
                <w:rFonts w:ascii="Arial" w:cs="Arial" w:eastAsia="Arial" w:hAnsi="Arial"/>
                <w:sz w:val="14"/>
                <w:szCs w:val="14"/>
                <w:color w:val="auto"/>
              </w:rPr>
              <w:t>Share based compensation (issuance of 86,763 shares of common stock)</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1,670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1,670</w:t>
            </w:r>
          </w:p>
        </w:tc>
        <w:tc>
          <w:tcPr>
            <w:tcW w:w="0" w:type="dxa"/>
            <w:vAlign w:val="bottom"/>
          </w:tcPr>
          <w:p>
            <w:pPr>
              <w:spacing w:after="0"/>
              <w:rPr>
                <w:sz w:val="1"/>
                <w:szCs w:val="1"/>
                <w:color w:val="auto"/>
              </w:rPr>
            </w:pPr>
          </w:p>
        </w:tc>
      </w:tr>
      <w:tr>
        <w:trPr>
          <w:trHeight w:val="138"/>
        </w:trPr>
        <w:tc>
          <w:tcPr>
            <w:tcW w:w="49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5"/>
              </w:rPr>
              <w:t>Share based compensation withholding obligation (withholding of 31,483 shares of</w:t>
            </w:r>
          </w:p>
        </w:tc>
        <w:tc>
          <w:tcPr>
            <w:tcW w:w="28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(624)</w:t>
            </w:r>
          </w:p>
        </w:tc>
        <w:tc>
          <w:tcPr>
            <w:tcW w:w="0" w:type="dxa"/>
            <w:vAlign w:val="bottom"/>
          </w:tcPr>
          <w:p>
            <w:pPr>
              <w:spacing w:after="0"/>
              <w:rPr>
                <w:sz w:val="1"/>
                <w:szCs w:val="1"/>
                <w:color w:val="auto"/>
              </w:rPr>
            </w:pPr>
          </w:p>
        </w:tc>
      </w:tr>
      <w:tr>
        <w:trPr>
          <w:trHeight w:val="193"/>
        </w:trPr>
        <w:tc>
          <w:tcPr>
            <w:tcW w:w="49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common stock)</w:t>
            </w:r>
          </w:p>
        </w:tc>
        <w:tc>
          <w:tcPr>
            <w:tcW w:w="28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459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218"/>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September 30, 2023</w:t>
            </w:r>
          </w:p>
        </w:tc>
        <w:tc>
          <w:tcPr>
            <w:tcW w:w="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317,145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150,157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(92,304)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374,998</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January 1, 2022</w:t>
            </w:r>
          </w:p>
        </w:tc>
        <w:tc>
          <w:tcPr>
            <w:tcW w:w="2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323,401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74,582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398,484</w:t>
            </w:r>
          </w:p>
        </w:tc>
        <w:tc>
          <w:tcPr>
            <w:tcW w:w="0" w:type="dxa"/>
            <w:vAlign w:val="bottom"/>
          </w:tcPr>
          <w:p>
            <w:pPr>
              <w:spacing w:after="0"/>
              <w:rPr>
                <w:sz w:val="1"/>
                <w:szCs w:val="1"/>
                <w:color w:val="auto"/>
              </w:rPr>
            </w:pPr>
          </w:p>
        </w:tc>
      </w:tr>
      <w:tr>
        <w:trPr>
          <w:trHeight w:val="184"/>
        </w:trPr>
        <w:tc>
          <w:tcPr>
            <w:tcW w:w="4940" w:type="dxa"/>
            <w:vAlign w:val="bottom"/>
          </w:tcPr>
          <w:p>
            <w:pPr>
              <w:ind w:left="20"/>
              <w:spacing w:after="0"/>
              <w:rPr>
                <w:sz w:val="20"/>
                <w:szCs w:val="20"/>
                <w:color w:val="auto"/>
              </w:rPr>
            </w:pPr>
            <w:r>
              <w:rPr>
                <w:rFonts w:ascii="Arial" w:cs="Arial" w:eastAsia="Arial" w:hAnsi="Arial"/>
                <w:sz w:val="14"/>
                <w:szCs w:val="14"/>
                <w:color w:val="auto"/>
              </w:rPr>
              <w:t>Net income, nine months ended September 30, 2022</w:t>
            </w:r>
          </w:p>
        </w:tc>
        <w:tc>
          <w:tcPr>
            <w:tcW w:w="28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48,265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48,265</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declared, $0.66 per share</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(13,931)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(13,931)</w:t>
            </w:r>
          </w:p>
        </w:tc>
        <w:tc>
          <w:tcPr>
            <w:tcW w:w="0" w:type="dxa"/>
            <w:vAlign w:val="bottom"/>
          </w:tcPr>
          <w:p>
            <w:pPr>
              <w:spacing w:after="0"/>
              <w:rPr>
                <w:sz w:val="1"/>
                <w:szCs w:val="1"/>
                <w:color w:val="auto"/>
              </w:rPr>
            </w:pPr>
          </w:p>
        </w:tc>
      </w:tr>
      <w:tr>
        <w:trPr>
          <w:trHeight w:val="184"/>
        </w:trPr>
        <w:tc>
          <w:tcPr>
            <w:tcW w:w="4940" w:type="dxa"/>
            <w:vAlign w:val="bottom"/>
          </w:tcPr>
          <w:p>
            <w:pPr>
              <w:ind w:left="20"/>
              <w:spacing w:after="0"/>
              <w:rPr>
                <w:sz w:val="20"/>
                <w:szCs w:val="20"/>
                <w:color w:val="auto"/>
              </w:rPr>
            </w:pPr>
            <w:r>
              <w:rPr>
                <w:rFonts w:ascii="Arial" w:cs="Arial" w:eastAsia="Arial" w:hAnsi="Arial"/>
                <w:sz w:val="14"/>
                <w:szCs w:val="14"/>
                <w:color w:val="auto"/>
              </w:rPr>
              <w:t>Repurchase of 181,586 shares of common stock</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(4,010)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(4,010)</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39,532 shares of common stock</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84"/>
        </w:trPr>
        <w:tc>
          <w:tcPr>
            <w:tcW w:w="4940" w:type="dxa"/>
            <w:vAlign w:val="bottom"/>
          </w:tcPr>
          <w:p>
            <w:pPr>
              <w:ind w:left="20"/>
              <w:spacing w:after="0"/>
              <w:rPr>
                <w:sz w:val="20"/>
                <w:szCs w:val="20"/>
                <w:color w:val="auto"/>
              </w:rPr>
            </w:pPr>
            <w:r>
              <w:rPr>
                <w:rFonts w:ascii="Arial" w:cs="Arial" w:eastAsia="Arial" w:hAnsi="Arial"/>
                <w:sz w:val="14"/>
                <w:szCs w:val="14"/>
                <w:color w:val="auto"/>
              </w:rPr>
              <w:t>Share based compensation (issuance of 62,856 shares of common stock)</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1,589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1,589</w:t>
            </w:r>
          </w:p>
        </w:tc>
        <w:tc>
          <w:tcPr>
            <w:tcW w:w="0" w:type="dxa"/>
            <w:vAlign w:val="bottom"/>
          </w:tcPr>
          <w:p>
            <w:pPr>
              <w:spacing w:after="0"/>
              <w:rPr>
                <w:sz w:val="1"/>
                <w:szCs w:val="1"/>
                <w:color w:val="auto"/>
              </w:rPr>
            </w:pPr>
          </w:p>
        </w:tc>
      </w:tr>
      <w:tr>
        <w:trPr>
          <w:trHeight w:val="138"/>
        </w:trPr>
        <w:tc>
          <w:tcPr>
            <w:tcW w:w="49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5"/>
              </w:rPr>
              <w:t>Share based compensation withholding obligation (withholding of 27,884 shares of</w:t>
            </w:r>
          </w:p>
        </w:tc>
        <w:tc>
          <w:tcPr>
            <w:tcW w:w="28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0" w:type="dxa"/>
            <w:vAlign w:val="bottom"/>
          </w:tcPr>
          <w:p>
            <w:pPr>
              <w:spacing w:after="0"/>
              <w:rPr>
                <w:sz w:val="1"/>
                <w:szCs w:val="1"/>
                <w:color w:val="auto"/>
              </w:rPr>
            </w:pPr>
          </w:p>
        </w:tc>
      </w:tr>
      <w:tr>
        <w:trPr>
          <w:trHeight w:val="193"/>
        </w:trPr>
        <w:tc>
          <w:tcPr>
            <w:tcW w:w="49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common stock)</w:t>
            </w:r>
          </w:p>
        </w:tc>
        <w:tc>
          <w:tcPr>
            <w:tcW w:w="28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(97,546)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(97,546)</w:t>
            </w:r>
          </w:p>
        </w:tc>
        <w:tc>
          <w:tcPr>
            <w:tcW w:w="0" w:type="dxa"/>
            <w:vAlign w:val="bottom"/>
          </w:tcPr>
          <w:p>
            <w:pPr>
              <w:spacing w:after="0"/>
              <w:rPr>
                <w:sz w:val="1"/>
                <w:szCs w:val="1"/>
                <w:color w:val="auto"/>
              </w:rPr>
            </w:pPr>
          </w:p>
        </w:tc>
      </w:tr>
      <w:tr>
        <w:trPr>
          <w:trHeight w:val="218"/>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September 30, 2022</w:t>
            </w:r>
          </w:p>
        </w:tc>
        <w:tc>
          <w:tcPr>
            <w:tcW w:w="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320,437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108,916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(97,045)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332,308</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See notes to interim condensed consolidated financial statements (Unaudited)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80" w:lineRule="exact"/>
        <w:rPr>
          <w:sz w:val="20"/>
          <w:szCs w:val="20"/>
          <w:color w:val="auto"/>
        </w:rPr>
      </w:pPr>
    </w:p>
    <w:p>
      <w:pPr>
        <w:ind w:left="300" w:hanging="297"/>
        <w:spacing w:after="0"/>
        <w:tabs>
          <w:tab w:leader="none" w:pos="300" w:val="left"/>
        </w:tabs>
        <w:numPr>
          <w:ilvl w:val="0"/>
          <w:numId w:val="2"/>
        </w:numPr>
        <w:rPr>
          <w:rFonts w:ascii="Arial" w:cs="Arial" w:eastAsia="Arial" w:hAnsi="Arial"/>
          <w:sz w:val="17"/>
          <w:szCs w:val="17"/>
          <w:color w:val="auto"/>
        </w:rPr>
      </w:pPr>
      <w:r>
        <w:rPr>
          <w:rFonts w:ascii="Arial" w:cs="Arial" w:eastAsia="Arial" w:hAnsi="Arial"/>
          <w:sz w:val="17"/>
          <w:szCs w:val="17"/>
          <w:u w:val="single" w:color="auto"/>
          <w:color w:val="auto"/>
        </w:rPr>
        <w:t>Preparation of Financial Statements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condensed consolidated financial statements have been prepared pursuant to the rules and regulations of the Securities and Exchange Commission. Certain information and note disclosures normally included in annual financial statements prepared in accordance with U.S. generally accepted accounting principles (“GAAP”) have been condensed or omitted pursuant to those rules and regulations, although we believe that the disclosures made are adequate to make the information not misleading. The unaudited condensed consolidated financial statements should be read in conjunction with the audited consolidated financial statements and notes for the year ended December 31, 2022 included in our Annual Report on Form 10-K.</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In our opinion, the accompanying unaudited condensed consolidated financial statements contain all the adjustments necessary to present fairly our consolidated financial condition as of September 30, 2023 and December 31, 2022, and the results of operations for the three and nine-month periods ended September 30, 2023 and 2022. The results of operations for the three and nine-month periods ended September 30, 2023, are not necessarily indicative of the results to be expected for the full year. Certain reclassifications have been made in the prior period condensed consolidated financial statements to conform to the current period presentation. Our critical accounting policies include the determination of the allowance for credit losses (“ACL”) and the valuation of capitalized mortgage loan servicing rights. Refer to our 2022 Annual Report on Form 10-K for a disclosure of our accounting policies.</w:t>
      </w:r>
    </w:p>
    <w:p>
      <w:pPr>
        <w:spacing w:after="0" w:line="144" w:lineRule="exact"/>
        <w:rPr>
          <w:sz w:val="20"/>
          <w:szCs w:val="20"/>
          <w:color w:val="auto"/>
        </w:rPr>
      </w:pPr>
    </w:p>
    <w:p>
      <w:pPr>
        <w:ind w:left="300" w:hanging="297"/>
        <w:spacing w:after="0"/>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New Accounting Standards</w:t>
      </w:r>
    </w:p>
    <w:p>
      <w:pPr>
        <w:spacing w:after="0" w:line="21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March 2020, the FASB issued ASU 2020-04, ‘‘Reference Rate Reform (Topic 848), Facilitation of the Effects of Reference Rate Reform on Financial Reporting’’ and in December 2022 the FASB issued ASU 2022-06, "Reference Rate Reform (Topic 848), Deferral of the Sunset Date of Topic 848". These new ASUs provide temporary optional expedients and exceptions to GAAP guidance on contract modifications and hedge accounting to ease the financial reporting burdens of the expected market transition from LIBOR and other interbank offered rates to alternative reference rates. Entities can elect not to apply certain modification accounting requirements to contracts affected by reference rate reform, if certain criteria are met. Entities that make such elections would not have to remeasure contracts at the modification date or reassess a previous accounting determination. Entities can elect various optional expedients that would allow them to continue applying hedge accounting for hedging relationships affected by reference rate reform, if certain criteria are met.</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had formed a cross-functional project team to lead the transition from LIBOR to a planned adoption of reference rates which included Secured Overnight Financing Rate (“SOFR”). We utilized the timeline guidance published by the Alternative Reference Rates Committee to develop and achieve internal milestones during the transitional period. We had discontinued the use of new LIBOR-based loans as of December 31, 2021, according to regulatory guidelines. We also discontinued the use of new LIBOR based interest rate derivatives as of December 31, 2021. The amended guidance under Topic 848 and our ability to elect its temporary optional expedients and exceptions are effective for us through December 31, 2024.</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In March, 2022, the FASB issued ASU 2022-02, “Financial Instruments – Credit Losses (Topic 326): Troubled Debt Restructuring and Vintage Disclosures”. This ASU eliminates the troubled debt restructuring (“TDR”) accounting model for creditors that have already adopted Topic 326, which is commonly referred to as the current expected credit loss (“CECL”) model. In lieu of the TDR accounting model, creditors now will apply the general loan modification guidance in Subtopic 310-20 to all loan modifications, including modifications made for borrowers experiencing financial difficulty. Under the general loan modification guidance, a modification is treated as a new loan only if the terms of the new loan are at least as favorable to the lender as the terms for comparable loans to other customers with similar collection risks, and modifications to the terms of the original loan are more than minor. If either condition is not met, the modification is accounted for as the continuation of the old loan with any effect of the modification treated as a prospective adjustment to the loan’s effective interest rate. In addition, this ASU requires the disclosure of gross charge-offs recorded in the current period for financing receivables by origination year. For entities that have adopted Topic 326, ASU 2022-02 takes effect in reporting periods beginning after December 15, 2022, with early adoption permitted. The adoption of this ASU on January 1, 2023, did not have a material impact on our Condensed Consolidated Financial Statements.</w:t>
      </w:r>
    </w:p>
    <w:p>
      <w:pPr>
        <w:spacing w:after="0" w:line="15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March, 2023, the FASB issued ASU 2023-02, "Investments - Equity Method and Joint Ventures (Topic 323): Accounting for Investments in Tax Credit Structures Using the Proportional Amortization Method (a consensus of the Emerging Issues Task Force)". This ASU expands the use of the proportional amortization method of accounting —</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currently allowed only for investments in low-income housing tax credit ("LIHTC") structures — to equity investments in other tax credit structures that meet certain criteria. Common tax credit programs that investors access via tax equity structures and that may now be eligible for application of the proportional amortization method include: new markets tax credits, historic rehabilitation tax credit programs, and renewable energy tax credit programs. This ASU takes effect in reporting periods beginning after December 15, 2023, with early adoption permitted. We do not expect the adoption of this this ASU to have a material impact on our Condensed Consolidated Financial Statements.</w:t>
      </w:r>
    </w:p>
    <w:p>
      <w:pPr>
        <w:spacing w:after="0" w:line="389" w:lineRule="exact"/>
        <w:rPr>
          <w:sz w:val="20"/>
          <w:szCs w:val="20"/>
          <w:color w:val="auto"/>
        </w:rPr>
      </w:pPr>
    </w:p>
    <w:p>
      <w:pPr>
        <w:ind w:left="300" w:hanging="297"/>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Securities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Securities available for sale (“AFS”) consist of the following:</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7"/>
                <w:szCs w:val="17"/>
                <w:color w:val="auto"/>
                <w:w w:val="96"/>
              </w:rPr>
              <w:t>Amortized</w:t>
            </w: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7"/>
                <w:szCs w:val="17"/>
                <w:color w:val="auto"/>
              </w:rPr>
              <w:t>Unrealized</w:t>
            </w: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7"/>
        </w:trPr>
        <w:tc>
          <w:tcPr>
            <w:tcW w:w="5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7"/>
                <w:szCs w:val="17"/>
                <w:color w:val="auto"/>
                <w:w w:val="91"/>
              </w:rPr>
              <w:t>Cost</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ind w:left="220"/>
              <w:spacing w:after="0"/>
              <w:rPr>
                <w:sz w:val="20"/>
                <w:szCs w:val="20"/>
                <w:color w:val="auto"/>
              </w:rPr>
            </w:pPr>
            <w:r>
              <w:rPr>
                <w:rFonts w:ascii="Arial" w:cs="Arial" w:eastAsia="Arial" w:hAnsi="Arial"/>
                <w:sz w:val="17"/>
                <w:szCs w:val="17"/>
                <w:color w:val="auto"/>
              </w:rPr>
              <w:t>Gains</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color w:val="auto"/>
              </w:rPr>
              <w:t>Losses</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Fair Value</w:t>
            </w:r>
          </w:p>
        </w:tc>
      </w:tr>
      <w:tr>
        <w:trPr>
          <w:trHeight w:val="211"/>
        </w:trPr>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7"/>
                <w:szCs w:val="17"/>
                <w:color w:val="auto"/>
              </w:rPr>
              <w:t>(In thousands)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0"/>
        </w:trPr>
        <w:tc>
          <w:tcPr>
            <w:tcW w:w="5040" w:type="dxa"/>
            <w:vAlign w:val="bottom"/>
          </w:tcPr>
          <w:p>
            <w:pPr>
              <w:ind w:left="20"/>
              <w:spacing w:after="0"/>
              <w:rPr>
                <w:sz w:val="20"/>
                <w:szCs w:val="20"/>
                <w:color w:val="auto"/>
              </w:rPr>
            </w:pPr>
            <w:r>
              <w:rPr>
                <w:rFonts w:ascii="Arial" w:cs="Arial" w:eastAsia="Arial" w:hAnsi="Arial"/>
                <w:sz w:val="17"/>
                <w:szCs w:val="17"/>
                <w:color w:val="auto"/>
              </w:rPr>
              <w:t>September 30, 2023</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0"/>
        </w:trPr>
        <w:tc>
          <w:tcPr>
            <w:tcW w:w="5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U.S. agency</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9,503</w:t>
            </w:r>
          </w:p>
        </w:tc>
      </w:tr>
      <w:tr>
        <w:trPr>
          <w:trHeight w:val="218"/>
        </w:trPr>
        <w:tc>
          <w:tcPr>
            <w:tcW w:w="5040" w:type="dxa"/>
            <w:vAlign w:val="bottom"/>
          </w:tcPr>
          <w:p>
            <w:pPr>
              <w:ind w:left="180"/>
              <w:spacing w:after="0"/>
              <w:rPr>
                <w:sz w:val="20"/>
                <w:szCs w:val="20"/>
                <w:color w:val="auto"/>
              </w:rPr>
            </w:pPr>
            <w:r>
              <w:rPr>
                <w:rFonts w:ascii="Arial" w:cs="Arial" w:eastAsia="Arial" w:hAnsi="Arial"/>
                <w:sz w:val="17"/>
                <w:szCs w:val="17"/>
                <w:color w:val="auto"/>
              </w:rPr>
              <w:t>U.S. agency residential mortgage-backed</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92,717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12,036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80,682</w:t>
            </w:r>
          </w:p>
        </w:tc>
      </w:tr>
      <w:tr>
        <w:trPr>
          <w:trHeight w:val="220"/>
        </w:trPr>
        <w:tc>
          <w:tcPr>
            <w:tcW w:w="5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U.S. agency commercial mortgage-backed</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12,157</w:t>
            </w:r>
          </w:p>
        </w:tc>
      </w:tr>
      <w:tr>
        <w:trPr>
          <w:trHeight w:val="218"/>
        </w:trPr>
        <w:tc>
          <w:tcPr>
            <w:tcW w:w="5040" w:type="dxa"/>
            <w:vAlign w:val="bottom"/>
          </w:tcPr>
          <w:p>
            <w:pPr>
              <w:ind w:left="180"/>
              <w:spacing w:after="0"/>
              <w:rPr>
                <w:sz w:val="20"/>
                <w:szCs w:val="20"/>
                <w:color w:val="auto"/>
              </w:rPr>
            </w:pPr>
            <w:r>
              <w:rPr>
                <w:rFonts w:ascii="Arial" w:cs="Arial" w:eastAsia="Arial" w:hAnsi="Arial"/>
                <w:sz w:val="17"/>
                <w:szCs w:val="17"/>
                <w:color w:val="auto"/>
              </w:rPr>
              <w:t>Private label mortgage-backed</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95,160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248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8,746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86,662</w:t>
            </w:r>
          </w:p>
        </w:tc>
      </w:tr>
      <w:tr>
        <w:trPr>
          <w:trHeight w:val="220"/>
        </w:trPr>
        <w:tc>
          <w:tcPr>
            <w:tcW w:w="5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asset backed</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138,036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135,288</w:t>
            </w:r>
          </w:p>
        </w:tc>
      </w:tr>
      <w:tr>
        <w:trPr>
          <w:trHeight w:val="218"/>
        </w:trPr>
        <w:tc>
          <w:tcPr>
            <w:tcW w:w="5040" w:type="dxa"/>
            <w:vAlign w:val="bottom"/>
          </w:tcPr>
          <w:p>
            <w:pPr>
              <w:ind w:left="180"/>
              <w:spacing w:after="0"/>
              <w:rPr>
                <w:sz w:val="20"/>
                <w:szCs w:val="20"/>
                <w:color w:val="auto"/>
              </w:rPr>
            </w:pPr>
            <w:r>
              <w:rPr>
                <w:rFonts w:ascii="Arial" w:cs="Arial" w:eastAsia="Arial" w:hAnsi="Arial"/>
                <w:sz w:val="17"/>
                <w:szCs w:val="17"/>
                <w:color w:val="auto"/>
              </w:rPr>
              <w:t>Obligations of states and political subdivisions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339,656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53,930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285,728</w:t>
            </w:r>
          </w:p>
        </w:tc>
      </w:tr>
      <w:tr>
        <w:trPr>
          <w:trHeight w:val="220"/>
        </w:trPr>
        <w:tc>
          <w:tcPr>
            <w:tcW w:w="5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Corporate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82,013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8,335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73,678</w:t>
            </w:r>
          </w:p>
        </w:tc>
      </w:tr>
      <w:tr>
        <w:trPr>
          <w:trHeight w:val="218"/>
        </w:trPr>
        <w:tc>
          <w:tcPr>
            <w:tcW w:w="5040" w:type="dxa"/>
            <w:vAlign w:val="bottom"/>
          </w:tcPr>
          <w:p>
            <w:pPr>
              <w:ind w:left="180"/>
              <w:spacing w:after="0"/>
              <w:rPr>
                <w:sz w:val="20"/>
                <w:szCs w:val="20"/>
                <w:color w:val="auto"/>
              </w:rPr>
            </w:pPr>
            <w:r>
              <w:rPr>
                <w:rFonts w:ascii="Arial" w:cs="Arial" w:eastAsia="Arial" w:hAnsi="Arial"/>
                <w:sz w:val="17"/>
                <w:szCs w:val="17"/>
                <w:color w:val="auto"/>
              </w:rPr>
              <w:t>Trust preferred</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943</w:t>
            </w:r>
          </w:p>
        </w:tc>
      </w:tr>
      <w:tr>
        <w:trPr>
          <w:trHeight w:val="238"/>
        </w:trPr>
        <w:tc>
          <w:tcPr>
            <w:tcW w:w="50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773,027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88,649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684,641</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5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December 31, 2022</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57"/>
        </w:trPr>
        <w:tc>
          <w:tcPr>
            <w:tcW w:w="5040" w:type="dxa"/>
            <w:vAlign w:val="bottom"/>
          </w:tcPr>
          <w:p>
            <w:pPr>
              <w:ind w:left="180"/>
              <w:spacing w:after="0"/>
              <w:rPr>
                <w:sz w:val="20"/>
                <w:szCs w:val="20"/>
                <w:color w:val="auto"/>
              </w:rPr>
            </w:pPr>
            <w:r>
              <w:rPr>
                <w:rFonts w:ascii="Arial" w:cs="Arial" w:eastAsia="Arial" w:hAnsi="Arial"/>
                <w:sz w:val="17"/>
                <w:szCs w:val="17"/>
                <w:color w:val="auto"/>
              </w:rPr>
              <w:t>U.S. agency</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13,191</w:t>
            </w:r>
          </w:p>
        </w:tc>
        <w:tc>
          <w:tcPr>
            <w:tcW w:w="100" w:type="dxa"/>
            <w:vAlign w:val="bottom"/>
          </w:tcPr>
          <w:p>
            <w:pPr>
              <w:spacing w:after="0"/>
              <w:rPr>
                <w:sz w:val="22"/>
                <w:szCs w:val="22"/>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22"/>
                <w:szCs w:val="22"/>
                <w:color w:val="auto"/>
              </w:rPr>
            </w:pPr>
          </w:p>
        </w:tc>
        <w:tc>
          <w:tcPr>
            <w:tcW w:w="480" w:type="dxa"/>
            <w:vAlign w:val="bottom"/>
          </w:tcPr>
          <w:p>
            <w:pPr>
              <w:jc w:val="right"/>
              <w:ind w:right="27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1,100</w:t>
            </w:r>
          </w:p>
        </w:tc>
        <w:tc>
          <w:tcPr>
            <w:tcW w:w="80" w:type="dxa"/>
            <w:vAlign w:val="bottom"/>
          </w:tcPr>
          <w:p>
            <w:pPr>
              <w:spacing w:after="0"/>
              <w:rPr>
                <w:sz w:val="22"/>
                <w:szCs w:val="22"/>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12,101</w:t>
            </w:r>
          </w:p>
        </w:tc>
      </w:tr>
      <w:tr>
        <w:trPr>
          <w:trHeight w:val="259"/>
        </w:trPr>
        <w:tc>
          <w:tcPr>
            <w:tcW w:w="5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U.S. agency residential mortgage-backed</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100,700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10,261</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90,458</w:t>
            </w:r>
          </w:p>
        </w:tc>
      </w:tr>
      <w:tr>
        <w:trPr>
          <w:trHeight w:val="257"/>
        </w:trPr>
        <w:tc>
          <w:tcPr>
            <w:tcW w:w="5040" w:type="dxa"/>
            <w:vAlign w:val="bottom"/>
          </w:tcPr>
          <w:p>
            <w:pPr>
              <w:ind w:left="180"/>
              <w:spacing w:after="0"/>
              <w:rPr>
                <w:sz w:val="20"/>
                <w:szCs w:val="20"/>
                <w:color w:val="auto"/>
              </w:rPr>
            </w:pPr>
            <w:r>
              <w:rPr>
                <w:rFonts w:ascii="Arial" w:cs="Arial" w:eastAsia="Arial" w:hAnsi="Arial"/>
                <w:sz w:val="17"/>
                <w:szCs w:val="17"/>
                <w:color w:val="auto"/>
              </w:rPr>
              <w:t>U.S. agency commercial mortgage-backed</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15,047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1,594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13,453</w:t>
            </w:r>
          </w:p>
        </w:tc>
      </w:tr>
      <w:tr>
        <w:trPr>
          <w:trHeight w:val="259"/>
        </w:trPr>
        <w:tc>
          <w:tcPr>
            <w:tcW w:w="5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Private label mortgage-backed</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102,196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8,596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93,845</w:t>
            </w:r>
          </w:p>
        </w:tc>
      </w:tr>
      <w:tr>
        <w:trPr>
          <w:trHeight w:val="257"/>
        </w:trPr>
        <w:tc>
          <w:tcPr>
            <w:tcW w:w="5040" w:type="dxa"/>
            <w:vAlign w:val="bottom"/>
          </w:tcPr>
          <w:p>
            <w:pPr>
              <w:ind w:left="180"/>
              <w:spacing w:after="0"/>
              <w:rPr>
                <w:sz w:val="20"/>
                <w:szCs w:val="20"/>
                <w:color w:val="auto"/>
              </w:rPr>
            </w:pPr>
            <w:r>
              <w:rPr>
                <w:rFonts w:ascii="Arial" w:cs="Arial" w:eastAsia="Arial" w:hAnsi="Arial"/>
                <w:sz w:val="17"/>
                <w:szCs w:val="17"/>
                <w:color w:val="auto"/>
              </w:rPr>
              <w:t>Other asset backed</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200,755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6,030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194,725</w:t>
            </w:r>
          </w:p>
        </w:tc>
      </w:tr>
      <w:tr>
        <w:trPr>
          <w:trHeight w:val="259"/>
        </w:trPr>
        <w:tc>
          <w:tcPr>
            <w:tcW w:w="5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Obligations of states and political subdivisions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346,187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50,565</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295,677</w:t>
            </w:r>
          </w:p>
        </w:tc>
      </w:tr>
      <w:tr>
        <w:trPr>
          <w:trHeight w:val="257"/>
        </w:trPr>
        <w:tc>
          <w:tcPr>
            <w:tcW w:w="5040" w:type="dxa"/>
            <w:vAlign w:val="bottom"/>
          </w:tcPr>
          <w:p>
            <w:pPr>
              <w:ind w:left="180"/>
              <w:spacing w:after="0"/>
              <w:rPr>
                <w:sz w:val="20"/>
                <w:szCs w:val="20"/>
                <w:color w:val="auto"/>
              </w:rPr>
            </w:pPr>
            <w:r>
              <w:rPr>
                <w:rFonts w:ascii="Arial" w:cs="Arial" w:eastAsia="Arial" w:hAnsi="Arial"/>
                <w:sz w:val="17"/>
                <w:szCs w:val="17"/>
                <w:color w:val="auto"/>
              </w:rPr>
              <w:t>Corporate</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87,308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9,151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78,157</w:t>
            </w:r>
          </w:p>
        </w:tc>
      </w:tr>
      <w:tr>
        <w:trPr>
          <w:trHeight w:val="258"/>
        </w:trPr>
        <w:tc>
          <w:tcPr>
            <w:tcW w:w="5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Trust preferred</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931</w:t>
            </w:r>
          </w:p>
        </w:tc>
      </w:tr>
      <w:tr>
        <w:trPr>
          <w:trHeight w:val="213"/>
        </w:trPr>
        <w:tc>
          <w:tcPr>
            <w:tcW w:w="5040" w:type="dxa"/>
            <w:vAlign w:val="bottom"/>
          </w:tcPr>
          <w:p>
            <w:pPr>
              <w:ind w:left="320"/>
              <w:spacing w:after="0"/>
              <w:rPr>
                <w:sz w:val="20"/>
                <w:szCs w:val="20"/>
                <w:color w:val="auto"/>
              </w:rPr>
            </w:pPr>
            <w:r>
              <w:rPr>
                <w:rFonts w:ascii="Arial" w:cs="Arial" w:eastAsia="Arial" w:hAnsi="Arial"/>
                <w:sz w:val="17"/>
                <w:szCs w:val="17"/>
                <w:color w:val="auto"/>
              </w:rPr>
              <w:t>Total</w:t>
            </w: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866,363</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329</w:t>
            </w:r>
          </w:p>
        </w:tc>
        <w:tc>
          <w:tcPr>
            <w:tcW w:w="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87,345</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779,347</w:t>
            </w: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854"/>
        </w:trPr>
        <w:tc>
          <w:tcPr>
            <w:tcW w:w="5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774"/>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0"/>
        </w:trPr>
        <w:tc>
          <w:tcPr>
            <w:tcW w:w="50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Securities held to maturity (“HTM”) consist of the following:</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7"/>
                <w:szCs w:val="17"/>
                <w:color w:val="auto"/>
                <w:w w:val="88"/>
              </w:rPr>
              <w:t>Transferred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4"/>
            <w:vMerge w:val="restart"/>
          </w:tcPr>
          <w:p>
            <w:pPr>
              <w:ind w:left="580"/>
              <w:spacing w:after="0"/>
              <w:rPr>
                <w:sz w:val="20"/>
                <w:szCs w:val="20"/>
                <w:color w:val="auto"/>
              </w:rPr>
            </w:pPr>
            <w:r>
              <w:rPr>
                <w:rFonts w:ascii="Arial" w:cs="Arial" w:eastAsia="Arial" w:hAnsi="Arial"/>
                <w:sz w:val="17"/>
                <w:szCs w:val="17"/>
                <w:color w:val="auto"/>
              </w:rPr>
              <w:t>Unrealized</w:t>
            </w:r>
          </w:p>
        </w:tc>
        <w:tc>
          <w:tcPr>
            <w:tcW w:w="10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280"/>
              <w:spacing w:after="0" w:line="180" w:lineRule="exact"/>
              <w:rPr>
                <w:sz w:val="20"/>
                <w:szCs w:val="20"/>
                <w:color w:val="auto"/>
              </w:rPr>
            </w:pPr>
            <w:r>
              <w:rPr>
                <w:rFonts w:ascii="Arial" w:cs="Arial" w:eastAsia="Arial" w:hAnsi="Arial"/>
                <w:sz w:val="17"/>
                <w:szCs w:val="17"/>
                <w:color w:val="auto"/>
                <w:w w:val="93"/>
              </w:rPr>
              <w:t>Carrying</w:t>
            </w:r>
          </w:p>
        </w:tc>
        <w:tc>
          <w:tcPr>
            <w:tcW w:w="180" w:type="dxa"/>
            <w:vAlign w:val="bottom"/>
          </w:tcPr>
          <w:p>
            <w:pPr>
              <w:spacing w:after="0"/>
              <w:rPr>
                <w:sz w:val="15"/>
                <w:szCs w:val="15"/>
                <w:color w:val="auto"/>
              </w:rPr>
            </w:pPr>
          </w:p>
        </w:tc>
        <w:tc>
          <w:tcPr>
            <w:tcW w:w="1260" w:type="dxa"/>
            <w:vAlign w:val="bottom"/>
            <w:gridSpan w:val="2"/>
          </w:tcPr>
          <w:p>
            <w:pPr>
              <w:jc w:val="center"/>
              <w:ind w:right="280"/>
              <w:spacing w:after="0" w:line="180" w:lineRule="exact"/>
              <w:rPr>
                <w:sz w:val="20"/>
                <w:szCs w:val="20"/>
                <w:color w:val="auto"/>
              </w:rPr>
            </w:pPr>
            <w:r>
              <w:rPr>
                <w:rFonts w:ascii="Arial" w:cs="Arial" w:eastAsia="Arial" w:hAnsi="Arial"/>
                <w:sz w:val="17"/>
                <w:szCs w:val="17"/>
                <w:color w:val="auto"/>
                <w:w w:val="91"/>
              </w:rPr>
              <w:t>Unrealized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60"/>
              <w:spacing w:after="0" w:line="180" w:lineRule="exact"/>
              <w:rPr>
                <w:sz w:val="20"/>
                <w:szCs w:val="20"/>
                <w:color w:val="auto"/>
              </w:rPr>
            </w:pPr>
            <w:r>
              <w:rPr>
                <w:rFonts w:ascii="Arial" w:cs="Arial" w:eastAsia="Arial" w:hAnsi="Arial"/>
                <w:sz w:val="17"/>
                <w:szCs w:val="17"/>
                <w:color w:val="auto"/>
                <w:w w:val="96"/>
              </w:rPr>
              <w:t>Amortized</w:t>
            </w:r>
          </w:p>
        </w:tc>
        <w:tc>
          <w:tcPr>
            <w:tcW w:w="2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7"/>
                <w:szCs w:val="17"/>
                <w:color w:val="auto"/>
                <w:w w:val="91"/>
              </w:rPr>
              <w:t>Value</w:t>
            </w:r>
          </w:p>
        </w:tc>
        <w:tc>
          <w:tcPr>
            <w:tcW w:w="18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7"/>
                <w:szCs w:val="17"/>
                <w:color w:val="auto"/>
                <w:w w:val="94"/>
              </w:rPr>
              <w:t>Loss (1)</w:t>
            </w:r>
          </w:p>
        </w:tc>
        <w:tc>
          <w:tcPr>
            <w:tcW w:w="240" w:type="dxa"/>
            <w:vAlign w:val="bottom"/>
          </w:tcPr>
          <w:p>
            <w:pPr>
              <w:spacing w:after="0"/>
              <w:rPr>
                <w:sz w:val="19"/>
                <w:szCs w:val="19"/>
                <w:color w:val="auto"/>
              </w:rPr>
            </w:pPr>
          </w:p>
        </w:tc>
        <w:tc>
          <w:tcPr>
            <w:tcW w:w="880" w:type="dxa"/>
            <w:vAlign w:val="bottom"/>
          </w:tcPr>
          <w:p>
            <w:pPr>
              <w:jc w:val="right"/>
              <w:ind w:right="294"/>
              <w:spacing w:after="0"/>
              <w:rPr>
                <w:sz w:val="20"/>
                <w:szCs w:val="20"/>
                <w:color w:val="auto"/>
              </w:rPr>
            </w:pPr>
            <w:r>
              <w:rPr>
                <w:rFonts w:ascii="Arial" w:cs="Arial" w:eastAsia="Arial" w:hAnsi="Arial"/>
                <w:sz w:val="17"/>
                <w:szCs w:val="17"/>
                <w:color w:val="auto"/>
              </w:rPr>
              <w:t>ACL</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color w:val="auto"/>
                <w:w w:val="91"/>
              </w:rPr>
              <w:t>Cost</w:t>
            </w:r>
          </w:p>
        </w:tc>
        <w:tc>
          <w:tcPr>
            <w:tcW w:w="220" w:type="dxa"/>
            <w:vAlign w:val="bottom"/>
          </w:tcPr>
          <w:p>
            <w:pPr>
              <w:spacing w:after="0"/>
              <w:rPr>
                <w:sz w:val="19"/>
                <w:szCs w:val="19"/>
                <w:color w:val="auto"/>
              </w:rPr>
            </w:pPr>
          </w:p>
        </w:tc>
        <w:tc>
          <w:tcPr>
            <w:tcW w:w="980" w:type="dxa"/>
            <w:vAlign w:val="bottom"/>
            <w:gridSpan w:val="2"/>
          </w:tcPr>
          <w:p>
            <w:pPr>
              <w:ind w:left="140"/>
              <w:spacing w:after="0"/>
              <w:rPr>
                <w:sz w:val="20"/>
                <w:szCs w:val="20"/>
                <w:color w:val="auto"/>
              </w:rPr>
            </w:pPr>
            <w:r>
              <w:rPr>
                <w:rFonts w:ascii="Arial" w:cs="Arial" w:eastAsia="Arial" w:hAnsi="Arial"/>
                <w:sz w:val="17"/>
                <w:szCs w:val="17"/>
                <w:color w:val="auto"/>
              </w:rPr>
              <w:t>Gains</w:t>
            </w:r>
          </w:p>
        </w:tc>
        <w:tc>
          <w:tcPr>
            <w:tcW w:w="220" w:type="dxa"/>
            <w:vAlign w:val="bottom"/>
          </w:tcPr>
          <w:p>
            <w:pPr>
              <w:spacing w:after="0"/>
              <w:rPr>
                <w:sz w:val="19"/>
                <w:szCs w:val="19"/>
                <w:color w:val="auto"/>
              </w:rPr>
            </w:pPr>
          </w:p>
        </w:tc>
        <w:tc>
          <w:tcPr>
            <w:tcW w:w="1020" w:type="dxa"/>
            <w:vAlign w:val="bottom"/>
            <w:gridSpan w:val="2"/>
          </w:tcPr>
          <w:p>
            <w:pPr>
              <w:ind w:left="120"/>
              <w:spacing w:after="0"/>
              <w:rPr>
                <w:sz w:val="20"/>
                <w:szCs w:val="20"/>
                <w:color w:val="auto"/>
              </w:rPr>
            </w:pPr>
            <w:r>
              <w:rPr>
                <w:rFonts w:ascii="Arial" w:cs="Arial" w:eastAsia="Arial" w:hAnsi="Arial"/>
                <w:sz w:val="17"/>
                <w:szCs w:val="17"/>
                <w:color w:val="auto"/>
              </w:rPr>
              <w:t>Losses</w:t>
            </w:r>
          </w:p>
        </w:tc>
        <w:tc>
          <w:tcPr>
            <w:tcW w:w="140" w:type="dxa"/>
            <w:vAlign w:val="bottom"/>
          </w:tcPr>
          <w:p>
            <w:pPr>
              <w:spacing w:after="0"/>
              <w:rPr>
                <w:sz w:val="19"/>
                <w:szCs w:val="19"/>
                <w:color w:val="auto"/>
              </w:rPr>
            </w:pPr>
          </w:p>
        </w:tc>
        <w:tc>
          <w:tcPr>
            <w:tcW w:w="980" w:type="dxa"/>
            <w:vAlign w:val="bottom"/>
          </w:tcPr>
          <w:p>
            <w:pPr>
              <w:jc w:val="right"/>
              <w:ind w:right="114"/>
              <w:spacing w:after="0"/>
              <w:rPr>
                <w:sz w:val="20"/>
                <w:szCs w:val="20"/>
                <w:color w:val="auto"/>
              </w:rPr>
            </w:pPr>
            <w:r>
              <w:rPr>
                <w:rFonts w:ascii="Arial" w:cs="Arial" w:eastAsia="Arial" w:hAnsi="Arial"/>
                <w:sz w:val="17"/>
                <w:szCs w:val="17"/>
                <w:color w:val="auto"/>
                <w:w w:val="98"/>
              </w:rPr>
              <w:t>Fair Value</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20" w:type="dxa"/>
            <w:vAlign w:val="bottom"/>
            <w:gridSpan w:val="4"/>
          </w:tcPr>
          <w:p>
            <w:pPr>
              <w:ind w:left="60"/>
              <w:spacing w:after="0"/>
              <w:rPr>
                <w:sz w:val="20"/>
                <w:szCs w:val="20"/>
                <w:color w:val="auto"/>
              </w:rPr>
            </w:pPr>
            <w:r>
              <w:rPr>
                <w:rFonts w:ascii="Arial" w:cs="Arial" w:eastAsia="Arial" w:hAnsi="Arial"/>
                <w:sz w:val="17"/>
                <w:szCs w:val="17"/>
                <w:color w:val="auto"/>
              </w:rPr>
              <w:t>(In thousands)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560" w:type="dxa"/>
            <w:vAlign w:val="bottom"/>
          </w:tcPr>
          <w:p>
            <w:pPr>
              <w:ind w:left="20"/>
              <w:spacing w:after="0"/>
              <w:rPr>
                <w:sz w:val="20"/>
                <w:szCs w:val="20"/>
                <w:color w:val="auto"/>
              </w:rPr>
            </w:pPr>
            <w:r>
              <w:rPr>
                <w:rFonts w:ascii="Arial" w:cs="Arial" w:eastAsia="Arial" w:hAnsi="Arial"/>
                <w:sz w:val="17"/>
                <w:szCs w:val="17"/>
                <w:color w:val="auto"/>
              </w:rPr>
              <w:t>September 30, 2023</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U.S. agency</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22,483</w:t>
            </w:r>
          </w:p>
        </w:tc>
        <w:tc>
          <w:tcPr>
            <w:tcW w:w="0" w:type="dxa"/>
            <w:vAlign w:val="bottom"/>
          </w:tcPr>
          <w:p>
            <w:pPr>
              <w:spacing w:after="0"/>
              <w:rPr>
                <w:sz w:val="1"/>
                <w:szCs w:val="1"/>
                <w:color w:val="auto"/>
              </w:rPr>
            </w:pPr>
          </w:p>
        </w:tc>
      </w:tr>
      <w:tr>
        <w:trPr>
          <w:trHeight w:val="168"/>
        </w:trPr>
        <w:tc>
          <w:tcPr>
            <w:tcW w:w="2560" w:type="dxa"/>
            <w:vAlign w:val="bottom"/>
          </w:tcPr>
          <w:p>
            <w:pPr>
              <w:ind w:left="180"/>
              <w:spacing w:after="0" w:line="168" w:lineRule="exact"/>
              <w:rPr>
                <w:sz w:val="20"/>
                <w:szCs w:val="20"/>
                <w:color w:val="auto"/>
              </w:rPr>
            </w:pPr>
            <w:r>
              <w:rPr>
                <w:rFonts w:ascii="Arial" w:cs="Arial" w:eastAsia="Arial" w:hAnsi="Arial"/>
                <w:sz w:val="17"/>
                <w:szCs w:val="17"/>
                <w:color w:val="auto"/>
                <w:w w:val="91"/>
              </w:rPr>
              <w:t>U.S. agency residential mortgage-</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560" w:type="dxa"/>
            <w:vAlign w:val="bottom"/>
          </w:tcPr>
          <w:p>
            <w:pPr>
              <w:ind w:left="320"/>
              <w:spacing w:after="0"/>
              <w:rPr>
                <w:sz w:val="20"/>
                <w:szCs w:val="20"/>
                <w:color w:val="auto"/>
              </w:rPr>
            </w:pPr>
            <w:r>
              <w:rPr>
                <w:rFonts w:ascii="Arial" w:cs="Arial" w:eastAsia="Arial" w:hAnsi="Arial"/>
                <w:sz w:val="17"/>
                <w:szCs w:val="17"/>
                <w:color w:val="auto"/>
              </w:rPr>
              <w:t>backed</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110,883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9,972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120,855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28,690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92,165</w:t>
            </w:r>
          </w:p>
        </w:tc>
        <w:tc>
          <w:tcPr>
            <w:tcW w:w="0" w:type="dxa"/>
            <w:vAlign w:val="bottom"/>
          </w:tcPr>
          <w:p>
            <w:pPr>
              <w:spacing w:after="0"/>
              <w:rPr>
                <w:sz w:val="1"/>
                <w:szCs w:val="1"/>
                <w:color w:val="auto"/>
              </w:rPr>
            </w:pPr>
          </w:p>
        </w:tc>
      </w:tr>
      <w:tr>
        <w:trPr>
          <w:trHeight w:val="169"/>
        </w:trPr>
        <w:tc>
          <w:tcPr>
            <w:tcW w:w="2560" w:type="dxa"/>
            <w:vAlign w:val="bottom"/>
            <w:shd w:val="clear" w:color="auto" w:fill="CCEEFF"/>
          </w:tcPr>
          <w:p>
            <w:pPr>
              <w:ind w:left="180"/>
              <w:spacing w:after="0" w:line="169" w:lineRule="exact"/>
              <w:rPr>
                <w:sz w:val="20"/>
                <w:szCs w:val="20"/>
                <w:color w:val="auto"/>
              </w:rPr>
            </w:pPr>
            <w:r>
              <w:rPr>
                <w:rFonts w:ascii="Arial" w:cs="Arial" w:eastAsia="Arial" w:hAnsi="Arial"/>
                <w:sz w:val="17"/>
                <w:szCs w:val="17"/>
                <w:color w:val="auto"/>
              </w:rPr>
              <w:t>U.S. agency commercial</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mortgage-backed</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4,153</w:t>
            </w:r>
          </w:p>
        </w:tc>
        <w:tc>
          <w:tcPr>
            <w:tcW w:w="0" w:type="dxa"/>
            <w:vAlign w:val="bottom"/>
          </w:tcPr>
          <w:p>
            <w:pPr>
              <w:spacing w:after="0"/>
              <w:rPr>
                <w:sz w:val="1"/>
                <w:szCs w:val="1"/>
                <w:color w:val="auto"/>
              </w:rPr>
            </w:pPr>
          </w:p>
        </w:tc>
      </w:tr>
      <w:tr>
        <w:trPr>
          <w:trHeight w:val="218"/>
        </w:trPr>
        <w:tc>
          <w:tcPr>
            <w:tcW w:w="2560" w:type="dxa"/>
            <w:vAlign w:val="bottom"/>
          </w:tcPr>
          <w:p>
            <w:pPr>
              <w:ind w:left="180"/>
              <w:spacing w:after="0"/>
              <w:rPr>
                <w:sz w:val="20"/>
                <w:szCs w:val="20"/>
                <w:color w:val="auto"/>
              </w:rPr>
            </w:pPr>
            <w:r>
              <w:rPr>
                <w:rFonts w:ascii="Arial" w:cs="Arial" w:eastAsia="Arial" w:hAnsi="Arial"/>
                <w:sz w:val="17"/>
                <w:szCs w:val="17"/>
                <w:color w:val="auto"/>
              </w:rPr>
              <w:t>Private label mortgage-backed</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7,286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7,621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6,663</w:t>
            </w:r>
          </w:p>
        </w:tc>
        <w:tc>
          <w:tcPr>
            <w:tcW w:w="0" w:type="dxa"/>
            <w:vAlign w:val="bottom"/>
          </w:tcPr>
          <w:p>
            <w:pPr>
              <w:spacing w:after="0"/>
              <w:rPr>
                <w:sz w:val="1"/>
                <w:szCs w:val="1"/>
                <w:color w:val="auto"/>
              </w:rPr>
            </w:pPr>
          </w:p>
        </w:tc>
      </w:tr>
      <w:tr>
        <w:trPr>
          <w:trHeight w:val="169"/>
        </w:trPr>
        <w:tc>
          <w:tcPr>
            <w:tcW w:w="2560" w:type="dxa"/>
            <w:vAlign w:val="bottom"/>
            <w:shd w:val="clear" w:color="auto" w:fill="CCEEFF"/>
          </w:tcPr>
          <w:p>
            <w:pPr>
              <w:ind w:left="180"/>
              <w:spacing w:after="0" w:line="169" w:lineRule="exact"/>
              <w:rPr>
                <w:sz w:val="20"/>
                <w:szCs w:val="20"/>
                <w:color w:val="auto"/>
              </w:rPr>
            </w:pPr>
            <w:r>
              <w:rPr>
                <w:rFonts w:ascii="Arial" w:cs="Arial" w:eastAsia="Arial" w:hAnsi="Arial"/>
                <w:sz w:val="17"/>
                <w:szCs w:val="17"/>
                <w:color w:val="auto"/>
                <w:w w:val="94"/>
              </w:rPr>
              <w:t>Obligations of states and political</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subdivisions</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162,945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7,300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170,278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ind w:left="660"/>
              <w:spacing w:after="0"/>
              <w:rPr>
                <w:sz w:val="20"/>
                <w:szCs w:val="20"/>
                <w:color w:val="auto"/>
              </w:rPr>
            </w:pPr>
            <w:r>
              <w:rPr>
                <w:rFonts w:ascii="Arial" w:cs="Arial" w:eastAsia="Arial" w:hAnsi="Arial"/>
                <w:sz w:val="17"/>
                <w:szCs w:val="17"/>
                <w:color w:val="auto"/>
              </w:rPr>
              <w:t>22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26,454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143,846</w:t>
            </w:r>
          </w:p>
        </w:tc>
        <w:tc>
          <w:tcPr>
            <w:tcW w:w="0" w:type="dxa"/>
            <w:vAlign w:val="bottom"/>
          </w:tcPr>
          <w:p>
            <w:pPr>
              <w:spacing w:after="0"/>
              <w:rPr>
                <w:sz w:val="1"/>
                <w:szCs w:val="1"/>
                <w:color w:val="auto"/>
              </w:rPr>
            </w:pPr>
          </w:p>
        </w:tc>
      </w:tr>
      <w:tr>
        <w:trPr>
          <w:trHeight w:val="218"/>
        </w:trPr>
        <w:tc>
          <w:tcPr>
            <w:tcW w:w="2560" w:type="dxa"/>
            <w:vAlign w:val="bottom"/>
          </w:tcPr>
          <w:p>
            <w:pPr>
              <w:ind w:left="180"/>
              <w:spacing w:after="0"/>
              <w:rPr>
                <w:sz w:val="20"/>
                <w:szCs w:val="20"/>
                <w:color w:val="auto"/>
              </w:rPr>
            </w:pPr>
            <w:r>
              <w:rPr>
                <w:rFonts w:ascii="Arial" w:cs="Arial" w:eastAsia="Arial" w:hAnsi="Arial"/>
                <w:sz w:val="17"/>
                <w:szCs w:val="17"/>
                <w:color w:val="auto"/>
              </w:rPr>
              <w:t>Corporate</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45,636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46,632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ind w:left="660"/>
              <w:spacing w:after="0"/>
              <w:rPr>
                <w:sz w:val="20"/>
                <w:szCs w:val="20"/>
                <w:color w:val="auto"/>
              </w:rPr>
            </w:pPr>
            <w:r>
              <w:rPr>
                <w:rFonts w:ascii="Arial" w:cs="Arial" w:eastAsia="Arial" w:hAnsi="Arial"/>
                <w:sz w:val="17"/>
                <w:szCs w:val="17"/>
                <w:color w:val="auto"/>
              </w:rPr>
              <w:t>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7,762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38,889</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Trust preferred</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13"/>
        </w:trPr>
        <w:tc>
          <w:tcPr>
            <w:tcW w:w="2560" w:type="dxa"/>
            <w:vAlign w:val="bottom"/>
          </w:tcPr>
          <w:p>
            <w:pPr>
              <w:ind w:left="280"/>
              <w:spacing w:after="0"/>
              <w:rPr>
                <w:sz w:val="20"/>
                <w:szCs w:val="20"/>
                <w:color w:val="auto"/>
              </w:rPr>
            </w:pPr>
            <w:r>
              <w:rPr>
                <w:rFonts w:ascii="Arial" w:cs="Arial" w:eastAsia="Arial" w:hAnsi="Arial"/>
                <w:sz w:val="17"/>
                <w:szCs w:val="17"/>
                <w:color w:val="auto"/>
              </w:rPr>
              <w:t>Total</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358,899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20,399</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155</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379,453</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900" w:type="dxa"/>
            <w:vAlign w:val="bottom"/>
          </w:tcPr>
          <w:p>
            <w:pPr>
              <w:ind w:left="660"/>
              <w:spacing w:after="0"/>
              <w:rPr>
                <w:sz w:val="20"/>
                <w:szCs w:val="20"/>
                <w:color w:val="auto"/>
              </w:rPr>
            </w:pPr>
            <w:r>
              <w:rPr>
                <w:rFonts w:ascii="Arial" w:cs="Arial" w:eastAsia="Arial" w:hAnsi="Arial"/>
                <w:sz w:val="17"/>
                <w:szCs w:val="17"/>
                <w:color w:val="auto"/>
              </w:rPr>
              <w:t>41</w:t>
            </w:r>
          </w:p>
        </w:tc>
        <w:tc>
          <w:tcPr>
            <w:tcW w:w="8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70,295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309,199</w:t>
            </w:r>
          </w:p>
        </w:tc>
        <w:tc>
          <w:tcPr>
            <w:tcW w:w="0" w:type="dxa"/>
            <w:vAlign w:val="bottom"/>
          </w:tcPr>
          <w:p>
            <w:pPr>
              <w:spacing w:after="0"/>
              <w:rPr>
                <w:sz w:val="1"/>
                <w:szCs w:val="1"/>
                <w:color w:val="auto"/>
              </w:rPr>
            </w:pPr>
          </w:p>
        </w:tc>
      </w:tr>
      <w:tr>
        <w:trPr>
          <w:trHeight w:val="20"/>
        </w:trPr>
        <w:tc>
          <w:tcPr>
            <w:tcW w:w="25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560" w:type="dxa"/>
            <w:vAlign w:val="bottom"/>
          </w:tcPr>
          <w:p>
            <w:pPr>
              <w:ind w:left="20"/>
              <w:spacing w:after="0"/>
              <w:rPr>
                <w:sz w:val="20"/>
                <w:szCs w:val="20"/>
                <w:color w:val="auto"/>
              </w:rPr>
            </w:pPr>
            <w:r>
              <w:rPr>
                <w:rFonts w:ascii="Arial" w:cs="Arial" w:eastAsia="Arial" w:hAnsi="Arial"/>
                <w:sz w:val="17"/>
                <w:szCs w:val="17"/>
                <w:color w:val="auto"/>
              </w:rPr>
              <w:t>December 31, 2022</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U.S. agency</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24,407</w:t>
            </w:r>
          </w:p>
        </w:tc>
        <w:tc>
          <w:tcPr>
            <w:tcW w:w="0" w:type="dxa"/>
            <w:vAlign w:val="bottom"/>
          </w:tcPr>
          <w:p>
            <w:pPr>
              <w:spacing w:after="0"/>
              <w:rPr>
                <w:sz w:val="1"/>
                <w:szCs w:val="1"/>
                <w:color w:val="auto"/>
              </w:rPr>
            </w:pPr>
          </w:p>
        </w:tc>
      </w:tr>
      <w:tr>
        <w:trPr>
          <w:trHeight w:val="168"/>
        </w:trPr>
        <w:tc>
          <w:tcPr>
            <w:tcW w:w="2560" w:type="dxa"/>
            <w:vAlign w:val="bottom"/>
          </w:tcPr>
          <w:p>
            <w:pPr>
              <w:ind w:left="180"/>
              <w:spacing w:after="0" w:line="168" w:lineRule="exact"/>
              <w:rPr>
                <w:sz w:val="20"/>
                <w:szCs w:val="20"/>
                <w:color w:val="auto"/>
              </w:rPr>
            </w:pPr>
            <w:r>
              <w:rPr>
                <w:rFonts w:ascii="Arial" w:cs="Arial" w:eastAsia="Arial" w:hAnsi="Arial"/>
                <w:sz w:val="17"/>
                <w:szCs w:val="17"/>
                <w:color w:val="auto"/>
                <w:w w:val="91"/>
              </w:rPr>
              <w:t>U.S. agency residential mortgage-</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560" w:type="dxa"/>
            <w:vAlign w:val="bottom"/>
          </w:tcPr>
          <w:p>
            <w:pPr>
              <w:ind w:left="320"/>
              <w:spacing w:after="0"/>
              <w:rPr>
                <w:sz w:val="20"/>
                <w:szCs w:val="20"/>
                <w:color w:val="auto"/>
              </w:rPr>
            </w:pPr>
            <w:r>
              <w:rPr>
                <w:rFonts w:ascii="Arial" w:cs="Arial" w:eastAsia="Arial" w:hAnsi="Arial"/>
                <w:sz w:val="17"/>
                <w:szCs w:val="17"/>
                <w:color w:val="auto"/>
              </w:rPr>
              <w:t>backed</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117,650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10,845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128,495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25,239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103,256</w:t>
            </w:r>
          </w:p>
        </w:tc>
        <w:tc>
          <w:tcPr>
            <w:tcW w:w="0" w:type="dxa"/>
            <w:vAlign w:val="bottom"/>
          </w:tcPr>
          <w:p>
            <w:pPr>
              <w:spacing w:after="0"/>
              <w:rPr>
                <w:sz w:val="1"/>
                <w:szCs w:val="1"/>
                <w:color w:val="auto"/>
              </w:rPr>
            </w:pPr>
          </w:p>
        </w:tc>
      </w:tr>
      <w:tr>
        <w:trPr>
          <w:trHeight w:val="169"/>
        </w:trPr>
        <w:tc>
          <w:tcPr>
            <w:tcW w:w="2560" w:type="dxa"/>
            <w:vAlign w:val="bottom"/>
            <w:shd w:val="clear" w:color="auto" w:fill="CCEEFF"/>
          </w:tcPr>
          <w:p>
            <w:pPr>
              <w:ind w:left="180"/>
              <w:spacing w:after="0" w:line="169" w:lineRule="exact"/>
              <w:rPr>
                <w:sz w:val="20"/>
                <w:szCs w:val="20"/>
                <w:color w:val="auto"/>
              </w:rPr>
            </w:pPr>
            <w:r>
              <w:rPr>
                <w:rFonts w:ascii="Arial" w:cs="Arial" w:eastAsia="Arial" w:hAnsi="Arial"/>
                <w:sz w:val="17"/>
                <w:szCs w:val="17"/>
                <w:color w:val="auto"/>
              </w:rPr>
              <w:t>U.S. agency commercial</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mortgage-backed</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4,430</w:t>
            </w:r>
          </w:p>
        </w:tc>
        <w:tc>
          <w:tcPr>
            <w:tcW w:w="0" w:type="dxa"/>
            <w:vAlign w:val="bottom"/>
          </w:tcPr>
          <w:p>
            <w:pPr>
              <w:spacing w:after="0"/>
              <w:rPr>
                <w:sz w:val="1"/>
                <w:szCs w:val="1"/>
                <w:color w:val="auto"/>
              </w:rPr>
            </w:pPr>
          </w:p>
        </w:tc>
      </w:tr>
      <w:tr>
        <w:trPr>
          <w:trHeight w:val="218"/>
        </w:trPr>
        <w:tc>
          <w:tcPr>
            <w:tcW w:w="2560" w:type="dxa"/>
            <w:vAlign w:val="bottom"/>
          </w:tcPr>
          <w:p>
            <w:pPr>
              <w:ind w:left="180"/>
              <w:spacing w:after="0"/>
              <w:rPr>
                <w:sz w:val="20"/>
                <w:szCs w:val="20"/>
                <w:color w:val="auto"/>
              </w:rPr>
            </w:pPr>
            <w:r>
              <w:rPr>
                <w:rFonts w:ascii="Arial" w:cs="Arial" w:eastAsia="Arial" w:hAnsi="Arial"/>
                <w:sz w:val="17"/>
                <w:szCs w:val="17"/>
                <w:color w:val="auto"/>
              </w:rPr>
              <w:t>Private label mortgage-backed</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7,242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7,659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6,662</w:t>
            </w:r>
          </w:p>
        </w:tc>
        <w:tc>
          <w:tcPr>
            <w:tcW w:w="0" w:type="dxa"/>
            <w:vAlign w:val="bottom"/>
          </w:tcPr>
          <w:p>
            <w:pPr>
              <w:spacing w:after="0"/>
              <w:rPr>
                <w:sz w:val="1"/>
                <w:szCs w:val="1"/>
                <w:color w:val="auto"/>
              </w:rPr>
            </w:pPr>
          </w:p>
        </w:tc>
      </w:tr>
      <w:tr>
        <w:trPr>
          <w:trHeight w:val="169"/>
        </w:trPr>
        <w:tc>
          <w:tcPr>
            <w:tcW w:w="2560" w:type="dxa"/>
            <w:vAlign w:val="bottom"/>
            <w:shd w:val="clear" w:color="auto" w:fill="CCEEFF"/>
          </w:tcPr>
          <w:p>
            <w:pPr>
              <w:ind w:left="180"/>
              <w:spacing w:after="0" w:line="169" w:lineRule="exact"/>
              <w:rPr>
                <w:sz w:val="20"/>
                <w:szCs w:val="20"/>
                <w:color w:val="auto"/>
              </w:rPr>
            </w:pPr>
            <w:r>
              <w:rPr>
                <w:rFonts w:ascii="Arial" w:cs="Arial" w:eastAsia="Arial" w:hAnsi="Arial"/>
                <w:sz w:val="17"/>
                <w:szCs w:val="17"/>
                <w:color w:val="auto"/>
                <w:w w:val="94"/>
              </w:rPr>
              <w:t>Obligations of states and political</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subdivisions</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168,134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8,555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176,728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ind w:left="660"/>
              <w:spacing w:after="0"/>
              <w:rPr>
                <w:sz w:val="20"/>
                <w:szCs w:val="20"/>
                <w:color w:val="auto"/>
              </w:rPr>
            </w:pPr>
            <w:r>
              <w:rPr>
                <w:rFonts w:ascii="Arial" w:cs="Arial" w:eastAsia="Arial" w:hAnsi="Arial"/>
                <w:sz w:val="17"/>
                <w:szCs w:val="17"/>
                <w:color w:val="auto"/>
              </w:rPr>
              <w:t>11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25,591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151,148</w:t>
            </w:r>
          </w:p>
        </w:tc>
        <w:tc>
          <w:tcPr>
            <w:tcW w:w="0" w:type="dxa"/>
            <w:vAlign w:val="bottom"/>
          </w:tcPr>
          <w:p>
            <w:pPr>
              <w:spacing w:after="0"/>
              <w:rPr>
                <w:sz w:val="1"/>
                <w:szCs w:val="1"/>
                <w:color w:val="auto"/>
              </w:rPr>
            </w:pPr>
          </w:p>
        </w:tc>
      </w:tr>
      <w:tr>
        <w:trPr>
          <w:trHeight w:val="218"/>
        </w:trPr>
        <w:tc>
          <w:tcPr>
            <w:tcW w:w="2560" w:type="dxa"/>
            <w:vAlign w:val="bottom"/>
          </w:tcPr>
          <w:p>
            <w:pPr>
              <w:ind w:left="180"/>
              <w:spacing w:after="0"/>
              <w:rPr>
                <w:sz w:val="20"/>
                <w:szCs w:val="20"/>
                <w:color w:val="auto"/>
              </w:rPr>
            </w:pPr>
            <w:r>
              <w:rPr>
                <w:rFonts w:ascii="Arial" w:cs="Arial" w:eastAsia="Arial" w:hAnsi="Arial"/>
                <w:sz w:val="17"/>
                <w:szCs w:val="17"/>
                <w:color w:val="auto"/>
              </w:rPr>
              <w:t>Corporate</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48,418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49,671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5,156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44,515</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Trust preferred</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13"/>
        </w:trPr>
        <w:tc>
          <w:tcPr>
            <w:tcW w:w="2560" w:type="dxa"/>
            <w:vAlign w:val="bottom"/>
          </w:tcPr>
          <w:p>
            <w:pPr>
              <w:ind w:left="280"/>
              <w:spacing w:after="0"/>
              <w:rPr>
                <w:sz w:val="20"/>
                <w:szCs w:val="20"/>
                <w:color w:val="auto"/>
              </w:rPr>
            </w:pPr>
            <w:r>
              <w:rPr>
                <w:rFonts w:ascii="Arial" w:cs="Arial" w:eastAsia="Arial" w:hAnsi="Arial"/>
                <w:sz w:val="17"/>
                <w:szCs w:val="17"/>
                <w:color w:val="auto"/>
              </w:rPr>
              <w:t>Total</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374,818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23,066</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168</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398,052</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900" w:type="dxa"/>
            <w:vAlign w:val="bottom"/>
          </w:tcPr>
          <w:p>
            <w:pPr>
              <w:ind w:left="660"/>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62,645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335,418</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(1) Represents the remaining unrealized loss to be accreted on securities that were transferred from AFS to HTM on April 1, 2022.</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April 1, 2022, we transferred certain securities AFS with an amortized cost and unrealized loss at the date of transfer of $418.1 million and $26.5 million, respectively to HTM. The transfer was made at fair value, with the unrealized loss becoming part of the purchase discount which will be accreted over the remaining life of the securities. The other comprehensive loss component is separated from the remaining available for sale securities and is accreted over the remaining life of the securities transferred. We have the ability and intent to hold these securities until they mature, at which time we expect to receive full value for these securities.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investments' gross unrealized losses and fair values for securities AFS aggregated by investment type and length of time that individual securities have been at a continuous unrealized loss position follows:</w:t>
      </w:r>
    </w:p>
    <w:p>
      <w:pPr>
        <w:spacing w:after="0" w:line="177" w:lineRule="exact"/>
        <w:rPr>
          <w:sz w:val="20"/>
          <w:szCs w:val="20"/>
          <w:color w:val="auto"/>
        </w:rPr>
      </w:pPr>
    </w:p>
    <w:tbl>
      <w:tblPr>
        <w:tblLayout w:type="fixed"/>
        <w:tblInd w:w="2680" w:type="dxa"/>
        <w:tblCellMar>
          <w:top w:w="0" w:type="dxa"/>
          <w:left w:w="0" w:type="dxa"/>
          <w:bottom w:w="0" w:type="dxa"/>
          <w:right w:w="0" w:type="dxa"/>
        </w:tblCellMar>
      </w:tblPr>
      <w:tr>
        <w:trPr>
          <w:trHeight w:val="218"/>
        </w:trPr>
        <w:tc>
          <w:tcPr>
            <w:tcW w:w="2780" w:type="dxa"/>
            <w:vAlign w:val="bottom"/>
            <w:tcBorders>
              <w:bottom w:val="single" w:sz="8" w:color="auto"/>
            </w:tcBorders>
            <w:gridSpan w:val="2"/>
          </w:tcPr>
          <w:p>
            <w:pPr>
              <w:ind w:left="480"/>
              <w:spacing w:after="0"/>
              <w:rPr>
                <w:sz w:val="20"/>
                <w:szCs w:val="20"/>
                <w:color w:val="auto"/>
              </w:rPr>
            </w:pPr>
            <w:r>
              <w:rPr>
                <w:rFonts w:ascii="Arial" w:cs="Arial" w:eastAsia="Arial" w:hAnsi="Arial"/>
                <w:sz w:val="17"/>
                <w:szCs w:val="17"/>
                <w:color w:val="auto"/>
              </w:rPr>
              <w:t>Less Than Twelve Months</w:t>
            </w:r>
          </w:p>
        </w:tc>
        <w:tc>
          <w:tcPr>
            <w:tcW w:w="100" w:type="dxa"/>
            <w:vAlign w:val="bottom"/>
          </w:tcPr>
          <w:p>
            <w:pPr>
              <w:spacing w:after="0"/>
              <w:rPr>
                <w:sz w:val="18"/>
                <w:szCs w:val="18"/>
                <w:color w:val="auto"/>
              </w:rPr>
            </w:pPr>
          </w:p>
        </w:tc>
        <w:tc>
          <w:tcPr>
            <w:tcW w:w="2800" w:type="dxa"/>
            <w:vAlign w:val="bottom"/>
            <w:tcBorders>
              <w:bottom w:val="single" w:sz="8" w:color="auto"/>
            </w:tcBorders>
            <w:gridSpan w:val="2"/>
          </w:tcPr>
          <w:p>
            <w:pPr>
              <w:ind w:left="560"/>
              <w:spacing w:after="0"/>
              <w:rPr>
                <w:sz w:val="20"/>
                <w:szCs w:val="20"/>
                <w:color w:val="auto"/>
              </w:rPr>
            </w:pPr>
            <w:r>
              <w:rPr>
                <w:rFonts w:ascii="Arial" w:cs="Arial" w:eastAsia="Arial" w:hAnsi="Arial"/>
                <w:sz w:val="17"/>
                <w:szCs w:val="17"/>
                <w:color w:val="auto"/>
              </w:rPr>
              <w:t>Twelve Months or More</w:t>
            </w:r>
          </w:p>
        </w:tc>
        <w:tc>
          <w:tcPr>
            <w:tcW w:w="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Total</w:t>
            </w:r>
          </w:p>
        </w:tc>
      </w:tr>
      <w:tr>
        <w:trPr>
          <w:trHeight w:val="162"/>
        </w:trPr>
        <w:tc>
          <w:tcPr>
            <w:tcW w:w="1380" w:type="dxa"/>
            <w:vAlign w:val="bottom"/>
          </w:tcPr>
          <w:p>
            <w:pPr>
              <w:spacing w:after="0"/>
              <w:rPr>
                <w:sz w:val="14"/>
                <w:szCs w:val="14"/>
                <w:color w:val="auto"/>
              </w:rPr>
            </w:pPr>
          </w:p>
        </w:tc>
        <w:tc>
          <w:tcPr>
            <w:tcW w:w="1500" w:type="dxa"/>
            <w:vAlign w:val="bottom"/>
            <w:gridSpan w:val="2"/>
          </w:tcPr>
          <w:p>
            <w:pPr>
              <w:jc w:val="center"/>
              <w:ind w:right="40"/>
              <w:spacing w:after="0" w:line="162" w:lineRule="exact"/>
              <w:rPr>
                <w:sz w:val="20"/>
                <w:szCs w:val="20"/>
                <w:color w:val="auto"/>
              </w:rPr>
            </w:pPr>
            <w:r>
              <w:rPr>
                <w:rFonts w:ascii="Arial" w:cs="Arial" w:eastAsia="Arial" w:hAnsi="Arial"/>
                <w:sz w:val="17"/>
                <w:szCs w:val="17"/>
                <w:color w:val="auto"/>
                <w:w w:val="91"/>
              </w:rPr>
              <w:t>Unrealized</w:t>
            </w:r>
          </w:p>
        </w:tc>
        <w:tc>
          <w:tcPr>
            <w:tcW w:w="1380" w:type="dxa"/>
            <w:vAlign w:val="bottom"/>
          </w:tcPr>
          <w:p>
            <w:pPr>
              <w:spacing w:after="0"/>
              <w:rPr>
                <w:sz w:val="14"/>
                <w:szCs w:val="14"/>
                <w:color w:val="auto"/>
              </w:rPr>
            </w:pPr>
          </w:p>
        </w:tc>
        <w:tc>
          <w:tcPr>
            <w:tcW w:w="1500" w:type="dxa"/>
            <w:vAlign w:val="bottom"/>
            <w:gridSpan w:val="2"/>
          </w:tcPr>
          <w:p>
            <w:pPr>
              <w:jc w:val="center"/>
              <w:ind w:right="20"/>
              <w:spacing w:after="0" w:line="162" w:lineRule="exact"/>
              <w:rPr>
                <w:sz w:val="20"/>
                <w:szCs w:val="20"/>
                <w:color w:val="auto"/>
              </w:rPr>
            </w:pPr>
            <w:r>
              <w:rPr>
                <w:rFonts w:ascii="Arial" w:cs="Arial" w:eastAsia="Arial" w:hAnsi="Arial"/>
                <w:sz w:val="17"/>
                <w:szCs w:val="17"/>
                <w:color w:val="auto"/>
                <w:w w:val="93"/>
              </w:rPr>
              <w:t>Unrealized</w:t>
            </w:r>
          </w:p>
        </w:tc>
        <w:tc>
          <w:tcPr>
            <w:tcW w:w="1140" w:type="dxa"/>
            <w:vAlign w:val="bottom"/>
          </w:tcPr>
          <w:p>
            <w:pPr>
              <w:spacing w:after="0"/>
              <w:rPr>
                <w:sz w:val="14"/>
                <w:szCs w:val="14"/>
                <w:color w:val="auto"/>
              </w:rPr>
            </w:pPr>
          </w:p>
        </w:tc>
        <w:tc>
          <w:tcPr>
            <w:tcW w:w="1660" w:type="dxa"/>
            <w:vAlign w:val="bottom"/>
          </w:tcPr>
          <w:p>
            <w:pPr>
              <w:jc w:val="center"/>
              <w:ind w:left="234"/>
              <w:spacing w:after="0" w:line="162" w:lineRule="exact"/>
              <w:rPr>
                <w:sz w:val="20"/>
                <w:szCs w:val="20"/>
                <w:color w:val="auto"/>
              </w:rPr>
            </w:pPr>
            <w:r>
              <w:rPr>
                <w:rFonts w:ascii="Arial" w:cs="Arial" w:eastAsia="Arial" w:hAnsi="Arial"/>
                <w:sz w:val="17"/>
                <w:szCs w:val="17"/>
                <w:color w:val="auto"/>
                <w:w w:val="91"/>
              </w:rPr>
              <w:t>Unrealized</w:t>
            </w:r>
          </w:p>
        </w:tc>
      </w:tr>
      <w:tr>
        <w:trPr>
          <w:trHeight w:val="230"/>
        </w:trPr>
        <w:tc>
          <w:tcPr>
            <w:tcW w:w="1380" w:type="dxa"/>
            <w:vAlign w:val="bottom"/>
          </w:tcPr>
          <w:p>
            <w:pPr>
              <w:ind w:left="320"/>
              <w:spacing w:after="0"/>
              <w:rPr>
                <w:sz w:val="20"/>
                <w:szCs w:val="20"/>
                <w:color w:val="auto"/>
              </w:rPr>
            </w:pPr>
            <w:r>
              <w:rPr>
                <w:rFonts w:ascii="Arial" w:cs="Arial" w:eastAsia="Arial" w:hAnsi="Arial"/>
                <w:sz w:val="17"/>
                <w:szCs w:val="17"/>
                <w:color w:val="auto"/>
              </w:rPr>
              <w:t>Fair Value</w:t>
            </w:r>
          </w:p>
        </w:tc>
        <w:tc>
          <w:tcPr>
            <w:tcW w:w="1500" w:type="dxa"/>
            <w:vAlign w:val="bottom"/>
            <w:gridSpan w:val="2"/>
          </w:tcPr>
          <w:p>
            <w:pPr>
              <w:jc w:val="center"/>
              <w:ind w:right="40"/>
              <w:spacing w:after="0"/>
              <w:rPr>
                <w:sz w:val="20"/>
                <w:szCs w:val="20"/>
                <w:color w:val="auto"/>
              </w:rPr>
            </w:pPr>
            <w:r>
              <w:rPr>
                <w:rFonts w:ascii="Arial" w:cs="Arial" w:eastAsia="Arial" w:hAnsi="Arial"/>
                <w:sz w:val="17"/>
                <w:szCs w:val="17"/>
                <w:color w:val="auto"/>
                <w:w w:val="85"/>
              </w:rPr>
              <w:t>Losses</w:t>
            </w:r>
          </w:p>
        </w:tc>
        <w:tc>
          <w:tcPr>
            <w:tcW w:w="1380" w:type="dxa"/>
            <w:vAlign w:val="bottom"/>
          </w:tcPr>
          <w:p>
            <w:pPr>
              <w:ind w:left="320"/>
              <w:spacing w:after="0"/>
              <w:rPr>
                <w:sz w:val="20"/>
                <w:szCs w:val="20"/>
                <w:color w:val="auto"/>
              </w:rPr>
            </w:pPr>
            <w:r>
              <w:rPr>
                <w:rFonts w:ascii="Arial" w:cs="Arial" w:eastAsia="Arial" w:hAnsi="Arial"/>
                <w:sz w:val="17"/>
                <w:szCs w:val="17"/>
                <w:color w:val="auto"/>
              </w:rPr>
              <w:t>Fair Value</w:t>
            </w:r>
          </w:p>
        </w:tc>
        <w:tc>
          <w:tcPr>
            <w:tcW w:w="1500" w:type="dxa"/>
            <w:vAlign w:val="bottom"/>
            <w:gridSpan w:val="2"/>
          </w:tcPr>
          <w:p>
            <w:pPr>
              <w:jc w:val="center"/>
              <w:ind w:right="20"/>
              <w:spacing w:after="0"/>
              <w:rPr>
                <w:sz w:val="20"/>
                <w:szCs w:val="20"/>
                <w:color w:val="auto"/>
              </w:rPr>
            </w:pPr>
            <w:r>
              <w:rPr>
                <w:rFonts w:ascii="Arial" w:cs="Arial" w:eastAsia="Arial" w:hAnsi="Arial"/>
                <w:sz w:val="17"/>
                <w:szCs w:val="17"/>
                <w:color w:val="auto"/>
                <w:w w:val="89"/>
              </w:rPr>
              <w:t>Losses</w:t>
            </w:r>
          </w:p>
        </w:tc>
        <w:tc>
          <w:tcPr>
            <w:tcW w:w="1140" w:type="dxa"/>
            <w:vAlign w:val="bottom"/>
          </w:tcPr>
          <w:p>
            <w:pPr>
              <w:ind w:left="320"/>
              <w:spacing w:after="0"/>
              <w:rPr>
                <w:sz w:val="20"/>
                <w:szCs w:val="20"/>
                <w:color w:val="auto"/>
              </w:rPr>
            </w:pPr>
            <w:r>
              <w:rPr>
                <w:rFonts w:ascii="Arial" w:cs="Arial" w:eastAsia="Arial" w:hAnsi="Arial"/>
                <w:sz w:val="17"/>
                <w:szCs w:val="17"/>
                <w:color w:val="auto"/>
              </w:rPr>
              <w:t>Fair Value</w:t>
            </w:r>
          </w:p>
        </w:tc>
        <w:tc>
          <w:tcPr>
            <w:tcW w:w="1660" w:type="dxa"/>
            <w:vAlign w:val="bottom"/>
          </w:tcPr>
          <w:p>
            <w:pPr>
              <w:jc w:val="center"/>
              <w:ind w:left="234"/>
              <w:spacing w:after="0"/>
              <w:rPr>
                <w:sz w:val="20"/>
                <w:szCs w:val="20"/>
                <w:color w:val="auto"/>
              </w:rPr>
            </w:pPr>
            <w:r>
              <w:rPr>
                <w:rFonts w:ascii="Arial" w:cs="Arial" w:eastAsia="Arial" w:hAnsi="Arial"/>
                <w:sz w:val="17"/>
                <w:szCs w:val="17"/>
                <w:color w:val="auto"/>
                <w:w w:val="85"/>
              </w:rPr>
              <w:t>Losses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1696720</wp:posOffset>
            </wp:positionH>
            <wp:positionV relativeFrom="paragraph">
              <wp:posOffset>1270</wp:posOffset>
            </wp:positionV>
            <wp:extent cx="54438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43855" cy="8255"/>
                    </a:xfrm>
                    <a:prstGeom prst="rect">
                      <a:avLst/>
                    </a:prstGeom>
                    <a:noFill/>
                  </pic:spPr>
                </pic:pic>
              </a:graphicData>
            </a:graphic>
          </wp:anchor>
        </w:drawing>
      </w:r>
    </w:p>
    <w:p>
      <w:pPr>
        <w:ind w:left="6460"/>
        <w:spacing w:after="0"/>
        <w:rPr>
          <w:sz w:val="20"/>
          <w:szCs w:val="20"/>
          <w:color w:val="auto"/>
        </w:rPr>
      </w:pPr>
      <w:r>
        <w:rPr>
          <w:rFonts w:ascii="Arial" w:cs="Arial" w:eastAsia="Arial" w:hAnsi="Arial"/>
          <w:sz w:val="17"/>
          <w:szCs w:val="17"/>
          <w:color w:val="auto"/>
        </w:rPr>
        <w:t>(In thousands)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63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p>
      <w:pPr>
        <w:spacing w:after="0" w:line="37" w:lineRule="exact"/>
        <w:rPr>
          <w:sz w:val="20"/>
          <w:szCs w:val="20"/>
          <w:color w:val="auto"/>
        </w:rPr>
      </w:pPr>
    </w:p>
    <w:p>
      <w:pPr>
        <w:ind w:left="180"/>
        <w:spacing w:after="0"/>
        <w:tabs>
          <w:tab w:leader="none" w:pos="2660" w:val="left"/>
        </w:tabs>
        <w:rPr>
          <w:sz w:val="20"/>
          <w:szCs w:val="20"/>
          <w:color w:val="auto"/>
        </w:rPr>
      </w:pPr>
      <w:r>
        <w:rPr>
          <w:rFonts w:ascii="Arial" w:cs="Arial" w:eastAsia="Arial" w:hAnsi="Arial"/>
          <w:sz w:val="17"/>
          <w:szCs w:val="17"/>
          <w:color w:val="auto"/>
        </w:rPr>
        <w:t>U.S. agency</w:t>
      </w:r>
      <w:r>
        <w:rPr>
          <w:sz w:val="20"/>
          <w:szCs w:val="20"/>
          <w:color w:val="auto"/>
        </w:rPr>
        <w:tab/>
      </w:r>
      <w:r>
        <w:rPr>
          <w:rFonts w:ascii="Arial" w:cs="Arial" w:eastAsia="Arial" w:hAnsi="Arial"/>
          <w:sz w:val="17"/>
          <w:szCs w:val="17"/>
          <w:color w:val="auto"/>
        </w:rPr>
        <w:t>$</w:t>
      </w:r>
    </w:p>
    <w:p>
      <w:pPr>
        <w:spacing w:after="0" w:line="62" w:lineRule="exact"/>
        <w:rPr>
          <w:sz w:val="20"/>
          <w:szCs w:val="20"/>
          <w:color w:val="auto"/>
        </w:rPr>
      </w:pPr>
    </w:p>
    <w:p>
      <w:pPr>
        <w:ind w:left="320" w:right="260" w:hanging="154"/>
        <w:spacing w:after="0" w:line="279" w:lineRule="auto"/>
        <w:rPr>
          <w:sz w:val="20"/>
          <w:szCs w:val="20"/>
          <w:color w:val="auto"/>
        </w:rPr>
      </w:pPr>
      <w:r>
        <w:rPr>
          <w:rFonts w:ascii="Arial" w:cs="Arial" w:eastAsia="Arial" w:hAnsi="Arial"/>
          <w:sz w:val="17"/>
          <w:szCs w:val="17"/>
          <w:color w:val="auto"/>
        </w:rPr>
        <w:t>U.S. agency residential mortgage-backed</w:t>
      </w:r>
    </w:p>
    <w:p>
      <w:pPr>
        <w:spacing w:after="0" w:line="10" w:lineRule="exact"/>
        <w:rPr>
          <w:sz w:val="20"/>
          <w:szCs w:val="20"/>
          <w:color w:val="auto"/>
        </w:rPr>
      </w:pPr>
    </w:p>
    <w:p>
      <w:pPr>
        <w:ind w:left="320" w:right="160" w:hanging="154"/>
        <w:spacing w:after="0" w:line="279" w:lineRule="auto"/>
        <w:rPr>
          <w:sz w:val="20"/>
          <w:szCs w:val="20"/>
          <w:color w:val="auto"/>
        </w:rPr>
      </w:pPr>
      <w:r>
        <w:rPr>
          <w:rFonts w:ascii="Arial" w:cs="Arial" w:eastAsia="Arial" w:hAnsi="Arial"/>
          <w:sz w:val="17"/>
          <w:szCs w:val="17"/>
          <w:color w:val="auto"/>
        </w:rPr>
        <w:t>U.S. agency commercial mortgage-backed</w:t>
      </w:r>
    </w:p>
    <w:p>
      <w:pPr>
        <w:spacing w:after="0" w:line="10" w:lineRule="exact"/>
        <w:rPr>
          <w:sz w:val="20"/>
          <w:szCs w:val="20"/>
          <w:color w:val="auto"/>
        </w:rPr>
      </w:pPr>
    </w:p>
    <w:p>
      <w:pPr>
        <w:ind w:left="180" w:right="500"/>
        <w:spacing w:after="0" w:line="316" w:lineRule="auto"/>
        <w:rPr>
          <w:sz w:val="20"/>
          <w:szCs w:val="20"/>
          <w:color w:val="auto"/>
        </w:rPr>
      </w:pPr>
      <w:r>
        <w:rPr>
          <w:rFonts w:ascii="Arial" w:cs="Arial" w:eastAsia="Arial" w:hAnsi="Arial"/>
          <w:sz w:val="17"/>
          <w:szCs w:val="17"/>
          <w:color w:val="auto"/>
        </w:rPr>
        <w:t>Private label mortgage-backed Other asset backed</w:t>
      </w:r>
    </w:p>
    <w:p>
      <w:pPr>
        <w:spacing w:after="0" w:line="1" w:lineRule="exact"/>
        <w:rPr>
          <w:sz w:val="20"/>
          <w:szCs w:val="20"/>
          <w:color w:val="auto"/>
        </w:rPr>
      </w:pPr>
    </w:p>
    <w:p>
      <w:pPr>
        <w:ind w:left="320" w:right="300" w:hanging="154"/>
        <w:spacing w:after="0" w:line="279" w:lineRule="auto"/>
        <w:rPr>
          <w:sz w:val="20"/>
          <w:szCs w:val="20"/>
          <w:color w:val="auto"/>
        </w:rPr>
      </w:pPr>
      <w:r>
        <w:rPr>
          <w:rFonts w:ascii="Arial" w:cs="Arial" w:eastAsia="Arial" w:hAnsi="Arial"/>
          <w:sz w:val="17"/>
          <w:szCs w:val="17"/>
          <w:color w:val="auto"/>
        </w:rPr>
        <w:t>Obligations of states and political subdivisions</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Corporate</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Trust preferred</w:t>
      </w:r>
    </w:p>
    <w:p>
      <w:pPr>
        <w:spacing w:after="0" w:line="62" w:lineRule="exact"/>
        <w:rPr>
          <w:sz w:val="20"/>
          <w:szCs w:val="20"/>
          <w:color w:val="auto"/>
        </w:rPr>
      </w:pPr>
    </w:p>
    <w:p>
      <w:pPr>
        <w:jc w:val="both"/>
        <w:ind w:left="320"/>
        <w:spacing w:after="0"/>
        <w:tabs>
          <w:tab w:leader="none" w:pos="2660" w:val="left"/>
        </w:tabs>
        <w:rPr>
          <w:sz w:val="20"/>
          <w:szCs w:val="20"/>
          <w:color w:val="auto"/>
        </w:rPr>
      </w:pPr>
      <w:r>
        <w:rPr>
          <w:rFonts w:ascii="Arial" w:cs="Arial" w:eastAsia="Arial" w:hAnsi="Arial"/>
          <w:sz w:val="17"/>
          <w:szCs w:val="17"/>
          <w:color w:val="auto"/>
        </w:rPr>
        <w:t>Total</w:t>
      </w:r>
      <w:r>
        <w:rPr>
          <w:sz w:val="20"/>
          <w:szCs w:val="20"/>
          <w:color w:val="auto"/>
        </w:rPr>
        <w:tab/>
      </w:r>
      <w:r>
        <w:rPr>
          <w:rFonts w:ascii="Arial" w:cs="Arial" w:eastAsia="Arial" w:hAnsi="Arial"/>
          <w:sz w:val="17"/>
          <w:szCs w:val="17"/>
          <w:color w:val="auto"/>
        </w:rPr>
        <w:t>$</w:t>
      </w:r>
    </w:p>
    <w:p>
      <w:pPr>
        <w:spacing w:after="0" w:line="307"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December 31, 2022</w:t>
      </w:r>
    </w:p>
    <w:p>
      <w:pPr>
        <w:spacing w:after="0" w:line="37" w:lineRule="exact"/>
        <w:rPr>
          <w:sz w:val="20"/>
          <w:szCs w:val="20"/>
          <w:color w:val="auto"/>
        </w:rPr>
      </w:pPr>
    </w:p>
    <w:p>
      <w:pPr>
        <w:ind w:left="180"/>
        <w:spacing w:after="0"/>
        <w:tabs>
          <w:tab w:leader="none" w:pos="2660" w:val="left"/>
        </w:tabs>
        <w:rPr>
          <w:sz w:val="20"/>
          <w:szCs w:val="20"/>
          <w:color w:val="auto"/>
        </w:rPr>
      </w:pPr>
      <w:r>
        <w:rPr>
          <w:rFonts w:ascii="Arial" w:cs="Arial" w:eastAsia="Arial" w:hAnsi="Arial"/>
          <w:sz w:val="17"/>
          <w:szCs w:val="17"/>
          <w:color w:val="auto"/>
        </w:rPr>
        <w:t>U.S. agency</w:t>
      </w:r>
      <w:r>
        <w:rPr>
          <w:sz w:val="20"/>
          <w:szCs w:val="20"/>
          <w:color w:val="auto"/>
        </w:rPr>
        <w:tab/>
      </w:r>
      <w:r>
        <w:rPr>
          <w:rFonts w:ascii="Arial" w:cs="Arial" w:eastAsia="Arial" w:hAnsi="Arial"/>
          <w:sz w:val="17"/>
          <w:szCs w:val="17"/>
          <w:color w:val="auto"/>
        </w:rPr>
        <w:t>$</w:t>
      </w:r>
    </w:p>
    <w:p>
      <w:pPr>
        <w:spacing w:after="0" w:line="62" w:lineRule="exact"/>
        <w:rPr>
          <w:sz w:val="20"/>
          <w:szCs w:val="20"/>
          <w:color w:val="auto"/>
        </w:rPr>
      </w:pPr>
    </w:p>
    <w:p>
      <w:pPr>
        <w:ind w:left="320" w:right="260" w:hanging="154"/>
        <w:spacing w:after="0" w:line="279" w:lineRule="auto"/>
        <w:rPr>
          <w:sz w:val="20"/>
          <w:szCs w:val="20"/>
          <w:color w:val="auto"/>
        </w:rPr>
      </w:pPr>
      <w:r>
        <w:rPr>
          <w:rFonts w:ascii="Arial" w:cs="Arial" w:eastAsia="Arial" w:hAnsi="Arial"/>
          <w:sz w:val="17"/>
          <w:szCs w:val="17"/>
          <w:color w:val="auto"/>
        </w:rPr>
        <w:t>U.S. agency residential mortgage-backed</w:t>
      </w:r>
    </w:p>
    <w:p>
      <w:pPr>
        <w:spacing w:after="0" w:line="10" w:lineRule="exact"/>
        <w:rPr>
          <w:sz w:val="20"/>
          <w:szCs w:val="20"/>
          <w:color w:val="auto"/>
        </w:rPr>
      </w:pPr>
    </w:p>
    <w:p>
      <w:pPr>
        <w:ind w:left="320" w:right="160" w:hanging="154"/>
        <w:spacing w:after="0" w:line="279" w:lineRule="auto"/>
        <w:rPr>
          <w:sz w:val="20"/>
          <w:szCs w:val="20"/>
          <w:color w:val="auto"/>
        </w:rPr>
      </w:pPr>
      <w:r>
        <w:rPr>
          <w:rFonts w:ascii="Arial" w:cs="Arial" w:eastAsia="Arial" w:hAnsi="Arial"/>
          <w:sz w:val="17"/>
          <w:szCs w:val="17"/>
          <w:color w:val="auto"/>
        </w:rPr>
        <w:t>U.S. agency commercial mortgage-backed</w:t>
      </w:r>
    </w:p>
    <w:p>
      <w:pPr>
        <w:spacing w:after="0" w:line="10" w:lineRule="exact"/>
        <w:rPr>
          <w:sz w:val="20"/>
          <w:szCs w:val="20"/>
          <w:color w:val="auto"/>
        </w:rPr>
      </w:pPr>
    </w:p>
    <w:p>
      <w:pPr>
        <w:ind w:left="180" w:right="500"/>
        <w:spacing w:after="0" w:line="316" w:lineRule="auto"/>
        <w:rPr>
          <w:sz w:val="20"/>
          <w:szCs w:val="20"/>
          <w:color w:val="auto"/>
        </w:rPr>
      </w:pPr>
      <w:r>
        <w:rPr>
          <w:rFonts w:ascii="Arial" w:cs="Arial" w:eastAsia="Arial" w:hAnsi="Arial"/>
          <w:sz w:val="17"/>
          <w:szCs w:val="17"/>
          <w:color w:val="auto"/>
        </w:rPr>
        <w:t>Private label mortgage-backed Other asset backed</w:t>
      </w:r>
    </w:p>
    <w:p>
      <w:pPr>
        <w:spacing w:after="0" w:line="1" w:lineRule="exact"/>
        <w:rPr>
          <w:sz w:val="20"/>
          <w:szCs w:val="20"/>
          <w:color w:val="auto"/>
        </w:rPr>
      </w:pPr>
    </w:p>
    <w:p>
      <w:pPr>
        <w:ind w:left="320" w:right="300" w:hanging="154"/>
        <w:spacing w:after="0" w:line="279" w:lineRule="auto"/>
        <w:rPr>
          <w:sz w:val="20"/>
          <w:szCs w:val="20"/>
          <w:color w:val="auto"/>
        </w:rPr>
      </w:pPr>
      <w:r>
        <w:rPr>
          <w:rFonts w:ascii="Arial" w:cs="Arial" w:eastAsia="Arial" w:hAnsi="Arial"/>
          <w:sz w:val="17"/>
          <w:szCs w:val="17"/>
          <w:color w:val="auto"/>
        </w:rPr>
        <w:t>Obligations of states and political subdivisions</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Corporate</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Trust preferred</w:t>
      </w:r>
    </w:p>
    <w:p>
      <w:pPr>
        <w:spacing w:after="0" w:line="62" w:lineRule="exact"/>
        <w:rPr>
          <w:sz w:val="20"/>
          <w:szCs w:val="20"/>
          <w:color w:val="auto"/>
        </w:rPr>
      </w:pPr>
    </w:p>
    <w:p>
      <w:pPr>
        <w:jc w:val="both"/>
        <w:ind w:left="320"/>
        <w:spacing w:after="0"/>
        <w:tabs>
          <w:tab w:leader="none" w:pos="2660" w:val="left"/>
        </w:tabs>
        <w:rPr>
          <w:sz w:val="20"/>
          <w:szCs w:val="20"/>
          <w:color w:val="auto"/>
        </w:rPr>
      </w:pPr>
      <w:r>
        <w:rPr>
          <w:rFonts w:ascii="Arial" w:cs="Arial" w:eastAsia="Arial" w:hAnsi="Arial"/>
          <w:sz w:val="17"/>
          <w:szCs w:val="17"/>
          <w:color w:val="auto"/>
        </w:rPr>
        <w:t>Total</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720" w:type="dxa"/>
            <w:vAlign w:val="bottom"/>
          </w:tcPr>
          <w:p>
            <w:pPr>
              <w:jc w:val="right"/>
              <w:ind w:right="74"/>
              <w:spacing w:after="0"/>
              <w:rPr>
                <w:sz w:val="20"/>
                <w:szCs w:val="20"/>
                <w:color w:val="auto"/>
              </w:rPr>
            </w:pPr>
            <w:r>
              <w:rPr>
                <w:rFonts w:ascii="Arial" w:cs="Arial" w:eastAsia="Arial" w:hAnsi="Arial"/>
                <w:sz w:val="17"/>
                <w:szCs w:val="17"/>
                <w:color w:val="auto"/>
              </w:rPr>
              <w:t>251</w:t>
            </w: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8,558</w:t>
            </w:r>
          </w:p>
        </w:tc>
        <w:tc>
          <w:tcPr>
            <w:tcW w:w="80" w:type="dxa"/>
            <w:vAlign w:val="bottom"/>
          </w:tcPr>
          <w:p>
            <w:pPr>
              <w:spacing w:after="0"/>
              <w:rPr>
                <w:sz w:val="18"/>
                <w:szCs w:val="18"/>
                <w:color w:val="auto"/>
              </w:rPr>
            </w:pP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1,074</w:t>
            </w:r>
          </w:p>
        </w:tc>
        <w:tc>
          <w:tcPr>
            <w:tcW w:w="80" w:type="dxa"/>
            <w:vAlign w:val="bottom"/>
          </w:tcPr>
          <w:p>
            <w:pPr>
              <w:spacing w:after="0"/>
              <w:rPr>
                <w:sz w:val="18"/>
                <w:szCs w:val="18"/>
                <w:color w:val="auto"/>
              </w:rPr>
            </w:pP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8,809</w:t>
            </w:r>
          </w:p>
        </w:tc>
        <w:tc>
          <w:tcPr>
            <w:tcW w:w="100" w:type="dxa"/>
            <w:vAlign w:val="bottom"/>
          </w:tcPr>
          <w:p>
            <w:pPr>
              <w:spacing w:after="0"/>
              <w:rPr>
                <w:sz w:val="18"/>
                <w:szCs w:val="18"/>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1,074</w:t>
            </w:r>
          </w:p>
        </w:tc>
      </w:tr>
      <w:tr>
        <w:trPr>
          <w:trHeight w:val="464"/>
        </w:trPr>
        <w:tc>
          <w:tcPr>
            <w:tcW w:w="720" w:type="dxa"/>
            <w:vAlign w:val="bottom"/>
          </w:tcPr>
          <w:p>
            <w:pPr>
              <w:jc w:val="right"/>
              <w:ind w:right="74"/>
              <w:spacing w:after="0"/>
              <w:rPr>
                <w:sz w:val="20"/>
                <w:szCs w:val="20"/>
                <w:color w:val="auto"/>
              </w:rPr>
            </w:pPr>
            <w:r>
              <w:rPr>
                <w:rFonts w:ascii="Arial" w:cs="Arial" w:eastAsia="Arial" w:hAnsi="Arial"/>
                <w:sz w:val="17"/>
                <w:szCs w:val="17"/>
                <w:color w:val="auto"/>
              </w:rPr>
              <w:t>1,481</w:t>
            </w: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78,989</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12,020</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80,470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12,036</w:t>
            </w:r>
          </w:p>
        </w:tc>
      </w:tr>
      <w:tr>
        <w:trPr>
          <w:trHeight w:val="464"/>
        </w:trPr>
        <w:tc>
          <w:tcPr>
            <w:tcW w:w="72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12,157</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1,734</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12,157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1,734</w:t>
            </w:r>
          </w:p>
        </w:tc>
      </w:tr>
      <w:tr>
        <w:trPr>
          <w:trHeight w:val="258"/>
        </w:trPr>
        <w:tc>
          <w:tcPr>
            <w:tcW w:w="720" w:type="dxa"/>
            <w:vAlign w:val="bottom"/>
          </w:tcPr>
          <w:p>
            <w:pPr>
              <w:jc w:val="right"/>
              <w:ind w:right="74"/>
              <w:spacing w:after="0"/>
              <w:rPr>
                <w:sz w:val="20"/>
                <w:szCs w:val="20"/>
                <w:color w:val="auto"/>
              </w:rPr>
            </w:pPr>
            <w:r>
              <w:rPr>
                <w:rFonts w:ascii="Arial" w:cs="Arial" w:eastAsia="Arial" w:hAnsi="Arial"/>
                <w:sz w:val="17"/>
                <w:szCs w:val="17"/>
                <w:color w:val="auto"/>
              </w:rPr>
              <w:t>2,933</w:t>
            </w: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83,029</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8,524</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85,962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8,746</w:t>
            </w:r>
          </w:p>
        </w:tc>
      </w:tr>
      <w:tr>
        <w:trPr>
          <w:trHeight w:val="258"/>
        </w:trPr>
        <w:tc>
          <w:tcPr>
            <w:tcW w:w="720" w:type="dxa"/>
            <w:vAlign w:val="bottom"/>
          </w:tcPr>
          <w:p>
            <w:pPr>
              <w:jc w:val="right"/>
              <w:ind w:right="74"/>
              <w:spacing w:after="0"/>
              <w:rPr>
                <w:sz w:val="20"/>
                <w:szCs w:val="20"/>
                <w:color w:val="auto"/>
              </w:rPr>
            </w:pPr>
            <w:r>
              <w:rPr>
                <w:rFonts w:ascii="Arial" w:cs="Arial" w:eastAsia="Arial" w:hAnsi="Arial"/>
                <w:sz w:val="17"/>
                <w:szCs w:val="17"/>
                <w:color w:val="auto"/>
              </w:rPr>
              <w:t>6,307</w:t>
            </w: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126,706</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2,663</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133,013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2,755</w:t>
            </w:r>
          </w:p>
        </w:tc>
      </w:tr>
      <w:tr>
        <w:trPr>
          <w:trHeight w:val="464"/>
        </w:trPr>
        <w:tc>
          <w:tcPr>
            <w:tcW w:w="720" w:type="dxa"/>
            <w:vAlign w:val="bottom"/>
          </w:tcPr>
          <w:p>
            <w:pPr>
              <w:jc w:val="right"/>
              <w:ind w:right="74"/>
              <w:spacing w:after="0"/>
              <w:rPr>
                <w:sz w:val="20"/>
                <w:szCs w:val="20"/>
                <w:color w:val="auto"/>
              </w:rPr>
            </w:pPr>
            <w:r>
              <w:rPr>
                <w:rFonts w:ascii="Arial" w:cs="Arial" w:eastAsia="Arial" w:hAnsi="Arial"/>
                <w:sz w:val="17"/>
                <w:szCs w:val="17"/>
                <w:color w:val="auto"/>
              </w:rPr>
              <w:t>1,693</w:t>
            </w: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284,034</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53,923</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285,727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53,930</w:t>
            </w:r>
          </w:p>
        </w:tc>
      </w:tr>
      <w:tr>
        <w:trPr>
          <w:trHeight w:val="258"/>
        </w:trPr>
        <w:tc>
          <w:tcPr>
            <w:tcW w:w="72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73,678</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8,335</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73,678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8,335</w:t>
            </w:r>
          </w:p>
        </w:tc>
      </w:tr>
      <w:tr>
        <w:trPr>
          <w:trHeight w:val="258"/>
        </w:trPr>
        <w:tc>
          <w:tcPr>
            <w:tcW w:w="72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942</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39</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942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13"/>
        </w:trPr>
        <w:tc>
          <w:tcPr>
            <w:tcW w:w="720" w:type="dxa"/>
            <w:vAlign w:val="bottom"/>
          </w:tcPr>
          <w:p>
            <w:pPr>
              <w:jc w:val="right"/>
              <w:ind w:right="74"/>
              <w:spacing w:after="0"/>
              <w:rPr>
                <w:sz w:val="20"/>
                <w:szCs w:val="20"/>
                <w:color w:val="auto"/>
              </w:rPr>
            </w:pPr>
            <w:r>
              <w:rPr>
                <w:rFonts w:ascii="Arial" w:cs="Arial" w:eastAsia="Arial" w:hAnsi="Arial"/>
                <w:sz w:val="17"/>
                <w:szCs w:val="17"/>
                <w:color w:val="auto"/>
              </w:rPr>
              <w:t>12,665</w:t>
            </w:r>
          </w:p>
        </w:tc>
        <w:tc>
          <w:tcPr>
            <w:tcW w:w="46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337</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668,093</w:t>
            </w:r>
          </w:p>
        </w:tc>
        <w:tc>
          <w:tcPr>
            <w:tcW w:w="8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88,312</w:t>
            </w: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680,758</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88,649</w:t>
            </w:r>
          </w:p>
        </w:tc>
      </w:tr>
      <w:tr>
        <w:trPr>
          <w:trHeight w:val="20"/>
        </w:trPr>
        <w:tc>
          <w:tcPr>
            <w:tcW w:w="7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700"/>
        </w:trPr>
        <w:tc>
          <w:tcPr>
            <w:tcW w:w="720" w:type="dxa"/>
            <w:vAlign w:val="bottom"/>
          </w:tcPr>
          <w:p>
            <w:pPr>
              <w:jc w:val="right"/>
              <w:ind w:right="74"/>
              <w:spacing w:after="0"/>
              <w:rPr>
                <w:sz w:val="20"/>
                <w:szCs w:val="20"/>
                <w:color w:val="auto"/>
              </w:rPr>
            </w:pPr>
            <w:r>
              <w:rPr>
                <w:rFonts w:ascii="Arial" w:cs="Arial" w:eastAsia="Arial" w:hAnsi="Arial"/>
                <w:sz w:val="17"/>
                <w:szCs w:val="17"/>
                <w:color w:val="auto"/>
              </w:rPr>
              <w:t>8,244</w:t>
            </w: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799</w:t>
            </w:r>
          </w:p>
        </w:tc>
        <w:tc>
          <w:tcPr>
            <w:tcW w:w="100" w:type="dxa"/>
            <w:vAlign w:val="bottom"/>
          </w:tcPr>
          <w:p>
            <w:pPr>
              <w:spacing w:after="0"/>
              <w:rPr>
                <w:sz w:val="24"/>
                <w:szCs w:val="24"/>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2,587</w:t>
            </w:r>
          </w:p>
        </w:tc>
        <w:tc>
          <w:tcPr>
            <w:tcW w:w="80" w:type="dxa"/>
            <w:vAlign w:val="bottom"/>
          </w:tcPr>
          <w:p>
            <w:pPr>
              <w:spacing w:after="0"/>
              <w:rPr>
                <w:sz w:val="24"/>
                <w:szCs w:val="24"/>
                <w:color w:val="auto"/>
              </w:rPr>
            </w:pP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301</w:t>
            </w:r>
          </w:p>
        </w:tc>
        <w:tc>
          <w:tcPr>
            <w:tcW w:w="80" w:type="dxa"/>
            <w:vAlign w:val="bottom"/>
          </w:tcPr>
          <w:p>
            <w:pPr>
              <w:spacing w:after="0"/>
              <w:rPr>
                <w:sz w:val="24"/>
                <w:szCs w:val="24"/>
                <w:color w:val="auto"/>
              </w:rPr>
            </w:pP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10,831</w:t>
            </w:r>
          </w:p>
        </w:tc>
        <w:tc>
          <w:tcPr>
            <w:tcW w:w="100" w:type="dxa"/>
            <w:vAlign w:val="bottom"/>
          </w:tcPr>
          <w:p>
            <w:pPr>
              <w:spacing w:after="0"/>
              <w:rPr>
                <w:sz w:val="24"/>
                <w:szCs w:val="24"/>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1,100</w:t>
            </w:r>
          </w:p>
        </w:tc>
      </w:tr>
      <w:tr>
        <w:trPr>
          <w:trHeight w:val="464"/>
        </w:trPr>
        <w:tc>
          <w:tcPr>
            <w:tcW w:w="720" w:type="dxa"/>
            <w:vAlign w:val="bottom"/>
          </w:tcPr>
          <w:p>
            <w:pPr>
              <w:jc w:val="right"/>
              <w:ind w:right="74"/>
              <w:spacing w:after="0"/>
              <w:rPr>
                <w:sz w:val="20"/>
                <w:szCs w:val="20"/>
                <w:color w:val="auto"/>
              </w:rPr>
            </w:pPr>
            <w:r>
              <w:rPr>
                <w:rFonts w:ascii="Arial" w:cs="Arial" w:eastAsia="Arial" w:hAnsi="Arial"/>
                <w:sz w:val="17"/>
                <w:szCs w:val="17"/>
                <w:color w:val="auto"/>
              </w:rPr>
              <w:t>33,784</w:t>
            </w: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1,920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54,793</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8,341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88,577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10,261</w:t>
            </w:r>
          </w:p>
        </w:tc>
      </w:tr>
      <w:tr>
        <w:trPr>
          <w:trHeight w:val="464"/>
        </w:trPr>
        <w:tc>
          <w:tcPr>
            <w:tcW w:w="720" w:type="dxa"/>
            <w:vAlign w:val="bottom"/>
          </w:tcPr>
          <w:p>
            <w:pPr>
              <w:jc w:val="right"/>
              <w:ind w:right="74"/>
              <w:spacing w:after="0"/>
              <w:rPr>
                <w:sz w:val="20"/>
                <w:szCs w:val="20"/>
                <w:color w:val="auto"/>
              </w:rPr>
            </w:pPr>
            <w:r>
              <w:rPr>
                <w:rFonts w:ascii="Arial" w:cs="Arial" w:eastAsia="Arial" w:hAnsi="Arial"/>
                <w:sz w:val="17"/>
                <w:szCs w:val="17"/>
                <w:color w:val="auto"/>
              </w:rPr>
              <w:t>1,609</w:t>
            </w: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11,844</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1,521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13,453</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1,594</w:t>
            </w:r>
          </w:p>
        </w:tc>
      </w:tr>
      <w:tr>
        <w:trPr>
          <w:trHeight w:val="258"/>
        </w:trPr>
        <w:tc>
          <w:tcPr>
            <w:tcW w:w="720" w:type="dxa"/>
            <w:vAlign w:val="bottom"/>
          </w:tcPr>
          <w:p>
            <w:pPr>
              <w:jc w:val="right"/>
              <w:ind w:right="74"/>
              <w:spacing w:after="0"/>
              <w:rPr>
                <w:sz w:val="20"/>
                <w:szCs w:val="20"/>
                <w:color w:val="auto"/>
              </w:rPr>
            </w:pPr>
            <w:r>
              <w:rPr>
                <w:rFonts w:ascii="Arial" w:cs="Arial" w:eastAsia="Arial" w:hAnsi="Arial"/>
                <w:sz w:val="17"/>
                <w:szCs w:val="17"/>
                <w:color w:val="auto"/>
              </w:rPr>
              <w:t>39,954</w:t>
            </w: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2,582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53,346</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6,014</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93,300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8,596</w:t>
            </w:r>
          </w:p>
        </w:tc>
      </w:tr>
      <w:tr>
        <w:trPr>
          <w:trHeight w:val="258"/>
        </w:trPr>
        <w:tc>
          <w:tcPr>
            <w:tcW w:w="720" w:type="dxa"/>
            <w:vAlign w:val="bottom"/>
          </w:tcPr>
          <w:p>
            <w:pPr>
              <w:jc w:val="right"/>
              <w:ind w:right="74"/>
              <w:spacing w:after="0"/>
              <w:rPr>
                <w:sz w:val="20"/>
                <w:szCs w:val="20"/>
                <w:color w:val="auto"/>
              </w:rPr>
            </w:pPr>
            <w:r>
              <w:rPr>
                <w:rFonts w:ascii="Arial" w:cs="Arial" w:eastAsia="Arial" w:hAnsi="Arial"/>
                <w:sz w:val="17"/>
                <w:szCs w:val="17"/>
                <w:color w:val="auto"/>
                <w:w w:val="87"/>
              </w:rPr>
              <w:t>110,859</w:t>
            </w: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2,657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83,802</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3,373</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194,661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6,030</w:t>
            </w:r>
          </w:p>
        </w:tc>
      </w:tr>
      <w:tr>
        <w:trPr>
          <w:trHeight w:val="464"/>
        </w:trPr>
        <w:tc>
          <w:tcPr>
            <w:tcW w:w="720" w:type="dxa"/>
            <w:vAlign w:val="bottom"/>
          </w:tcPr>
          <w:p>
            <w:pPr>
              <w:jc w:val="right"/>
              <w:ind w:right="74"/>
              <w:spacing w:after="0"/>
              <w:rPr>
                <w:sz w:val="20"/>
                <w:szCs w:val="20"/>
                <w:color w:val="auto"/>
              </w:rPr>
            </w:pPr>
            <w:r>
              <w:rPr>
                <w:rFonts w:ascii="Arial" w:cs="Arial" w:eastAsia="Arial" w:hAnsi="Arial"/>
                <w:sz w:val="17"/>
                <w:szCs w:val="17"/>
                <w:color w:val="auto"/>
              </w:rPr>
              <w:t>56,455</w:t>
            </w: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10,216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231,705</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40,349</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288,160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50,565</w:t>
            </w:r>
          </w:p>
        </w:tc>
      </w:tr>
      <w:tr>
        <w:trPr>
          <w:trHeight w:val="258"/>
        </w:trPr>
        <w:tc>
          <w:tcPr>
            <w:tcW w:w="720" w:type="dxa"/>
            <w:vAlign w:val="bottom"/>
          </w:tcPr>
          <w:p>
            <w:pPr>
              <w:jc w:val="right"/>
              <w:ind w:right="74"/>
              <w:spacing w:after="0"/>
              <w:rPr>
                <w:sz w:val="20"/>
                <w:szCs w:val="20"/>
                <w:color w:val="auto"/>
              </w:rPr>
            </w:pPr>
            <w:r>
              <w:rPr>
                <w:rFonts w:ascii="Arial" w:cs="Arial" w:eastAsia="Arial" w:hAnsi="Arial"/>
                <w:sz w:val="17"/>
                <w:szCs w:val="17"/>
                <w:color w:val="auto"/>
              </w:rPr>
              <w:t>24,876</w:t>
            </w: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1,737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51,293</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7,414</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76,169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9,151</w:t>
            </w:r>
          </w:p>
        </w:tc>
      </w:tr>
      <w:tr>
        <w:trPr>
          <w:trHeight w:val="258"/>
        </w:trPr>
        <w:tc>
          <w:tcPr>
            <w:tcW w:w="72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931</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48</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931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13"/>
        </w:trPr>
        <w:tc>
          <w:tcPr>
            <w:tcW w:w="720" w:type="dxa"/>
            <w:vAlign w:val="bottom"/>
          </w:tcPr>
          <w:p>
            <w:pPr>
              <w:jc w:val="right"/>
              <w:ind w:right="74"/>
              <w:spacing w:after="0"/>
              <w:rPr>
                <w:sz w:val="20"/>
                <w:szCs w:val="20"/>
                <w:color w:val="auto"/>
              </w:rPr>
            </w:pPr>
            <w:r>
              <w:rPr>
                <w:rFonts w:ascii="Arial" w:cs="Arial" w:eastAsia="Arial" w:hAnsi="Arial"/>
                <w:sz w:val="17"/>
                <w:szCs w:val="17"/>
                <w:color w:val="auto"/>
                <w:w w:val="87"/>
              </w:rPr>
              <w:t>275,781</w:t>
            </w:r>
          </w:p>
        </w:tc>
        <w:tc>
          <w:tcPr>
            <w:tcW w:w="46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19,984</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490,301</w:t>
            </w:r>
          </w:p>
        </w:tc>
        <w:tc>
          <w:tcPr>
            <w:tcW w:w="8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67,361</w:t>
            </w: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766,082</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87,345</w:t>
            </w:r>
          </w:p>
        </w:tc>
      </w:tr>
      <w:tr>
        <w:trPr>
          <w:trHeight w:val="20"/>
        </w:trPr>
        <w:tc>
          <w:tcPr>
            <w:tcW w:w="7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-3593465</wp:posOffset>
            </wp:positionV>
            <wp:extent cx="7138670" cy="294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670" cy="29464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-3134995</wp:posOffset>
            </wp:positionV>
            <wp:extent cx="7138670" cy="163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-2676525</wp:posOffset>
            </wp:positionV>
            <wp:extent cx="7138670" cy="163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-2021205</wp:posOffset>
            </wp:positionV>
            <wp:extent cx="7138670" cy="139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-1718310</wp:posOffset>
            </wp:positionV>
            <wp:extent cx="7138670" cy="294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8670" cy="29464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-1129030</wp:posOffset>
            </wp:positionV>
            <wp:extent cx="7138670" cy="163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-801370</wp:posOffset>
            </wp:positionV>
            <wp:extent cx="7138670" cy="294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8670" cy="29464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-342900</wp:posOffset>
            </wp:positionV>
            <wp:extent cx="7138670" cy="3435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8670" cy="34353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-2348865</wp:posOffset>
            </wp:positionV>
            <wp:extent cx="7138670"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867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80" w:space="620"/>
            <w:col w:w="7840"/>
          </w:cols>
          <w:pgMar w:left="320" w:top="127" w:right="339" w:bottom="1440" w:gutter="0" w:footer="0" w:header="0"/>
          <w:type w:val="continuous"/>
        </w:sectPr>
      </w:pPr>
    </w:p>
    <w:p>
      <w:pPr>
        <w:spacing w:after="0" w:line="4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Securities AFS in unrealized loss positions are evaluated quarterly for impairment related to credit losses. For securities AFS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securities AFS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ACL is recorded, limited to the amount that the fair value of the security is less than its amortized cost basis. Any impairment that has not been recorded through an ACL is recognized in other comprehensive income (loss), net of applicable taxes. No ACL for securities AFS was needed at September 30, 2023 and December 31, 2022. Accrued interest receivable on securities AFS totaled $4.2 million and $4.7 million at September 30, 2023 and December 31, 2022,</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respectively, and is excluded from the estimate of credit losses and is included in accrued income and other assets in the Condensed Consolidated Statements of Financial Condition.</w:t>
      </w:r>
    </w:p>
    <w:p>
      <w:pPr>
        <w:spacing w:after="0" w:line="139"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U.S. agency, U.S. agency residential mortgage-backed and U.S. agency commercial mortgage-backed securities — at September 30, 2023, we had 33 U.S. agency, 175 U.S. agency residential mortgage-backed and 12 U.S. agency commercial mortgage-backed securities whose fair value is less than amortized cost. These securities are either explicitly or implicitly guaranteed by the U.S. government, are highly rated by major credit rating agencies, and have a long history of no credit losses. The unrealized losses are largely attributed to widening spreads to Treasury bonds and/or an increase in interest rates since acquisition.</w:t>
      </w:r>
    </w:p>
    <w:p>
      <w:pPr>
        <w:spacing w:after="0" w:line="11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Private label mortgage backed, other asset backed and corporate securities — at September 30, 2023, we had 89 private label mortgage backed, 112 other asset backed, and 80 corporate securities whose fair value is less than amortized cost. The unrealized losses are primarily due to credit spread widening and/or an increase in interest rates since acquisition.</w:t>
      </w:r>
    </w:p>
    <w:p>
      <w:pPr>
        <w:spacing w:after="0" w:line="13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Obligations of states and political subdivisions — at September 30, 2023, we had 334 municipal securities whose fair value is less than amortized cost. The unrealized losses are primarily due to an increase in interest rates since acquisition.</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Trust preferred securities — at September 30, 2023, we had one trust preferred security whose fair value is less than amortized cost. This trust preferred security is a single issue security issued by a trust subsidiary of a bank holding company. The pricing of trust preferred securities has suffered from credit spread widening. This security is rated by a major rating agency as investment grade.</w:t>
      </w:r>
    </w:p>
    <w:p>
      <w:pPr>
        <w:spacing w:after="0" w:line="13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September 30, 2023 management does not intend to liquidate any of the securities discussed above and it is more likely than not that we will not be required to sell these securities prior to recovery of these unrealized losses.</w:t>
      </w:r>
    </w:p>
    <w:p>
      <w:pPr>
        <w:spacing w:after="0" w:line="12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recorded no credit related charges in our Condensed Consolidated Statements of Operations related to securities AFS during the three and nine month periods ended September 30, 2023 and 2022, respectively.</w:t>
      </w:r>
    </w:p>
    <w:p>
      <w:pPr>
        <w:spacing w:after="0" w:line="13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ACL on securities HTM is a contra asset valuation account that is deducted from the carrying amount of securities HTM to present the net amount expected to be collected. Securities HTM are charged off against the ACL when deemed uncollectible. Adjustments to the ACL are reported in our Condensed Consolidated Statements of Operations in provision for credit losses. We measure expected credit losses on securities HTM on a collective basis by major security type with each type sharing similar risk characteristics, and we consider historical credit loss information that is adjusted for current conditions and reasonable and supportable forecasts. Accrued interest receivable on securities HTM totaled $1.9 million and $1.8 million at September 30, 2023 and December 31, 2022, respectively and is excluded from the estimate of credit losses and is included in accrued income and other assets in the Condensed Consolidated Statements of Financial Condition. With regard to U.S. Government-sponsored agency and mortgage-backed securities (residential and commercial), all these securities are issued by a U.S. government-sponsored entity and have an implicit or explicit government guarantee; therefore, no allowance for credit losses has been recorded for these securities. With regard to obligations of states and political subdivisions, private label-mortgage-backed, corporate and trust preferred securities HTM, we consider (1) issuer bond ratings, (2) long-term historical loss rates for given bond ratings, (3) the financial condition of the issuer, and (4) whether issuers continue to make timely principal and interest payments under the contractual terms of the securities. During the first quarter of 2023, one corporate security (Signature Bank) defaulted resulting in a $3.0 million provision for credit losses and a corresponding full charge-off. Despite this lone security loss, the long-term historical loss rates associated with securities having similar grades as those in our portfolio have been insignificant. Furthermore, as of September 30, 2023 and December 31, 2022, there were no past due principal and interest payments associated with these securities. At those same dates an allowance for credit losses of $155,000 and $168,000, respectively was recorded on non U.S. agency securities HTM based on applying the long-term historical credit loss rate, as published by Moody’s, for similarly rated securities.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a quarterly basis, we monitor the credit quality of securities HTM through the use of credit ratings. The carrying value of securities HTM aggregated by credit quality follow: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7"/>
                <w:szCs w:val="17"/>
                <w:color w:val="auto"/>
                <w:w w:val="94"/>
              </w:rPr>
              <w:t>Private</w:t>
            </w:r>
          </w:p>
        </w:tc>
        <w:tc>
          <w:tcPr>
            <w:tcW w:w="20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7"/>
                <w:szCs w:val="17"/>
                <w:color w:val="auto"/>
                <w:w w:val="94"/>
              </w:rPr>
              <w:t>Obligations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7"/>
                <w:szCs w:val="17"/>
                <w:color w:val="auto"/>
                <w:w w:val="91"/>
              </w:rPr>
              <w:t>Label</w:t>
            </w:r>
          </w:p>
        </w:tc>
        <w:tc>
          <w:tcPr>
            <w:tcW w:w="20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7"/>
                <w:szCs w:val="17"/>
                <w:color w:val="auto"/>
                <w:w w:val="89"/>
              </w:rPr>
              <w:t>of States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center"/>
              <w:ind w:right="194"/>
              <w:spacing w:after="0"/>
              <w:rPr>
                <w:sz w:val="20"/>
                <w:szCs w:val="20"/>
                <w:color w:val="auto"/>
              </w:rPr>
            </w:pPr>
            <w:r>
              <w:rPr>
                <w:rFonts w:ascii="Arial" w:cs="Arial" w:eastAsia="Arial" w:hAnsi="Arial"/>
                <w:sz w:val="17"/>
                <w:szCs w:val="17"/>
                <w:color w:val="auto"/>
                <w:w w:val="93"/>
              </w:rPr>
              <w:t>Carrying</w:t>
            </w: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7"/>
                <w:szCs w:val="17"/>
                <w:color w:val="auto"/>
                <w:w w:val="95"/>
              </w:rPr>
              <w:t>Mortgage-</w:t>
            </w:r>
          </w:p>
        </w:tc>
        <w:tc>
          <w:tcPr>
            <w:tcW w:w="20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7"/>
                <w:szCs w:val="17"/>
                <w:color w:val="auto"/>
                <w:w w:val="95"/>
              </w:rPr>
              <w:t>and Political</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7"/>
                <w:szCs w:val="17"/>
                <w:color w:val="auto"/>
                <w:w w:val="87"/>
              </w:rPr>
              <w:t>Trust</w:t>
            </w:r>
          </w:p>
        </w:tc>
        <w:tc>
          <w:tcPr>
            <w:tcW w:w="280" w:type="dxa"/>
            <w:vAlign w:val="bottom"/>
          </w:tcPr>
          <w:p>
            <w:pPr>
              <w:spacing w:after="0"/>
              <w:rPr>
                <w:sz w:val="17"/>
                <w:szCs w:val="17"/>
                <w:color w:val="auto"/>
              </w:rPr>
            </w:pPr>
          </w:p>
        </w:tc>
        <w:tc>
          <w:tcPr>
            <w:tcW w:w="1200" w:type="dxa"/>
            <w:vAlign w:val="bottom"/>
          </w:tcPr>
          <w:p>
            <w:pPr>
              <w:jc w:val="center"/>
              <w:ind w:right="194"/>
              <w:spacing w:after="0"/>
              <w:rPr>
                <w:sz w:val="20"/>
                <w:szCs w:val="20"/>
                <w:color w:val="auto"/>
              </w:rPr>
            </w:pPr>
            <w:r>
              <w:rPr>
                <w:rFonts w:ascii="Arial" w:cs="Arial" w:eastAsia="Arial" w:hAnsi="Arial"/>
                <w:sz w:val="17"/>
                <w:szCs w:val="17"/>
                <w:color w:val="auto"/>
                <w:w w:val="91"/>
              </w:rPr>
              <w:t>Value</w:t>
            </w:r>
          </w:p>
        </w:tc>
      </w:tr>
      <w:tr>
        <w:trPr>
          <w:trHeight w:val="244"/>
        </w:trPr>
        <w:tc>
          <w:tcPr>
            <w:tcW w:w="35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7"/>
                <w:szCs w:val="17"/>
                <w:color w:val="auto"/>
                <w:w w:val="88"/>
              </w:rPr>
              <w:t>Backed</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7"/>
                <w:szCs w:val="17"/>
                <w:color w:val="auto"/>
                <w:w w:val="92"/>
              </w:rPr>
              <w:t>Subdivisions</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7"/>
                <w:szCs w:val="17"/>
                <w:color w:val="auto"/>
                <w:w w:val="89"/>
              </w:rPr>
              <w:t>Corporate</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7"/>
                <w:szCs w:val="17"/>
                <w:color w:val="auto"/>
                <w:w w:val="90"/>
              </w:rPr>
              <w:t>Preferred</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194"/>
              <w:spacing w:after="0"/>
              <w:rPr>
                <w:sz w:val="20"/>
                <w:szCs w:val="20"/>
                <w:color w:val="auto"/>
              </w:rPr>
            </w:pPr>
            <w:r>
              <w:rPr>
                <w:rFonts w:ascii="Arial" w:cs="Arial" w:eastAsia="Arial" w:hAnsi="Arial"/>
                <w:sz w:val="17"/>
                <w:szCs w:val="17"/>
                <w:color w:val="auto"/>
                <w:w w:val="95"/>
              </w:rPr>
              <w:t>Total</w:t>
            </w:r>
          </w:p>
        </w:tc>
      </w:tr>
      <w:tr>
        <w:trPr>
          <w:trHeight w:val="212"/>
        </w:trPr>
        <w:tc>
          <w:tcPr>
            <w:tcW w:w="3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7"/>
                <w:szCs w:val="17"/>
                <w:color w:val="auto"/>
                <w:w w:val="90"/>
              </w:rPr>
              <w:t>(In thousands)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0"/>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September 30, 2023</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8"/>
        </w:trPr>
        <w:tc>
          <w:tcPr>
            <w:tcW w:w="3500" w:type="dxa"/>
            <w:vAlign w:val="bottom"/>
          </w:tcPr>
          <w:p>
            <w:pPr>
              <w:ind w:left="120"/>
              <w:spacing w:after="0"/>
              <w:rPr>
                <w:sz w:val="20"/>
                <w:szCs w:val="20"/>
                <w:color w:val="auto"/>
              </w:rPr>
            </w:pPr>
            <w:r>
              <w:rPr>
                <w:rFonts w:ascii="Arial" w:cs="Arial" w:eastAsia="Arial" w:hAnsi="Arial"/>
                <w:sz w:val="17"/>
                <w:szCs w:val="17"/>
                <w:color w:val="auto"/>
              </w:rPr>
              <w:t>Credit rating:</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0"/>
        </w:trPr>
        <w:tc>
          <w:tcPr>
            <w:tcW w:w="35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AAA</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36,665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43,951</w:t>
            </w:r>
          </w:p>
        </w:tc>
      </w:tr>
      <w:tr>
        <w:trPr>
          <w:trHeight w:val="218"/>
        </w:trPr>
        <w:tc>
          <w:tcPr>
            <w:tcW w:w="3500" w:type="dxa"/>
            <w:vAlign w:val="bottom"/>
          </w:tcPr>
          <w:p>
            <w:pPr>
              <w:ind w:left="280"/>
              <w:spacing w:after="0"/>
              <w:rPr>
                <w:sz w:val="20"/>
                <w:szCs w:val="20"/>
                <w:color w:val="auto"/>
              </w:rPr>
            </w:pPr>
            <w:r>
              <w:rPr>
                <w:rFonts w:ascii="Arial" w:cs="Arial" w:eastAsia="Arial" w:hAnsi="Arial"/>
                <w:sz w:val="17"/>
                <w:szCs w:val="17"/>
                <w:color w:val="auto"/>
              </w:rPr>
              <w:t>AA</w:t>
            </w: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102,378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102,378</w:t>
            </w:r>
          </w:p>
        </w:tc>
      </w:tr>
      <w:tr>
        <w:trPr>
          <w:trHeight w:val="220"/>
        </w:trPr>
        <w:tc>
          <w:tcPr>
            <w:tcW w:w="35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A</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10,874</w:t>
            </w:r>
          </w:p>
        </w:tc>
      </w:tr>
      <w:tr>
        <w:trPr>
          <w:trHeight w:val="218"/>
        </w:trPr>
        <w:tc>
          <w:tcPr>
            <w:tcW w:w="3500" w:type="dxa"/>
            <w:vAlign w:val="bottom"/>
          </w:tcPr>
          <w:p>
            <w:pPr>
              <w:ind w:left="280"/>
              <w:spacing w:after="0"/>
              <w:rPr>
                <w:sz w:val="20"/>
                <w:szCs w:val="20"/>
                <w:color w:val="auto"/>
              </w:rPr>
            </w:pPr>
            <w:r>
              <w:rPr>
                <w:rFonts w:ascii="Arial" w:cs="Arial" w:eastAsia="Arial" w:hAnsi="Arial"/>
                <w:sz w:val="17"/>
                <w:szCs w:val="17"/>
                <w:color w:val="auto"/>
              </w:rPr>
              <w:t>BBB</w:t>
            </w: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974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33,864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34,838</w:t>
            </w:r>
          </w:p>
        </w:tc>
      </w:tr>
      <w:tr>
        <w:trPr>
          <w:trHeight w:val="220"/>
        </w:trPr>
        <w:tc>
          <w:tcPr>
            <w:tcW w:w="35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BB</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1,938</w:t>
            </w:r>
          </w:p>
        </w:tc>
      </w:tr>
      <w:tr>
        <w:trPr>
          <w:trHeight w:val="218"/>
        </w:trPr>
        <w:tc>
          <w:tcPr>
            <w:tcW w:w="3500" w:type="dxa"/>
            <w:vAlign w:val="bottom"/>
          </w:tcPr>
          <w:p>
            <w:pPr>
              <w:ind w:left="280"/>
              <w:spacing w:after="0"/>
              <w:rPr>
                <w:sz w:val="20"/>
                <w:szCs w:val="20"/>
                <w:color w:val="auto"/>
              </w:rPr>
            </w:pPr>
            <w:r>
              <w:rPr>
                <w:rFonts w:ascii="Arial" w:cs="Arial" w:eastAsia="Arial" w:hAnsi="Arial"/>
                <w:sz w:val="17"/>
                <w:szCs w:val="17"/>
                <w:color w:val="auto"/>
              </w:rPr>
              <w:t>Non-rated</w:t>
            </w: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18,971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2,917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947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22,835</w:t>
            </w:r>
          </w:p>
        </w:tc>
      </w:tr>
      <w:tr>
        <w:trPr>
          <w:trHeight w:val="238"/>
        </w:trPr>
        <w:tc>
          <w:tcPr>
            <w:tcW w:w="350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Total</w:t>
            </w: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162,945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45,636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216,814</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December 31, 2022</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8"/>
        </w:trPr>
        <w:tc>
          <w:tcPr>
            <w:tcW w:w="3500" w:type="dxa"/>
            <w:vAlign w:val="bottom"/>
          </w:tcPr>
          <w:p>
            <w:pPr>
              <w:ind w:left="120"/>
              <w:spacing w:after="0"/>
              <w:rPr>
                <w:sz w:val="20"/>
                <w:szCs w:val="20"/>
                <w:color w:val="auto"/>
              </w:rPr>
            </w:pPr>
            <w:r>
              <w:rPr>
                <w:rFonts w:ascii="Arial" w:cs="Arial" w:eastAsia="Arial" w:hAnsi="Arial"/>
                <w:sz w:val="17"/>
                <w:szCs w:val="17"/>
                <w:color w:val="auto"/>
              </w:rPr>
              <w:t>Credit rating:</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0"/>
        </w:trPr>
        <w:tc>
          <w:tcPr>
            <w:tcW w:w="3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AAA</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32,876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40,118</w:t>
            </w:r>
          </w:p>
        </w:tc>
      </w:tr>
      <w:tr>
        <w:trPr>
          <w:trHeight w:val="218"/>
        </w:trPr>
        <w:tc>
          <w:tcPr>
            <w:tcW w:w="3500" w:type="dxa"/>
            <w:vAlign w:val="bottom"/>
          </w:tcPr>
          <w:p>
            <w:pPr>
              <w:ind w:left="220"/>
              <w:spacing w:after="0"/>
              <w:rPr>
                <w:sz w:val="20"/>
                <w:szCs w:val="20"/>
                <w:color w:val="auto"/>
              </w:rPr>
            </w:pPr>
            <w:r>
              <w:rPr>
                <w:rFonts w:ascii="Arial" w:cs="Arial" w:eastAsia="Arial" w:hAnsi="Arial"/>
                <w:sz w:val="17"/>
                <w:szCs w:val="17"/>
                <w:color w:val="auto"/>
              </w:rPr>
              <w:t>AA</w:t>
            </w: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110,033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110,033</w:t>
            </w:r>
          </w:p>
        </w:tc>
      </w:tr>
      <w:tr>
        <w:trPr>
          <w:trHeight w:val="220"/>
        </w:trPr>
        <w:tc>
          <w:tcPr>
            <w:tcW w:w="3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10,817</w:t>
            </w:r>
          </w:p>
        </w:tc>
      </w:tr>
      <w:tr>
        <w:trPr>
          <w:trHeight w:val="218"/>
        </w:trPr>
        <w:tc>
          <w:tcPr>
            <w:tcW w:w="3500" w:type="dxa"/>
            <w:vAlign w:val="bottom"/>
          </w:tcPr>
          <w:p>
            <w:pPr>
              <w:ind w:left="220"/>
              <w:spacing w:after="0"/>
              <w:rPr>
                <w:sz w:val="20"/>
                <w:szCs w:val="20"/>
                <w:color w:val="auto"/>
              </w:rPr>
            </w:pPr>
            <w:r>
              <w:rPr>
                <w:rFonts w:ascii="Arial" w:cs="Arial" w:eastAsia="Arial" w:hAnsi="Arial"/>
                <w:sz w:val="17"/>
                <w:szCs w:val="17"/>
                <w:color w:val="auto"/>
              </w:rPr>
              <w:t>BBB</w:t>
            </w: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1,167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38,621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39,788</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Non-rated</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20,141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23,980</w:t>
            </w:r>
          </w:p>
        </w:tc>
      </w:tr>
      <w:tr>
        <w:trPr>
          <w:trHeight w:val="213"/>
        </w:trPr>
        <w:tc>
          <w:tcPr>
            <w:tcW w:w="3500" w:type="dxa"/>
            <w:vAlign w:val="bottom"/>
          </w:tcPr>
          <w:p>
            <w:pPr>
              <w:ind w:left="320"/>
              <w:spacing w:after="0"/>
              <w:rPr>
                <w:sz w:val="20"/>
                <w:szCs w:val="20"/>
                <w:color w:val="auto"/>
              </w:rPr>
            </w:pPr>
            <w:r>
              <w:rPr>
                <w:rFonts w:ascii="Arial" w:cs="Arial" w:eastAsia="Arial" w:hAnsi="Arial"/>
                <w:sz w:val="17"/>
                <w:szCs w:val="17"/>
                <w:color w:val="auto"/>
              </w:rPr>
              <w:t>Total</w:t>
            </w: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7,242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168,134</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48,418</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942</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224,736</w:t>
            </w:r>
          </w:p>
        </w:tc>
      </w:tr>
      <w:tr>
        <w:trPr>
          <w:trHeight w:val="20"/>
        </w:trPr>
        <w:tc>
          <w:tcPr>
            <w:tcW w:w="3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841"/>
        </w:trPr>
        <w:tc>
          <w:tcPr>
            <w:tcW w:w="3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754"/>
              <w:spacing w:after="0"/>
              <w:rPr>
                <w:sz w:val="20"/>
                <w:szCs w:val="20"/>
                <w:color w:val="auto"/>
              </w:rPr>
            </w:pPr>
            <w:r>
              <w:rPr>
                <w:rFonts w:ascii="Arial" w:cs="Arial" w:eastAsia="Arial" w:hAnsi="Arial"/>
                <w:sz w:val="17"/>
                <w:szCs w:val="17"/>
                <w:color w:val="auto"/>
              </w:rPr>
              <w:t>13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0"/>
        </w:trPr>
        <w:tc>
          <w:tcPr>
            <w:tcW w:w="35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An analysis of the allowance for credit losses by security HTM type for the three months ended September 30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1180" w:type="dxa"/>
            <w:vAlign w:val="bottom"/>
          </w:tcPr>
          <w:p>
            <w:pPr>
              <w:jc w:val="center"/>
              <w:ind w:left="214"/>
              <w:spacing w:after="0"/>
              <w:rPr>
                <w:sz w:val="20"/>
                <w:szCs w:val="20"/>
                <w:color w:val="auto"/>
              </w:rPr>
            </w:pPr>
            <w:r>
              <w:rPr>
                <w:rFonts w:ascii="Arial" w:cs="Arial" w:eastAsia="Arial" w:hAnsi="Arial"/>
                <w:sz w:val="17"/>
                <w:szCs w:val="17"/>
                <w:color w:val="auto"/>
                <w:w w:val="90"/>
              </w:rPr>
              <w:t>Private</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Obligations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1180" w:type="dxa"/>
            <w:vAlign w:val="bottom"/>
          </w:tcPr>
          <w:p>
            <w:pPr>
              <w:jc w:val="center"/>
              <w:ind w:left="214"/>
              <w:spacing w:after="0"/>
              <w:rPr>
                <w:sz w:val="20"/>
                <w:szCs w:val="20"/>
                <w:color w:val="auto"/>
              </w:rPr>
            </w:pPr>
            <w:r>
              <w:rPr>
                <w:rFonts w:ascii="Arial" w:cs="Arial" w:eastAsia="Arial" w:hAnsi="Arial"/>
                <w:sz w:val="17"/>
                <w:szCs w:val="17"/>
                <w:color w:val="auto"/>
                <w:w w:val="96"/>
              </w:rPr>
              <w:t>Label</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7"/>
                <w:szCs w:val="17"/>
                <w:color w:val="auto"/>
                <w:w w:val="86"/>
              </w:rPr>
              <w:t>of States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1180" w:type="dxa"/>
            <w:vAlign w:val="bottom"/>
          </w:tcPr>
          <w:p>
            <w:pPr>
              <w:jc w:val="center"/>
              <w:ind w:left="214"/>
              <w:spacing w:after="0"/>
              <w:rPr>
                <w:sz w:val="20"/>
                <w:szCs w:val="20"/>
                <w:color w:val="auto"/>
              </w:rPr>
            </w:pPr>
            <w:r>
              <w:rPr>
                <w:rFonts w:ascii="Arial" w:cs="Arial" w:eastAsia="Arial" w:hAnsi="Arial"/>
                <w:sz w:val="17"/>
                <w:szCs w:val="17"/>
                <w:color w:val="auto"/>
                <w:w w:val="92"/>
              </w:rPr>
              <w:t>Mortgage-</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7"/>
                <w:szCs w:val="17"/>
                <w:color w:val="auto"/>
                <w:w w:val="93"/>
              </w:rPr>
              <w:t>and Political</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7"/>
                <w:szCs w:val="17"/>
                <w:color w:val="auto"/>
                <w:w w:val="92"/>
              </w:rPr>
              <w:t>Trust</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4"/>
        </w:trPr>
        <w:tc>
          <w:tcPr>
            <w:tcW w:w="3500" w:type="dxa"/>
            <w:vAlign w:val="bottom"/>
          </w:tcPr>
          <w:p>
            <w:pPr>
              <w:spacing w:after="0"/>
              <w:rPr>
                <w:sz w:val="21"/>
                <w:szCs w:val="21"/>
                <w:color w:val="auto"/>
              </w:rPr>
            </w:pPr>
          </w:p>
        </w:tc>
        <w:tc>
          <w:tcPr>
            <w:tcW w:w="1180" w:type="dxa"/>
            <w:vAlign w:val="bottom"/>
            <w:tcBorders>
              <w:bottom w:val="single" w:sz="8" w:color="auto"/>
            </w:tcBorders>
          </w:tcPr>
          <w:p>
            <w:pPr>
              <w:jc w:val="center"/>
              <w:ind w:left="214"/>
              <w:spacing w:after="0"/>
              <w:rPr>
                <w:sz w:val="20"/>
                <w:szCs w:val="20"/>
                <w:color w:val="auto"/>
              </w:rPr>
            </w:pPr>
            <w:r>
              <w:rPr>
                <w:rFonts w:ascii="Arial" w:cs="Arial" w:eastAsia="Arial" w:hAnsi="Arial"/>
                <w:sz w:val="17"/>
                <w:szCs w:val="17"/>
                <w:color w:val="auto"/>
                <w:w w:val="91"/>
              </w:rPr>
              <w:t>Backed</w:t>
            </w:r>
          </w:p>
        </w:tc>
        <w:tc>
          <w:tcPr>
            <w:tcW w:w="3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7"/>
                <w:szCs w:val="17"/>
                <w:color w:val="auto"/>
                <w:w w:val="94"/>
              </w:rPr>
              <w:t>Subdivisions</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7"/>
                <w:szCs w:val="17"/>
                <w:color w:val="auto"/>
                <w:w w:val="89"/>
              </w:rPr>
              <w:t>Corporate</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7"/>
                <w:szCs w:val="17"/>
                <w:color w:val="auto"/>
                <w:w w:val="90"/>
              </w:rPr>
              <w:t>Preferred</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Total</w:t>
            </w:r>
          </w:p>
        </w:tc>
      </w:tr>
      <w:tr>
        <w:trPr>
          <w:trHeight w:val="211"/>
        </w:trPr>
        <w:tc>
          <w:tcPr>
            <w:tcW w:w="3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7"/>
                <w:szCs w:val="17"/>
                <w:color w:val="auto"/>
                <w:w w:val="91"/>
              </w:rPr>
              <w:t>(In thousands)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0"/>
        </w:trPr>
        <w:tc>
          <w:tcPr>
            <w:tcW w:w="3500" w:type="dxa"/>
            <w:vAlign w:val="bottom"/>
          </w:tcPr>
          <w:p>
            <w:pPr>
              <w:ind w:left="20"/>
              <w:spacing w:after="0"/>
              <w:rPr>
                <w:sz w:val="20"/>
                <w:szCs w:val="20"/>
                <w:color w:val="auto"/>
              </w:rPr>
            </w:pPr>
            <w:r>
              <w:rPr>
                <w:rFonts w:ascii="Arial" w:cs="Arial" w:eastAsia="Arial" w:hAnsi="Arial"/>
                <w:sz w:val="17"/>
                <w:szCs w:val="17"/>
                <w:color w:val="auto"/>
              </w:rPr>
              <w:t>2023</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0"/>
        </w:trPr>
        <w:tc>
          <w:tcPr>
            <w:tcW w:w="3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Balance at beginning of period</w:t>
            </w:r>
          </w:p>
        </w:tc>
        <w:tc>
          <w:tcPr>
            <w:tcW w:w="1180" w:type="dxa"/>
            <w:vAlign w:val="bottom"/>
            <w:shd w:val="clear" w:color="auto" w:fill="CCEEFF"/>
          </w:tcPr>
          <w:p>
            <w:pPr>
              <w:jc w:val="right"/>
              <w:ind w:right="974"/>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r>
      <w:tr>
        <w:trPr>
          <w:trHeight w:val="230"/>
        </w:trPr>
        <w:tc>
          <w:tcPr>
            <w:tcW w:w="3500" w:type="dxa"/>
            <w:vAlign w:val="bottom"/>
          </w:tcPr>
          <w:p>
            <w:pPr>
              <w:ind w:left="220"/>
              <w:spacing w:after="0"/>
              <w:rPr>
                <w:sz w:val="20"/>
                <w:szCs w:val="20"/>
                <w:color w:val="auto"/>
              </w:rPr>
            </w:pPr>
            <w:r>
              <w:rPr>
                <w:rFonts w:ascii="Arial" w:cs="Arial" w:eastAsia="Arial" w:hAnsi="Arial"/>
                <w:sz w:val="17"/>
                <w:szCs w:val="17"/>
                <w:color w:val="auto"/>
              </w:rPr>
              <w:t>Additions (deductions)</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3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Provision for credit losses</w:t>
            </w:r>
          </w:p>
        </w:tc>
        <w:tc>
          <w:tcPr>
            <w:tcW w:w="118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57"/>
        </w:trPr>
        <w:tc>
          <w:tcPr>
            <w:tcW w:w="3500" w:type="dxa"/>
            <w:vAlign w:val="bottom"/>
          </w:tcPr>
          <w:p>
            <w:pPr>
              <w:ind w:left="320"/>
              <w:spacing w:after="0"/>
              <w:rPr>
                <w:sz w:val="20"/>
                <w:szCs w:val="20"/>
                <w:color w:val="auto"/>
              </w:rPr>
            </w:pPr>
            <w:r>
              <w:rPr>
                <w:rFonts w:ascii="Arial" w:cs="Arial" w:eastAsia="Arial" w:hAnsi="Arial"/>
                <w:sz w:val="17"/>
                <w:szCs w:val="17"/>
                <w:color w:val="auto"/>
              </w:rPr>
              <w:t>Recoveries credited to the allowance</w:t>
            </w:r>
          </w:p>
        </w:tc>
        <w:tc>
          <w:tcPr>
            <w:tcW w:w="1180" w:type="dxa"/>
            <w:vAlign w:val="bottom"/>
          </w:tcPr>
          <w:p>
            <w:pPr>
              <w:spacing w:after="0"/>
              <w:rPr>
                <w:sz w:val="22"/>
                <w:szCs w:val="22"/>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2"/>
                <w:szCs w:val="22"/>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3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Securities HTM charged against the</w:t>
            </w: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4"/>
        </w:trPr>
        <w:tc>
          <w:tcPr>
            <w:tcW w:w="35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allowance</w:t>
            </w:r>
          </w:p>
        </w:tc>
        <w:tc>
          <w:tcPr>
            <w:tcW w:w="11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3500" w:type="dxa"/>
            <w:vAlign w:val="bottom"/>
          </w:tcPr>
          <w:p>
            <w:pPr>
              <w:ind w:left="180"/>
              <w:spacing w:after="0"/>
              <w:rPr>
                <w:sz w:val="20"/>
                <w:szCs w:val="20"/>
                <w:color w:val="auto"/>
              </w:rPr>
            </w:pPr>
            <w:r>
              <w:rPr>
                <w:rFonts w:ascii="Arial" w:cs="Arial" w:eastAsia="Arial" w:hAnsi="Arial"/>
                <w:sz w:val="17"/>
                <w:szCs w:val="17"/>
                <w:color w:val="auto"/>
              </w:rPr>
              <w:t>Balance at end of period</w:t>
            </w:r>
          </w:p>
        </w:tc>
        <w:tc>
          <w:tcPr>
            <w:tcW w:w="1180" w:type="dxa"/>
            <w:vAlign w:val="bottom"/>
            <w:tcBorders>
              <w:top w:val="single" w:sz="8" w:color="auto"/>
              <w:bottom w:val="single" w:sz="8" w:color="auto"/>
            </w:tcBorders>
          </w:tcPr>
          <w:p>
            <w:pPr>
              <w:jc w:val="right"/>
              <w:ind w:right="974"/>
              <w:spacing w:after="0"/>
              <w:rPr>
                <w:sz w:val="20"/>
                <w:szCs w:val="20"/>
                <w:color w:val="auto"/>
              </w:rPr>
            </w:pPr>
            <w:r>
              <w:rPr>
                <w:rFonts w:ascii="Arial" w:cs="Arial" w:eastAsia="Arial" w:hAnsi="Arial"/>
                <w:sz w:val="17"/>
                <w:szCs w:val="17"/>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114</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155</w:t>
            </w: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4"/>
        </w:trPr>
        <w:tc>
          <w:tcPr>
            <w:tcW w:w="3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8"/>
        </w:trPr>
        <w:tc>
          <w:tcPr>
            <w:tcW w:w="3500" w:type="dxa"/>
            <w:vAlign w:val="bottom"/>
          </w:tcPr>
          <w:p>
            <w:pPr>
              <w:ind w:left="20"/>
              <w:spacing w:after="0"/>
              <w:rPr>
                <w:sz w:val="20"/>
                <w:szCs w:val="20"/>
                <w:color w:val="auto"/>
              </w:rPr>
            </w:pPr>
            <w:r>
              <w:rPr>
                <w:rFonts w:ascii="Arial" w:cs="Arial" w:eastAsia="Arial" w:hAnsi="Arial"/>
                <w:sz w:val="17"/>
                <w:szCs w:val="17"/>
                <w:color w:val="auto"/>
              </w:rPr>
              <w:t>2022</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0"/>
        </w:trPr>
        <w:tc>
          <w:tcPr>
            <w:tcW w:w="3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Balance at beginning of period</w:t>
            </w:r>
          </w:p>
        </w:tc>
        <w:tc>
          <w:tcPr>
            <w:tcW w:w="1180" w:type="dxa"/>
            <w:vAlign w:val="bottom"/>
            <w:shd w:val="clear" w:color="auto" w:fill="CCEEFF"/>
          </w:tcPr>
          <w:p>
            <w:pPr>
              <w:jc w:val="right"/>
              <w:ind w:right="974"/>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r>
      <w:tr>
        <w:trPr>
          <w:trHeight w:val="230"/>
        </w:trPr>
        <w:tc>
          <w:tcPr>
            <w:tcW w:w="3500" w:type="dxa"/>
            <w:vAlign w:val="bottom"/>
          </w:tcPr>
          <w:p>
            <w:pPr>
              <w:ind w:left="220"/>
              <w:spacing w:after="0"/>
              <w:rPr>
                <w:sz w:val="20"/>
                <w:szCs w:val="20"/>
                <w:color w:val="auto"/>
              </w:rPr>
            </w:pPr>
            <w:r>
              <w:rPr>
                <w:rFonts w:ascii="Arial" w:cs="Arial" w:eastAsia="Arial" w:hAnsi="Arial"/>
                <w:sz w:val="17"/>
                <w:szCs w:val="17"/>
                <w:color w:val="auto"/>
              </w:rPr>
              <w:t>Additions (deductions)</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3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Provision for credit losses</w:t>
            </w:r>
          </w:p>
        </w:tc>
        <w:tc>
          <w:tcPr>
            <w:tcW w:w="118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57"/>
        </w:trPr>
        <w:tc>
          <w:tcPr>
            <w:tcW w:w="3500" w:type="dxa"/>
            <w:vAlign w:val="bottom"/>
          </w:tcPr>
          <w:p>
            <w:pPr>
              <w:ind w:left="320"/>
              <w:spacing w:after="0"/>
              <w:rPr>
                <w:sz w:val="20"/>
                <w:szCs w:val="20"/>
                <w:color w:val="auto"/>
              </w:rPr>
            </w:pPr>
            <w:r>
              <w:rPr>
                <w:rFonts w:ascii="Arial" w:cs="Arial" w:eastAsia="Arial" w:hAnsi="Arial"/>
                <w:sz w:val="17"/>
                <w:szCs w:val="17"/>
                <w:color w:val="auto"/>
              </w:rPr>
              <w:t>Recoveries credited to the allowance</w:t>
            </w:r>
          </w:p>
        </w:tc>
        <w:tc>
          <w:tcPr>
            <w:tcW w:w="1180" w:type="dxa"/>
            <w:vAlign w:val="bottom"/>
          </w:tcPr>
          <w:p>
            <w:pPr>
              <w:spacing w:after="0"/>
              <w:rPr>
                <w:sz w:val="22"/>
                <w:szCs w:val="22"/>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2"/>
                <w:szCs w:val="22"/>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3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Securities HTM charged against the</w:t>
            </w: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4"/>
        </w:trPr>
        <w:tc>
          <w:tcPr>
            <w:tcW w:w="35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allowance</w:t>
            </w:r>
          </w:p>
        </w:tc>
        <w:tc>
          <w:tcPr>
            <w:tcW w:w="11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3500" w:type="dxa"/>
            <w:vAlign w:val="bottom"/>
          </w:tcPr>
          <w:p>
            <w:pPr>
              <w:ind w:left="180"/>
              <w:spacing w:after="0"/>
              <w:rPr>
                <w:sz w:val="20"/>
                <w:szCs w:val="20"/>
                <w:color w:val="auto"/>
              </w:rPr>
            </w:pPr>
            <w:r>
              <w:rPr>
                <w:rFonts w:ascii="Arial" w:cs="Arial" w:eastAsia="Arial" w:hAnsi="Arial"/>
                <w:sz w:val="17"/>
                <w:szCs w:val="17"/>
                <w:color w:val="auto"/>
              </w:rPr>
              <w:t>Balance at end of period</w:t>
            </w:r>
          </w:p>
        </w:tc>
        <w:tc>
          <w:tcPr>
            <w:tcW w:w="1180" w:type="dxa"/>
            <w:vAlign w:val="bottom"/>
            <w:tcBorders>
              <w:top w:val="single" w:sz="8" w:color="auto"/>
              <w:bottom w:val="single" w:sz="8" w:color="auto"/>
            </w:tcBorders>
          </w:tcPr>
          <w:p>
            <w:pPr>
              <w:jc w:val="right"/>
              <w:ind w:right="974"/>
              <w:spacing w:after="0"/>
              <w:rPr>
                <w:sz w:val="20"/>
                <w:szCs w:val="20"/>
                <w:color w:val="auto"/>
              </w:rPr>
            </w:pPr>
            <w:r>
              <w:rPr>
                <w:rFonts w:ascii="Arial" w:cs="Arial" w:eastAsia="Arial" w:hAnsi="Arial"/>
                <w:sz w:val="17"/>
                <w:szCs w:val="17"/>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123</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168</w:t>
            </w:r>
          </w:p>
        </w:tc>
      </w:tr>
      <w:tr>
        <w:trPr>
          <w:trHeight w:val="20"/>
        </w:trPr>
        <w:tc>
          <w:tcPr>
            <w:tcW w:w="35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41"/>
        </w:trPr>
        <w:tc>
          <w:tcPr>
            <w:tcW w:w="3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774"/>
              <w:spacing w:after="0"/>
              <w:rPr>
                <w:sz w:val="20"/>
                <w:szCs w:val="20"/>
                <w:color w:val="auto"/>
              </w:rPr>
            </w:pPr>
            <w:r>
              <w:rPr>
                <w:rFonts w:ascii="Arial" w:cs="Arial" w:eastAsia="Arial" w:hAnsi="Arial"/>
                <w:sz w:val="17"/>
                <w:szCs w:val="17"/>
                <w:color w:val="auto"/>
              </w:rPr>
              <w:t>14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0"/>
        </w:trPr>
        <w:tc>
          <w:tcPr>
            <w:tcW w:w="35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An analysis of the allowance for credit losses by security HTM type for the nine months ended September 30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1180" w:type="dxa"/>
            <w:vAlign w:val="bottom"/>
          </w:tcPr>
          <w:p>
            <w:pPr>
              <w:jc w:val="center"/>
              <w:ind w:left="214"/>
              <w:spacing w:after="0"/>
              <w:rPr>
                <w:sz w:val="20"/>
                <w:szCs w:val="20"/>
                <w:color w:val="auto"/>
              </w:rPr>
            </w:pPr>
            <w:r>
              <w:rPr>
                <w:rFonts w:ascii="Arial" w:cs="Arial" w:eastAsia="Arial" w:hAnsi="Arial"/>
                <w:sz w:val="17"/>
                <w:szCs w:val="17"/>
                <w:color w:val="auto"/>
                <w:w w:val="90"/>
              </w:rPr>
              <w:t>Private</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7"/>
                <w:szCs w:val="17"/>
                <w:color w:val="auto"/>
                <w:w w:val="94"/>
              </w:rPr>
              <w:t>Obligations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1180" w:type="dxa"/>
            <w:vAlign w:val="bottom"/>
          </w:tcPr>
          <w:p>
            <w:pPr>
              <w:jc w:val="center"/>
              <w:ind w:left="214"/>
              <w:spacing w:after="0"/>
              <w:rPr>
                <w:sz w:val="20"/>
                <w:szCs w:val="20"/>
                <w:color w:val="auto"/>
              </w:rPr>
            </w:pPr>
            <w:r>
              <w:rPr>
                <w:rFonts w:ascii="Arial" w:cs="Arial" w:eastAsia="Arial" w:hAnsi="Arial"/>
                <w:sz w:val="17"/>
                <w:szCs w:val="17"/>
                <w:color w:val="auto"/>
                <w:w w:val="96"/>
              </w:rPr>
              <w:t>Label</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7"/>
                <w:szCs w:val="17"/>
                <w:color w:val="auto"/>
                <w:w w:val="86"/>
              </w:rPr>
              <w:t>of States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1180" w:type="dxa"/>
            <w:vAlign w:val="bottom"/>
          </w:tcPr>
          <w:p>
            <w:pPr>
              <w:jc w:val="center"/>
              <w:ind w:left="214"/>
              <w:spacing w:after="0"/>
              <w:rPr>
                <w:sz w:val="20"/>
                <w:szCs w:val="20"/>
                <w:color w:val="auto"/>
              </w:rPr>
            </w:pPr>
            <w:r>
              <w:rPr>
                <w:rFonts w:ascii="Arial" w:cs="Arial" w:eastAsia="Arial" w:hAnsi="Arial"/>
                <w:sz w:val="17"/>
                <w:szCs w:val="17"/>
                <w:color w:val="auto"/>
                <w:w w:val="92"/>
              </w:rPr>
              <w:t>Mortgage-</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7"/>
                <w:szCs w:val="17"/>
                <w:color w:val="auto"/>
                <w:w w:val="93"/>
              </w:rPr>
              <w:t>and Political</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7"/>
                <w:szCs w:val="17"/>
                <w:color w:val="auto"/>
                <w:w w:val="92"/>
              </w:rPr>
              <w:t>Trust</w:t>
            </w: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44"/>
        </w:trPr>
        <w:tc>
          <w:tcPr>
            <w:tcW w:w="3500" w:type="dxa"/>
            <w:vAlign w:val="bottom"/>
          </w:tcPr>
          <w:p>
            <w:pPr>
              <w:spacing w:after="0"/>
              <w:rPr>
                <w:sz w:val="21"/>
                <w:szCs w:val="21"/>
                <w:color w:val="auto"/>
              </w:rPr>
            </w:pPr>
          </w:p>
        </w:tc>
        <w:tc>
          <w:tcPr>
            <w:tcW w:w="1180" w:type="dxa"/>
            <w:vAlign w:val="bottom"/>
            <w:tcBorders>
              <w:bottom w:val="single" w:sz="8" w:color="auto"/>
            </w:tcBorders>
          </w:tcPr>
          <w:p>
            <w:pPr>
              <w:jc w:val="center"/>
              <w:ind w:left="214"/>
              <w:spacing w:after="0"/>
              <w:rPr>
                <w:sz w:val="20"/>
                <w:szCs w:val="20"/>
                <w:color w:val="auto"/>
              </w:rPr>
            </w:pPr>
            <w:r>
              <w:rPr>
                <w:rFonts w:ascii="Arial" w:cs="Arial" w:eastAsia="Arial" w:hAnsi="Arial"/>
                <w:sz w:val="17"/>
                <w:szCs w:val="17"/>
                <w:color w:val="auto"/>
                <w:w w:val="91"/>
              </w:rPr>
              <w:t>Backed</w:t>
            </w:r>
          </w:p>
        </w:tc>
        <w:tc>
          <w:tcPr>
            <w:tcW w:w="3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7"/>
                <w:szCs w:val="17"/>
                <w:color w:val="auto"/>
                <w:w w:val="94"/>
              </w:rPr>
              <w:t>Subdivisions</w:t>
            </w: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7"/>
                <w:szCs w:val="17"/>
                <w:color w:val="auto"/>
                <w:w w:val="89"/>
              </w:rPr>
              <w:t>Corporate</w:t>
            </w: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7"/>
                <w:szCs w:val="17"/>
                <w:color w:val="auto"/>
                <w:w w:val="90"/>
              </w:rPr>
              <w:t>Preferred</w:t>
            </w: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414"/>
              <w:spacing w:after="0"/>
              <w:rPr>
                <w:sz w:val="20"/>
                <w:szCs w:val="20"/>
                <w:color w:val="auto"/>
              </w:rPr>
            </w:pPr>
            <w:r>
              <w:rPr>
                <w:rFonts w:ascii="Arial" w:cs="Arial" w:eastAsia="Arial" w:hAnsi="Arial"/>
                <w:sz w:val="17"/>
                <w:szCs w:val="17"/>
                <w:color w:val="auto"/>
                <w:w w:val="89"/>
              </w:rPr>
              <w:t>Total</w:t>
            </w:r>
          </w:p>
        </w:tc>
      </w:tr>
      <w:tr>
        <w:trPr>
          <w:trHeight w:val="211"/>
        </w:trPr>
        <w:tc>
          <w:tcPr>
            <w:tcW w:w="3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4"/>
          </w:tcPr>
          <w:p>
            <w:pPr>
              <w:jc w:val="center"/>
              <w:ind w:right="260"/>
              <w:spacing w:after="0"/>
              <w:rPr>
                <w:sz w:val="20"/>
                <w:szCs w:val="20"/>
                <w:color w:val="auto"/>
              </w:rPr>
            </w:pPr>
            <w:r>
              <w:rPr>
                <w:rFonts w:ascii="Arial" w:cs="Arial" w:eastAsia="Arial" w:hAnsi="Arial"/>
                <w:sz w:val="17"/>
                <w:szCs w:val="17"/>
                <w:color w:val="auto"/>
                <w:w w:val="91"/>
              </w:rPr>
              <w:t>(In thousands)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0"/>
        </w:trPr>
        <w:tc>
          <w:tcPr>
            <w:tcW w:w="3500" w:type="dxa"/>
            <w:vAlign w:val="bottom"/>
          </w:tcPr>
          <w:p>
            <w:pPr>
              <w:ind w:left="20"/>
              <w:spacing w:after="0"/>
              <w:rPr>
                <w:sz w:val="20"/>
                <w:szCs w:val="20"/>
                <w:color w:val="auto"/>
              </w:rPr>
            </w:pPr>
            <w:r>
              <w:rPr>
                <w:rFonts w:ascii="Arial" w:cs="Arial" w:eastAsia="Arial" w:hAnsi="Arial"/>
                <w:sz w:val="17"/>
                <w:szCs w:val="17"/>
                <w:color w:val="auto"/>
              </w:rPr>
              <w:t>2023</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0"/>
        </w:trPr>
        <w:tc>
          <w:tcPr>
            <w:tcW w:w="3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Balance at beginning of period</w:t>
            </w:r>
          </w:p>
        </w:tc>
        <w:tc>
          <w:tcPr>
            <w:tcW w:w="1180" w:type="dxa"/>
            <w:vAlign w:val="bottom"/>
            <w:shd w:val="clear" w:color="auto" w:fill="CCEEFF"/>
          </w:tcPr>
          <w:p>
            <w:pPr>
              <w:jc w:val="right"/>
              <w:ind w:right="974"/>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ind w:left="1060"/>
              <w:spacing w:after="0"/>
              <w:rPr>
                <w:sz w:val="20"/>
                <w:szCs w:val="20"/>
                <w:color w:val="auto"/>
              </w:rPr>
            </w:pPr>
            <w:r>
              <w:rPr>
                <w:rFonts w:ascii="Arial" w:cs="Arial" w:eastAsia="Arial" w:hAnsi="Arial"/>
                <w:sz w:val="17"/>
                <w:szCs w:val="17"/>
                <w:color w:val="auto"/>
                <w:w w:val="94"/>
              </w:rPr>
              <w:t>39</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8"/>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w:t>
            </w:r>
          </w:p>
        </w:tc>
      </w:tr>
      <w:tr>
        <w:trPr>
          <w:trHeight w:val="230"/>
        </w:trPr>
        <w:tc>
          <w:tcPr>
            <w:tcW w:w="3500" w:type="dxa"/>
            <w:vAlign w:val="bottom"/>
          </w:tcPr>
          <w:p>
            <w:pPr>
              <w:ind w:left="220"/>
              <w:spacing w:after="0"/>
              <w:rPr>
                <w:sz w:val="20"/>
                <w:szCs w:val="20"/>
                <w:color w:val="auto"/>
              </w:rPr>
            </w:pPr>
            <w:r>
              <w:rPr>
                <w:rFonts w:ascii="Arial" w:cs="Arial" w:eastAsia="Arial" w:hAnsi="Arial"/>
                <w:sz w:val="17"/>
                <w:szCs w:val="17"/>
                <w:color w:val="auto"/>
              </w:rPr>
              <w:t>Additions (deductions)</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3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Provision for credit losses</w:t>
            </w:r>
          </w:p>
        </w:tc>
        <w:tc>
          <w:tcPr>
            <w:tcW w:w="118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(6)</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2,991</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2,987</w:t>
            </w:r>
          </w:p>
        </w:tc>
      </w:tr>
      <w:tr>
        <w:trPr>
          <w:trHeight w:val="257"/>
        </w:trPr>
        <w:tc>
          <w:tcPr>
            <w:tcW w:w="3500" w:type="dxa"/>
            <w:vAlign w:val="bottom"/>
          </w:tcPr>
          <w:p>
            <w:pPr>
              <w:ind w:left="320"/>
              <w:spacing w:after="0"/>
              <w:rPr>
                <w:sz w:val="20"/>
                <w:szCs w:val="20"/>
                <w:color w:val="auto"/>
              </w:rPr>
            </w:pPr>
            <w:r>
              <w:rPr>
                <w:rFonts w:ascii="Arial" w:cs="Arial" w:eastAsia="Arial" w:hAnsi="Arial"/>
                <w:sz w:val="17"/>
                <w:szCs w:val="17"/>
                <w:color w:val="auto"/>
              </w:rPr>
              <w:t>Recoveries credited to the allowance</w:t>
            </w:r>
          </w:p>
        </w:tc>
        <w:tc>
          <w:tcPr>
            <w:tcW w:w="118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4"/>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2"/>
                <w:szCs w:val="22"/>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3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Securities HTM charged against the</w:t>
            </w: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4"/>
        </w:trPr>
        <w:tc>
          <w:tcPr>
            <w:tcW w:w="35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allowance</w:t>
            </w:r>
          </w:p>
        </w:tc>
        <w:tc>
          <w:tcPr>
            <w:tcW w:w="118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(3,000)</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gridSpan w:val="2"/>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(3,000)</w:t>
            </w:r>
          </w:p>
        </w:tc>
      </w:tr>
      <w:tr>
        <w:trPr>
          <w:trHeight w:val="213"/>
        </w:trPr>
        <w:tc>
          <w:tcPr>
            <w:tcW w:w="3500" w:type="dxa"/>
            <w:vAlign w:val="bottom"/>
          </w:tcPr>
          <w:p>
            <w:pPr>
              <w:ind w:left="180"/>
              <w:spacing w:after="0"/>
              <w:rPr>
                <w:sz w:val="20"/>
                <w:szCs w:val="20"/>
                <w:color w:val="auto"/>
              </w:rPr>
            </w:pPr>
            <w:r>
              <w:rPr>
                <w:rFonts w:ascii="Arial" w:cs="Arial" w:eastAsia="Arial" w:hAnsi="Arial"/>
                <w:sz w:val="17"/>
                <w:szCs w:val="17"/>
                <w:color w:val="auto"/>
              </w:rPr>
              <w:t>Balance at end of period</w:t>
            </w:r>
          </w:p>
        </w:tc>
        <w:tc>
          <w:tcPr>
            <w:tcW w:w="1180" w:type="dxa"/>
            <w:vAlign w:val="bottom"/>
          </w:tcPr>
          <w:p>
            <w:pPr>
              <w:jc w:val="right"/>
              <w:ind w:right="974"/>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4</w:t>
            </w: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ind w:left="1060"/>
              <w:spacing w:after="0"/>
              <w:rPr>
                <w:sz w:val="20"/>
                <w:szCs w:val="20"/>
                <w:color w:val="auto"/>
              </w:rPr>
            </w:pPr>
            <w:r>
              <w:rPr>
                <w:rFonts w:ascii="Arial" w:cs="Arial" w:eastAsia="Arial" w:hAnsi="Arial"/>
                <w:sz w:val="17"/>
                <w:szCs w:val="17"/>
                <w:color w:val="auto"/>
                <w:w w:val="94"/>
              </w:rPr>
              <w:t>33</w:t>
            </w:r>
          </w:p>
        </w:tc>
        <w:tc>
          <w:tcPr>
            <w:tcW w:w="4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114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jc w:val="right"/>
              <w:ind w:right="318"/>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155</w:t>
            </w: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8"/>
        </w:trPr>
        <w:tc>
          <w:tcPr>
            <w:tcW w:w="3500" w:type="dxa"/>
            <w:vAlign w:val="bottom"/>
          </w:tcPr>
          <w:p>
            <w:pPr>
              <w:ind w:left="20"/>
              <w:spacing w:after="0"/>
              <w:rPr>
                <w:sz w:val="20"/>
                <w:szCs w:val="20"/>
                <w:color w:val="auto"/>
              </w:rPr>
            </w:pPr>
            <w:r>
              <w:rPr>
                <w:rFonts w:ascii="Arial" w:cs="Arial" w:eastAsia="Arial" w:hAnsi="Arial"/>
                <w:sz w:val="17"/>
                <w:szCs w:val="17"/>
                <w:color w:val="auto"/>
              </w:rPr>
              <w:t>2022</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0"/>
        </w:trPr>
        <w:tc>
          <w:tcPr>
            <w:tcW w:w="3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Balance at beginning of period</w:t>
            </w:r>
          </w:p>
        </w:tc>
        <w:tc>
          <w:tcPr>
            <w:tcW w:w="1180" w:type="dxa"/>
            <w:vAlign w:val="bottom"/>
            <w:shd w:val="clear" w:color="auto" w:fill="CCEEFF"/>
          </w:tcPr>
          <w:p>
            <w:pPr>
              <w:jc w:val="right"/>
              <w:ind w:right="974"/>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ind w:right="318"/>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3500" w:type="dxa"/>
            <w:vAlign w:val="bottom"/>
          </w:tcPr>
          <w:p>
            <w:pPr>
              <w:ind w:left="220"/>
              <w:spacing w:after="0"/>
              <w:rPr>
                <w:sz w:val="20"/>
                <w:szCs w:val="20"/>
                <w:color w:val="auto"/>
              </w:rPr>
            </w:pPr>
            <w:r>
              <w:rPr>
                <w:rFonts w:ascii="Arial" w:cs="Arial" w:eastAsia="Arial" w:hAnsi="Arial"/>
                <w:sz w:val="17"/>
                <w:szCs w:val="17"/>
                <w:color w:val="auto"/>
              </w:rPr>
              <w:t>Additions (deductions)</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3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Provision for credit losses</w:t>
            </w:r>
          </w:p>
        </w:tc>
        <w:tc>
          <w:tcPr>
            <w:tcW w:w="118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ind w:left="1060"/>
              <w:spacing w:after="0"/>
              <w:rPr>
                <w:sz w:val="20"/>
                <w:szCs w:val="20"/>
                <w:color w:val="auto"/>
              </w:rPr>
            </w:pPr>
            <w:r>
              <w:rPr>
                <w:rFonts w:ascii="Arial" w:cs="Arial" w:eastAsia="Arial" w:hAnsi="Arial"/>
                <w:sz w:val="17"/>
                <w:szCs w:val="17"/>
                <w:color w:val="auto"/>
                <w:w w:val="94"/>
              </w:rPr>
              <w:t>39</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w:t>
            </w:r>
          </w:p>
        </w:tc>
      </w:tr>
      <w:tr>
        <w:trPr>
          <w:trHeight w:val="257"/>
        </w:trPr>
        <w:tc>
          <w:tcPr>
            <w:tcW w:w="3500" w:type="dxa"/>
            <w:vAlign w:val="bottom"/>
          </w:tcPr>
          <w:p>
            <w:pPr>
              <w:ind w:left="320"/>
              <w:spacing w:after="0"/>
              <w:rPr>
                <w:sz w:val="20"/>
                <w:szCs w:val="20"/>
                <w:color w:val="auto"/>
              </w:rPr>
            </w:pPr>
            <w:r>
              <w:rPr>
                <w:rFonts w:ascii="Arial" w:cs="Arial" w:eastAsia="Arial" w:hAnsi="Arial"/>
                <w:sz w:val="17"/>
                <w:szCs w:val="17"/>
                <w:color w:val="auto"/>
              </w:rPr>
              <w:t>Recoveries credited to the allowance</w:t>
            </w:r>
          </w:p>
        </w:tc>
        <w:tc>
          <w:tcPr>
            <w:tcW w:w="118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4"/>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2"/>
                <w:szCs w:val="22"/>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3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Securities HTM charged against the</w:t>
            </w: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4"/>
        </w:trPr>
        <w:tc>
          <w:tcPr>
            <w:tcW w:w="35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allowance</w:t>
            </w:r>
          </w:p>
        </w:tc>
        <w:tc>
          <w:tcPr>
            <w:tcW w:w="118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gridSpan w:val="2"/>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gridSpan w:val="2"/>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3500" w:type="dxa"/>
            <w:vAlign w:val="bottom"/>
          </w:tcPr>
          <w:p>
            <w:pPr>
              <w:ind w:left="180"/>
              <w:spacing w:after="0"/>
              <w:rPr>
                <w:sz w:val="20"/>
                <w:szCs w:val="20"/>
                <w:color w:val="auto"/>
              </w:rPr>
            </w:pPr>
            <w:r>
              <w:rPr>
                <w:rFonts w:ascii="Arial" w:cs="Arial" w:eastAsia="Arial" w:hAnsi="Arial"/>
                <w:sz w:val="17"/>
                <w:szCs w:val="17"/>
                <w:color w:val="auto"/>
              </w:rPr>
              <w:t>Balance at end of period</w:t>
            </w:r>
          </w:p>
        </w:tc>
        <w:tc>
          <w:tcPr>
            <w:tcW w:w="1180" w:type="dxa"/>
            <w:vAlign w:val="bottom"/>
            <w:tcBorders>
              <w:bottom w:val="single" w:sz="8" w:color="auto"/>
            </w:tcBorders>
          </w:tcPr>
          <w:p>
            <w:pPr>
              <w:jc w:val="right"/>
              <w:ind w:right="974"/>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80" w:type="dxa"/>
            <w:vAlign w:val="bottom"/>
            <w:gridSpan w:val="2"/>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ind w:left="1060"/>
              <w:spacing w:after="0"/>
              <w:rPr>
                <w:sz w:val="20"/>
                <w:szCs w:val="20"/>
                <w:color w:val="auto"/>
              </w:rPr>
            </w:pPr>
            <w:r>
              <w:rPr>
                <w:rFonts w:ascii="Arial" w:cs="Arial" w:eastAsia="Arial" w:hAnsi="Arial"/>
                <w:sz w:val="17"/>
                <w:szCs w:val="17"/>
                <w:color w:val="auto"/>
                <w:w w:val="94"/>
              </w:rPr>
              <w:t>39</w:t>
            </w:r>
          </w:p>
        </w:tc>
        <w:tc>
          <w:tcPr>
            <w:tcW w:w="40" w:type="dxa"/>
            <w:vAlign w:val="bottom"/>
            <w:tcBorders>
              <w:bottom w:val="single" w:sz="8" w:color="auto"/>
            </w:tcBorders>
          </w:tcPr>
          <w:p>
            <w:pPr>
              <w:spacing w:after="0"/>
              <w:rPr>
                <w:sz w:val="18"/>
                <w:szCs w:val="18"/>
                <w:color w:val="auto"/>
              </w:rPr>
            </w:pPr>
          </w:p>
        </w:tc>
        <w:tc>
          <w:tcPr>
            <w:tcW w:w="80" w:type="dxa"/>
            <w:vAlign w:val="bottom"/>
            <w:gridSpan w:val="2"/>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bottom w:val="single" w:sz="8" w:color="auto"/>
            </w:tcBorders>
          </w:tcPr>
          <w:p>
            <w:pPr>
              <w:jc w:val="right"/>
              <w:ind w:right="318"/>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w:t>
            </w:r>
          </w:p>
        </w:tc>
      </w:tr>
      <w:tr>
        <w:trPr>
          <w:trHeight w:val="20"/>
        </w:trPr>
        <w:tc>
          <w:tcPr>
            <w:tcW w:w="35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54"/>
        </w:trPr>
        <w:tc>
          <w:tcPr>
            <w:tcW w:w="9780" w:type="dxa"/>
            <w:vAlign w:val="bottom"/>
            <w:gridSpan w:val="19"/>
          </w:tcPr>
          <w:p>
            <w:pPr>
              <w:spacing w:after="0"/>
              <w:rPr>
                <w:sz w:val="20"/>
                <w:szCs w:val="20"/>
                <w:color w:val="auto"/>
              </w:rPr>
            </w:pPr>
            <w:r>
              <w:rPr>
                <w:rFonts w:ascii="Arial" w:cs="Arial" w:eastAsia="Arial" w:hAnsi="Arial"/>
                <w:sz w:val="17"/>
                <w:szCs w:val="17"/>
                <w:color w:val="auto"/>
              </w:rPr>
              <w:t>The amortized cost and fair value of securities AFS and securities HTM at September 30, 2023, by contractual maturity, follow:</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13"/>
        </w:trPr>
        <w:tc>
          <w:tcPr>
            <w:tcW w:w="3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right"/>
              <w:ind w:right="934"/>
              <w:spacing w:after="0"/>
              <w:rPr>
                <w:sz w:val="20"/>
                <w:szCs w:val="20"/>
                <w:color w:val="auto"/>
              </w:rPr>
            </w:pPr>
            <w:r>
              <w:rPr>
                <w:rFonts w:ascii="Arial" w:cs="Arial" w:eastAsia="Arial" w:hAnsi="Arial"/>
                <w:sz w:val="17"/>
                <w:szCs w:val="17"/>
                <w:color w:val="auto"/>
              </w:rPr>
              <w:t>Securities AFS</w:t>
            </w:r>
          </w:p>
        </w:tc>
        <w:tc>
          <w:tcPr>
            <w:tcW w:w="80" w:type="dxa"/>
            <w:vAlign w:val="bottom"/>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Securities HTM</w:t>
            </w:r>
          </w:p>
        </w:tc>
        <w:tc>
          <w:tcPr>
            <w:tcW w:w="960" w:type="dxa"/>
            <w:vAlign w:val="bottom"/>
            <w:tcBorders>
              <w:bottom w:val="single" w:sz="8" w:color="auto"/>
            </w:tcBorders>
          </w:tcPr>
          <w:p>
            <w:pPr>
              <w:spacing w:after="0"/>
              <w:rPr>
                <w:sz w:val="24"/>
                <w:szCs w:val="24"/>
                <w:color w:val="auto"/>
              </w:rPr>
            </w:pPr>
          </w:p>
        </w:tc>
      </w:tr>
      <w:tr>
        <w:trPr>
          <w:trHeight w:val="162"/>
        </w:trPr>
        <w:tc>
          <w:tcPr>
            <w:tcW w:w="3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ind w:left="160"/>
              <w:spacing w:after="0" w:line="162" w:lineRule="exact"/>
              <w:rPr>
                <w:sz w:val="20"/>
                <w:szCs w:val="20"/>
                <w:color w:val="auto"/>
              </w:rPr>
            </w:pPr>
            <w:r>
              <w:rPr>
                <w:rFonts w:ascii="Arial" w:cs="Arial" w:eastAsia="Arial" w:hAnsi="Arial"/>
                <w:sz w:val="17"/>
                <w:szCs w:val="17"/>
                <w:color w:val="auto"/>
              </w:rPr>
              <w:t>Amortized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4"/>
          </w:tcPr>
          <w:p>
            <w:pPr>
              <w:jc w:val="center"/>
              <w:ind w:right="300"/>
              <w:spacing w:after="0" w:line="162" w:lineRule="exact"/>
              <w:rPr>
                <w:sz w:val="20"/>
                <w:szCs w:val="20"/>
                <w:color w:val="auto"/>
              </w:rPr>
            </w:pPr>
            <w:r>
              <w:rPr>
                <w:rFonts w:ascii="Arial" w:cs="Arial" w:eastAsia="Arial" w:hAnsi="Arial"/>
                <w:sz w:val="17"/>
                <w:szCs w:val="17"/>
                <w:color w:val="auto"/>
                <w:w w:val="95"/>
              </w:rPr>
              <w:t>Fair</w:t>
            </w:r>
          </w:p>
        </w:tc>
        <w:tc>
          <w:tcPr>
            <w:tcW w:w="240" w:type="dxa"/>
            <w:vAlign w:val="bottom"/>
          </w:tcPr>
          <w:p>
            <w:pPr>
              <w:spacing w:after="0"/>
              <w:rPr>
                <w:sz w:val="14"/>
                <w:szCs w:val="14"/>
                <w:color w:val="auto"/>
              </w:rPr>
            </w:pPr>
          </w:p>
        </w:tc>
        <w:tc>
          <w:tcPr>
            <w:tcW w:w="1340" w:type="dxa"/>
            <w:vAlign w:val="bottom"/>
            <w:gridSpan w:val="3"/>
          </w:tcPr>
          <w:p>
            <w:pPr>
              <w:jc w:val="center"/>
              <w:ind w:right="360"/>
              <w:spacing w:after="0" w:line="162" w:lineRule="exact"/>
              <w:rPr>
                <w:sz w:val="20"/>
                <w:szCs w:val="20"/>
                <w:color w:val="auto"/>
              </w:rPr>
            </w:pPr>
            <w:r>
              <w:rPr>
                <w:rFonts w:ascii="Arial" w:cs="Arial" w:eastAsia="Arial" w:hAnsi="Arial"/>
                <w:sz w:val="17"/>
                <w:szCs w:val="17"/>
                <w:color w:val="auto"/>
                <w:w w:val="96"/>
              </w:rPr>
              <w:t>Amortized</w:t>
            </w:r>
          </w:p>
        </w:tc>
        <w:tc>
          <w:tcPr>
            <w:tcW w:w="500" w:type="dxa"/>
            <w:vAlign w:val="bottom"/>
          </w:tcPr>
          <w:p>
            <w:pPr>
              <w:spacing w:after="0"/>
              <w:rPr>
                <w:sz w:val="14"/>
                <w:szCs w:val="14"/>
                <w:color w:val="auto"/>
              </w:rPr>
            </w:pPr>
          </w:p>
        </w:tc>
        <w:tc>
          <w:tcPr>
            <w:tcW w:w="960" w:type="dxa"/>
            <w:vAlign w:val="bottom"/>
          </w:tcPr>
          <w:p>
            <w:pPr>
              <w:jc w:val="center"/>
              <w:ind w:right="434"/>
              <w:spacing w:after="0" w:line="162" w:lineRule="exact"/>
              <w:rPr>
                <w:sz w:val="20"/>
                <w:szCs w:val="20"/>
                <w:color w:val="auto"/>
              </w:rPr>
            </w:pPr>
            <w:r>
              <w:rPr>
                <w:rFonts w:ascii="Arial" w:cs="Arial" w:eastAsia="Arial" w:hAnsi="Arial"/>
                <w:sz w:val="17"/>
                <w:szCs w:val="17"/>
                <w:color w:val="auto"/>
                <w:w w:val="95"/>
              </w:rPr>
              <w:t>Fair</w:t>
            </w:r>
          </w:p>
        </w:tc>
      </w:tr>
      <w:tr>
        <w:trPr>
          <w:trHeight w:val="224"/>
        </w:trPr>
        <w:tc>
          <w:tcPr>
            <w:tcW w:w="3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ind w:left="360"/>
              <w:spacing w:after="0"/>
              <w:rPr>
                <w:sz w:val="20"/>
                <w:szCs w:val="20"/>
                <w:color w:val="auto"/>
              </w:rPr>
            </w:pPr>
            <w:r>
              <w:rPr>
                <w:rFonts w:ascii="Arial" w:cs="Arial" w:eastAsia="Arial" w:hAnsi="Arial"/>
                <w:sz w:val="17"/>
                <w:szCs w:val="17"/>
                <w:color w:val="auto"/>
              </w:rPr>
              <w:t>Cost</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7"/>
                <w:szCs w:val="17"/>
                <w:color w:val="auto"/>
                <w:w w:val="91"/>
              </w:rPr>
              <w:t>Value</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7"/>
                <w:szCs w:val="17"/>
                <w:color w:val="auto"/>
                <w:w w:val="85"/>
              </w:rPr>
              <w:t>Cost</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434"/>
              <w:spacing w:after="0"/>
              <w:rPr>
                <w:sz w:val="20"/>
                <w:szCs w:val="20"/>
                <w:color w:val="auto"/>
              </w:rPr>
            </w:pPr>
            <w:r>
              <w:rPr>
                <w:rFonts w:ascii="Arial" w:cs="Arial" w:eastAsia="Arial" w:hAnsi="Arial"/>
                <w:sz w:val="17"/>
                <w:szCs w:val="17"/>
                <w:color w:val="auto"/>
                <w:w w:val="91"/>
              </w:rPr>
              <w:t>Value</w:t>
            </w:r>
          </w:p>
        </w:tc>
      </w:tr>
      <w:tr>
        <w:trPr>
          <w:trHeight w:val="218"/>
        </w:trPr>
        <w:tc>
          <w:tcPr>
            <w:tcW w:w="3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8"/>
          </w:tcPr>
          <w:p>
            <w:pPr>
              <w:ind w:left="840"/>
              <w:spacing w:after="0"/>
              <w:rPr>
                <w:sz w:val="20"/>
                <w:szCs w:val="20"/>
                <w:color w:val="auto"/>
              </w:rPr>
            </w:pPr>
            <w:r>
              <w:rPr>
                <w:rFonts w:ascii="Arial" w:cs="Arial" w:eastAsia="Arial" w:hAnsi="Arial"/>
                <w:sz w:val="17"/>
                <w:szCs w:val="17"/>
                <w:color w:val="auto"/>
              </w:rPr>
              <w:t>(In thousands)</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0"/>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Maturing within one year</w:t>
            </w: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9,213</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9,105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38"/>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5,164</w:t>
            </w:r>
          </w:p>
        </w:tc>
      </w:tr>
      <w:tr>
        <w:trPr>
          <w:trHeight w:val="218"/>
        </w:trPr>
        <w:tc>
          <w:tcPr>
            <w:tcW w:w="3500" w:type="dxa"/>
            <w:vAlign w:val="bottom"/>
          </w:tcPr>
          <w:p>
            <w:pPr>
              <w:ind w:left="20"/>
              <w:spacing w:after="0"/>
              <w:rPr>
                <w:sz w:val="20"/>
                <w:szCs w:val="20"/>
                <w:color w:val="auto"/>
              </w:rPr>
            </w:pPr>
            <w:r>
              <w:rPr>
                <w:rFonts w:ascii="Arial" w:cs="Arial" w:eastAsia="Arial" w:hAnsi="Arial"/>
                <w:sz w:val="17"/>
                <w:szCs w:val="17"/>
                <w:color w:val="auto"/>
              </w:rPr>
              <w:t>Maturing after one year but within five years</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150,302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134,803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53,499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47,992</w:t>
            </w:r>
          </w:p>
        </w:tc>
      </w:tr>
      <w:tr>
        <w:trPr>
          <w:trHeight w:val="220"/>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Maturing after five years but within ten years</w:t>
            </w: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73,062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61,767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102,566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84,807</w:t>
            </w:r>
          </w:p>
        </w:tc>
      </w:tr>
      <w:tr>
        <w:trPr>
          <w:trHeight w:val="218"/>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Maturing after ten years</w:t>
            </w:r>
          </w:p>
        </w:tc>
        <w:tc>
          <w:tcPr>
            <w:tcW w:w="11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200,646</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164,177</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84,997</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68,255</w:t>
            </w:r>
          </w:p>
        </w:tc>
      </w:tr>
      <w:tr>
        <w:trPr>
          <w:trHeight w:val="213"/>
        </w:trPr>
        <w:tc>
          <w:tcPr>
            <w:tcW w:w="3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433,223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369,852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246,264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206,218</w:t>
            </w:r>
          </w:p>
        </w:tc>
      </w:tr>
      <w:tr>
        <w:trPr>
          <w:trHeight w:val="218"/>
        </w:trPr>
        <w:tc>
          <w:tcPr>
            <w:tcW w:w="3500" w:type="dxa"/>
            <w:vAlign w:val="bottom"/>
          </w:tcPr>
          <w:p>
            <w:pPr>
              <w:ind w:left="20"/>
              <w:spacing w:after="0"/>
              <w:rPr>
                <w:sz w:val="20"/>
                <w:szCs w:val="20"/>
                <w:color w:val="auto"/>
              </w:rPr>
            </w:pPr>
            <w:r>
              <w:rPr>
                <w:rFonts w:ascii="Arial" w:cs="Arial" w:eastAsia="Arial" w:hAnsi="Arial"/>
                <w:sz w:val="17"/>
                <w:szCs w:val="17"/>
                <w:color w:val="auto"/>
              </w:rPr>
              <w:t>U.S. agency residential mortgage-backed</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92,717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80,682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120,855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92,165</w:t>
            </w:r>
          </w:p>
        </w:tc>
      </w:tr>
      <w:tr>
        <w:trPr>
          <w:trHeight w:val="220"/>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agency commercial mortgage-backed</w:t>
            </w: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13,891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12,157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4,153</w:t>
            </w:r>
          </w:p>
        </w:tc>
      </w:tr>
      <w:tr>
        <w:trPr>
          <w:trHeight w:val="218"/>
        </w:trPr>
        <w:tc>
          <w:tcPr>
            <w:tcW w:w="3500" w:type="dxa"/>
            <w:vAlign w:val="bottom"/>
          </w:tcPr>
          <w:p>
            <w:pPr>
              <w:ind w:left="20"/>
              <w:spacing w:after="0"/>
              <w:rPr>
                <w:sz w:val="20"/>
                <w:szCs w:val="20"/>
                <w:color w:val="auto"/>
              </w:rPr>
            </w:pPr>
            <w:r>
              <w:rPr>
                <w:rFonts w:ascii="Arial" w:cs="Arial" w:eastAsia="Arial" w:hAnsi="Arial"/>
                <w:sz w:val="17"/>
                <w:szCs w:val="17"/>
                <w:color w:val="auto"/>
              </w:rPr>
              <w:t>Private label mortgage-backed</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95,160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86,662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7,621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6,663</w:t>
            </w: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 backed</w:t>
            </w: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138,036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135,288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3500" w:type="dxa"/>
            <w:vAlign w:val="bottom"/>
          </w:tcPr>
          <w:p>
            <w:pPr>
              <w:ind w:left="180"/>
              <w:spacing w:after="0"/>
              <w:rPr>
                <w:sz w:val="20"/>
                <w:szCs w:val="20"/>
                <w:color w:val="auto"/>
              </w:rPr>
            </w:pPr>
            <w:r>
              <w:rPr>
                <w:rFonts w:ascii="Arial" w:cs="Arial" w:eastAsia="Arial" w:hAnsi="Arial"/>
                <w:sz w:val="17"/>
                <w:szCs w:val="17"/>
                <w:color w:val="auto"/>
              </w:rPr>
              <w:t>Total</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gridSpan w:val="3"/>
          </w:tcPr>
          <w:p>
            <w:pPr>
              <w:jc w:val="right"/>
              <w:ind w:right="34"/>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773,027</w:t>
            </w:r>
          </w:p>
        </w:tc>
        <w:tc>
          <w:tcPr>
            <w:tcW w:w="40" w:type="dxa"/>
            <w:vAlign w:val="bottom"/>
          </w:tcPr>
          <w:p>
            <w:pPr>
              <w:spacing w:after="0"/>
              <w:rPr>
                <w:sz w:val="18"/>
                <w:szCs w:val="18"/>
                <w:color w:val="auto"/>
              </w:rPr>
            </w:pPr>
          </w:p>
        </w:tc>
        <w:tc>
          <w:tcPr>
            <w:tcW w:w="260" w:type="dxa"/>
            <w:vAlign w:val="bottom"/>
            <w:gridSpan w:val="3"/>
          </w:tcPr>
          <w:p>
            <w:pPr>
              <w:jc w:val="right"/>
              <w:ind w:right="14"/>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684,641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379,453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jc w:val="right"/>
              <w:ind w:right="338"/>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309,199</w:t>
            </w:r>
          </w:p>
        </w:tc>
      </w:tr>
      <w:tr>
        <w:trPr>
          <w:trHeight w:val="20"/>
        </w:trPr>
        <w:tc>
          <w:tcPr>
            <w:tcW w:w="3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actual maturity may differ from the contractual maturity because issuers may have the right to call or prepay obligations with or without call or prepayment penalties.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Gains and losses realized on the sale of securities AFS are determined using the specific identification method and are recognized on a trade-date basis. A summary of proceeds from the sale of securities AFS and gains and losses for the nine month periods ending September 30,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9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ind w:left="1060"/>
              <w:spacing w:after="0"/>
              <w:rPr>
                <w:sz w:val="20"/>
                <w:szCs w:val="20"/>
                <w:color w:val="auto"/>
              </w:rPr>
            </w:pPr>
            <w:r>
              <w:rPr>
                <w:rFonts w:ascii="Arial" w:cs="Arial" w:eastAsia="Arial" w:hAnsi="Arial"/>
                <w:sz w:val="17"/>
                <w:szCs w:val="17"/>
                <w:color w:val="auto"/>
              </w:rPr>
              <w:t>Realized</w:t>
            </w:r>
          </w:p>
        </w:tc>
        <w:tc>
          <w:tcPr>
            <w:tcW w:w="1100" w:type="dxa"/>
            <w:vAlign w:val="bottom"/>
            <w:tcBorders>
              <w:bottom w:val="single" w:sz="8" w:color="auto"/>
            </w:tcBorders>
          </w:tcPr>
          <w:p>
            <w:pPr>
              <w:spacing w:after="0"/>
              <w:rPr>
                <w:sz w:val="18"/>
                <w:szCs w:val="18"/>
                <w:color w:val="auto"/>
              </w:rPr>
            </w:pPr>
          </w:p>
        </w:tc>
      </w:tr>
      <w:tr>
        <w:trPr>
          <w:trHeight w:val="213"/>
        </w:trPr>
        <w:tc>
          <w:tcPr>
            <w:tcW w:w="29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rPr>
              <w:t>Proceeds</w:t>
            </w: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center"/>
              <w:ind w:right="534"/>
              <w:spacing w:after="0"/>
              <w:rPr>
                <w:sz w:val="20"/>
                <w:szCs w:val="20"/>
                <w:color w:val="auto"/>
              </w:rPr>
            </w:pPr>
            <w:r>
              <w:rPr>
                <w:rFonts w:ascii="Arial" w:cs="Arial" w:eastAsia="Arial" w:hAnsi="Arial"/>
                <w:sz w:val="17"/>
                <w:szCs w:val="17"/>
                <w:color w:val="auto"/>
                <w:w w:val="89"/>
              </w:rPr>
              <w:t>Gains</w:t>
            </w: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rPr>
              <w:t>Losses</w:t>
            </w:r>
          </w:p>
        </w:tc>
      </w:tr>
      <w:tr>
        <w:trPr>
          <w:trHeight w:val="212"/>
        </w:trPr>
        <w:tc>
          <w:tcPr>
            <w:tcW w:w="29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center"/>
              <w:ind w:right="554"/>
              <w:spacing w:after="0"/>
              <w:rPr>
                <w:sz w:val="20"/>
                <w:szCs w:val="20"/>
                <w:color w:val="auto"/>
              </w:rPr>
            </w:pPr>
            <w:r>
              <w:rPr>
                <w:rFonts w:ascii="Arial" w:cs="Arial" w:eastAsia="Arial" w:hAnsi="Arial"/>
                <w:sz w:val="17"/>
                <w:szCs w:val="17"/>
                <w:color w:val="auto"/>
                <w:w w:val="90"/>
              </w:rPr>
              <w:t>(In thousands)</w:t>
            </w:r>
          </w:p>
        </w:tc>
        <w:tc>
          <w:tcPr>
            <w:tcW w:w="1100" w:type="dxa"/>
            <w:vAlign w:val="bottom"/>
          </w:tcPr>
          <w:p>
            <w:pPr>
              <w:spacing w:after="0"/>
              <w:rPr>
                <w:sz w:val="18"/>
                <w:szCs w:val="18"/>
                <w:color w:val="auto"/>
              </w:rPr>
            </w:pPr>
          </w:p>
        </w:tc>
      </w:tr>
      <w:tr>
        <w:trPr>
          <w:trHeight w:val="220"/>
        </w:trPr>
        <w:tc>
          <w:tcPr>
            <w:tcW w:w="2960" w:type="dxa"/>
            <w:vAlign w:val="bottom"/>
            <w:shd w:val="clear" w:color="auto" w:fill="CCEEFF"/>
          </w:tcPr>
          <w:p>
            <w:pPr>
              <w:jc w:val="right"/>
              <w:ind w:right="2514"/>
              <w:spacing w:after="0"/>
              <w:rPr>
                <w:sz w:val="20"/>
                <w:szCs w:val="20"/>
                <w:color w:val="auto"/>
              </w:rPr>
            </w:pPr>
            <w:r>
              <w:rPr>
                <w:rFonts w:ascii="Arial" w:cs="Arial" w:eastAsia="Arial" w:hAnsi="Arial"/>
                <w:sz w:val="17"/>
                <w:szCs w:val="17"/>
                <w:color w:val="auto"/>
                <w:w w:val="89"/>
              </w:rPr>
              <w:t>2023</w:t>
            </w:r>
          </w:p>
        </w:tc>
        <w:tc>
          <w:tcPr>
            <w:tcW w:w="3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278</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ind w:left="1080"/>
              <w:spacing w:after="0"/>
              <w:rPr>
                <w:sz w:val="20"/>
                <w:szCs w:val="20"/>
                <w:color w:val="auto"/>
              </w:rPr>
            </w:pPr>
            <w:r>
              <w:rPr>
                <w:rFonts w:ascii="Arial" w:cs="Arial" w:eastAsia="Arial" w:hAnsi="Arial"/>
                <w:sz w:val="17"/>
                <w:szCs w:val="17"/>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w:t>
            </w:r>
          </w:p>
        </w:tc>
      </w:tr>
      <w:tr>
        <w:trPr>
          <w:trHeight w:val="218"/>
        </w:trPr>
        <w:tc>
          <w:tcPr>
            <w:tcW w:w="2960" w:type="dxa"/>
            <w:vAlign w:val="bottom"/>
          </w:tcPr>
          <w:p>
            <w:pPr>
              <w:jc w:val="right"/>
              <w:ind w:right="2514"/>
              <w:spacing w:after="0"/>
              <w:rPr>
                <w:sz w:val="20"/>
                <w:szCs w:val="20"/>
                <w:color w:val="auto"/>
              </w:rPr>
            </w:pPr>
            <w:r>
              <w:rPr>
                <w:rFonts w:ascii="Arial" w:cs="Arial" w:eastAsia="Arial" w:hAnsi="Arial"/>
                <w:sz w:val="17"/>
                <w:szCs w:val="17"/>
                <w:color w:val="auto"/>
                <w:w w:val="89"/>
              </w:rPr>
              <w:t>2022</w:t>
            </w:r>
          </w:p>
        </w:tc>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54"/>
              <w:spacing w:after="0"/>
              <w:rPr>
                <w:sz w:val="20"/>
                <w:szCs w:val="20"/>
                <w:color w:val="auto"/>
              </w:rPr>
            </w:pPr>
            <w:r>
              <w:rPr>
                <w:rFonts w:ascii="Arial" w:cs="Arial" w:eastAsia="Arial" w:hAnsi="Arial"/>
                <w:sz w:val="17"/>
                <w:szCs w:val="17"/>
                <w:color w:val="auto"/>
              </w:rPr>
              <w:t>70,523</w:t>
            </w:r>
          </w:p>
        </w:tc>
        <w:tc>
          <w:tcPr>
            <w:tcW w:w="180" w:type="dxa"/>
            <w:vAlign w:val="bottom"/>
          </w:tcPr>
          <w:p>
            <w:pPr>
              <w:spacing w:after="0"/>
              <w:rPr>
                <w:sz w:val="18"/>
                <w:szCs w:val="18"/>
                <w:color w:val="auto"/>
              </w:rPr>
            </w:pPr>
          </w:p>
        </w:tc>
        <w:tc>
          <w:tcPr>
            <w:tcW w:w="1780" w:type="dxa"/>
            <w:vAlign w:val="bottom"/>
          </w:tcPr>
          <w:p>
            <w:pPr>
              <w:jc w:val="right"/>
              <w:ind w:right="454"/>
              <w:spacing w:after="0"/>
              <w:rPr>
                <w:sz w:val="20"/>
                <w:szCs w:val="20"/>
                <w:color w:val="auto"/>
              </w:rPr>
            </w:pPr>
            <w:r>
              <w:rPr>
                <w:rFonts w:ascii="Arial" w:cs="Arial" w:eastAsia="Arial" w:hAnsi="Arial"/>
                <w:sz w:val="17"/>
                <w:szCs w:val="17"/>
                <w:color w:val="auto"/>
              </w:rPr>
              <w:t>164</w:t>
            </w:r>
          </w:p>
        </w:tc>
        <w:tc>
          <w:tcPr>
            <w:tcW w:w="1100" w:type="dxa"/>
            <w:vAlign w:val="bottom"/>
          </w:tcPr>
          <w:p>
            <w:pPr>
              <w:jc w:val="right"/>
              <w:spacing w:after="0"/>
              <w:rPr>
                <w:sz w:val="20"/>
                <w:szCs w:val="20"/>
                <w:color w:val="auto"/>
              </w:rPr>
            </w:pPr>
            <w:r>
              <w:rPr>
                <w:rFonts w:ascii="Arial" w:cs="Arial" w:eastAsia="Arial" w:hAnsi="Arial"/>
                <w:sz w:val="17"/>
                <w:szCs w:val="17"/>
                <w:color w:val="auto"/>
              </w:rPr>
              <w:t>439</w:t>
            </w:r>
          </w:p>
        </w:tc>
      </w:tr>
      <w:tr>
        <w:trPr>
          <w:trHeight w:val="851"/>
        </w:trPr>
        <w:tc>
          <w:tcPr>
            <w:tcW w:w="2960" w:type="dxa"/>
            <w:vAlign w:val="bottom"/>
          </w:tcPr>
          <w:p>
            <w:pPr>
              <w:spacing w:after="0"/>
              <w:rPr>
                <w:sz w:val="24"/>
                <w:szCs w:val="24"/>
                <w:color w:val="auto"/>
              </w:rPr>
            </w:pPr>
          </w:p>
        </w:tc>
        <w:tc>
          <w:tcPr>
            <w:tcW w:w="3660" w:type="dxa"/>
            <w:vAlign w:val="bottom"/>
          </w:tcPr>
          <w:p>
            <w:pPr>
              <w:jc w:val="right"/>
              <w:ind w:right="834"/>
              <w:spacing w:after="0"/>
              <w:rPr>
                <w:sz w:val="20"/>
                <w:szCs w:val="20"/>
                <w:color w:val="auto"/>
              </w:rPr>
            </w:pPr>
            <w:r>
              <w:rPr>
                <w:rFonts w:ascii="Arial" w:cs="Arial" w:eastAsia="Arial" w:hAnsi="Arial"/>
                <w:sz w:val="17"/>
                <w:szCs w:val="17"/>
                <w:color w:val="auto"/>
              </w:rPr>
              <w:t>16</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0"/>
        </w:trPr>
        <w:tc>
          <w:tcPr>
            <w:tcW w:w="2960" w:type="dxa"/>
            <w:vAlign w:val="bottom"/>
            <w:tcBorders>
              <w:bottom w:val="single" w:sz="8" w:color="9A9A9A"/>
            </w:tcBorders>
          </w:tcPr>
          <w:p>
            <w:pPr>
              <w:spacing w:after="0"/>
              <w:rPr>
                <w:sz w:val="9"/>
                <w:szCs w:val="9"/>
                <w:color w:val="auto"/>
              </w:rPr>
            </w:pPr>
          </w:p>
        </w:tc>
        <w:tc>
          <w:tcPr>
            <w:tcW w:w="36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380" w:lineRule="exact"/>
        <w:rPr>
          <w:sz w:val="20"/>
          <w:szCs w:val="20"/>
          <w:color w:val="auto"/>
        </w:rPr>
      </w:pPr>
    </w:p>
    <w:p>
      <w:pPr>
        <w:ind w:left="300" w:hanging="297"/>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Loans</w:t>
      </w:r>
    </w:p>
    <w:p>
      <w:pPr>
        <w:spacing w:after="0" w:line="19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We estimate the ACL based on relevant available information from both internal and external sources, including historical loss trends, current conditions and forecasts, specific analysis of individual loans, and other relevant and appropriate factors. The allowance process is designed to provide for expected future losses based on our reasonable and supportable (“R&amp;S”) forecast as of the reporting date. Our ACL process is administered by our Risk Management group utilizing a third party software solution, with significant input and ultimate approval from our Executive Enterprise Risk Committee. Further, we have established a CECL Forecast Committee, which includes a cross discipline structure with membership from Executive Management, Risk Management, and Accounting, which approves ACL model assumptions each quarter. Our ACL is comprised of three principal elements: (i) specific analysis of individual loans identified during the review of the loan portfolio, (ii) pooled analysis of loans with similar risk characteristics based on historical experience, adjusted for current conditions, R&amp;S forecasts, and expected prepayments, and (iii) additional allowances based on subjective factors, including local and general economic business factors and trends, portfolio concentrations and changes in the size and/or the general terms of the loan portfolio.</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first ACL element (specific allocations) includes loans that do not share similar risk characteristics and are evaluated on an individual basis. We will typically evaluate on an individual basis loans that are on nonaccrual; commercial loans that have been modified resulting in a concession, for which the borrower is experiencing financial difficulties, and which are considered troubled loan modifications; and severely delinquent mortgage and installment loans. When we determine that foreclosure is probable or when repayment is expected to be provided substantially through the operation or sale of underlying collateral, expected credit losses are based on the fair value of the collateral at the reporting date, adjusted for estimated selling costs. For loans evaluated on an individual basis that are not determined to be collateral dependent, a discounted cash flow analysis is performed to determine expected credit losses.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second ACL element (pooled analysis) includes loans with similar risk characteristics, which are broken down by segment, class, and risk metric. The Bank’s primary segments of commercial, mortgage, and installment loans are further classified by other relevant attributes, such as collateral type, lien position, occupancy status, amortization method, and balance size. Commercial classes are additionally segmented by risk rating, and mortgage and installment loan classes by credit score tier, which are updated at least semi-annually.</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utilize a discounted cash flow (“DCF”) model to estimate expected future losses for pooled loans. Expected future cash flows are developed from payment schedules over the contractual term, adjusted for forecasted default (probability of default), loss, and prepayment assumptions. We are not required to develop forecasts over the full contractual term of the financial asset or group of financial assets. Rather, for periods beyond which we are able to make or obtain R&amp;S forecasts of expected credit losses, we revert to the long term average on a straight line or immediate basis, as determined by our CECL Forecast Committee, and which may vary depending on the economic outlook and uncertainty.</w:t>
      </w:r>
    </w:p>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DCF model for the mortgage and installment pooled loan segments includes using probability of default (“PD”) assumptions that are derived through regression analysis with forecasted US unemployment levels by credit score tier. We review a composite forecast of approximately 50 analysts as well as the Federal Open Market Committee (“FOMC”) projections in setting the unemployment forecast for the R&amp;S period. The current ACL utilizes a one year R&amp;S forecast followed by immediate reversion to the 30 year average unemployment rate. PD assumptions for the remaining segments are based primarily on historical rates by risk metric as defaults were not strongly correlated with any economic indicator. Loss given default (“LGD”) assumptions for the mortgage loan segment are based on a two year forecast followed by a two year straight line reversion period to the longer term average, while LGD rates for the remaining segments are the historical average for the entire period. Prepayment assumptions represent average rates per segment for a period determined by the CECL Forecast Committee and as calculated through the Bank’s Asset and Liability Management program.</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Pooled reserves for the commercial loan segment are calculated using the DCF model with assumptions generally based on historical averages by class and risk rating. Effective risk rating practices allow for strong predictability of defaults and losses over the portfolio’s expected shorter duration, relative to mortgage and installment loans. Our rating system is similar to those employed by state and federal banking regulators.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third ACL element (additional allocations based on subjective factors) is based on factors that cannot be associated with a specific credit or loan category and reflects our attempt to ensure that the overall ACL appropriately reflects a margin for the imprecision necessarily inherent in the estimates of expected credit losses. We adjust our quantitative model for certain qualitative factors to reflect the extent to which management expects current conditions and R&amp;S forecasts to differ from the conditions that existed for the period over which historical information was evaluated. The qualitative framework reflects changes related to relevant data, such as changes in asset quality trends, portfolio growth and</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38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composition, national and local economic factors, credit policy and administration and other factors not considered in the base quantitative model. We utilize a survey completed by business unit management throughout the Bank, as well as discussion with the CECL Forecast Committee to establish reserves under the qualitative framework.</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An analysis of the allowance for credit losses by portfolio segment for the three months ended September 30,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Arial" w:cs="Arial" w:eastAsia="Arial" w:hAnsi="Arial"/>
                <w:sz w:val="17"/>
                <w:szCs w:val="17"/>
                <w:color w:val="auto"/>
              </w:rPr>
              <w:t>Subjective</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1"/>
        </w:trPr>
        <w:tc>
          <w:tcPr>
            <w:tcW w:w="3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120"/>
              <w:spacing w:after="0"/>
              <w:rPr>
                <w:sz w:val="20"/>
                <w:szCs w:val="20"/>
                <w:color w:val="auto"/>
              </w:rPr>
            </w:pPr>
            <w:r>
              <w:rPr>
                <w:rFonts w:ascii="Arial" w:cs="Arial" w:eastAsia="Arial" w:hAnsi="Arial"/>
                <w:sz w:val="17"/>
                <w:szCs w:val="17"/>
                <w:color w:val="auto"/>
              </w:rPr>
              <w:t>Commercial</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color w:val="auto"/>
              </w:rPr>
              <w:t>Mortgage</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7"/>
                <w:szCs w:val="17"/>
                <w:color w:val="auto"/>
                <w:w w:val="94"/>
              </w:rPr>
              <w:t>Installment</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140"/>
              <w:spacing w:after="0"/>
              <w:rPr>
                <w:sz w:val="20"/>
                <w:szCs w:val="20"/>
                <w:color w:val="auto"/>
              </w:rPr>
            </w:pPr>
            <w:r>
              <w:rPr>
                <w:rFonts w:ascii="Arial" w:cs="Arial" w:eastAsia="Arial" w:hAnsi="Arial"/>
                <w:sz w:val="17"/>
                <w:szCs w:val="17"/>
                <w:color w:val="auto"/>
              </w:rPr>
              <w:t>Allocation</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Total</w:t>
            </w:r>
          </w:p>
        </w:tc>
      </w:tr>
      <w:tr>
        <w:trPr>
          <w:trHeight w:val="211"/>
        </w:trPr>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90"/>
              </w:rPr>
              <w:t>(In thousands)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0"/>
        </w:trPr>
        <w:tc>
          <w:tcPr>
            <w:tcW w:w="3500" w:type="dxa"/>
            <w:vAlign w:val="bottom"/>
          </w:tcPr>
          <w:p>
            <w:pPr>
              <w:ind w:left="20"/>
              <w:spacing w:after="0"/>
              <w:rPr>
                <w:sz w:val="20"/>
                <w:szCs w:val="20"/>
                <w:color w:val="auto"/>
              </w:rPr>
            </w:pPr>
            <w:r>
              <w:rPr>
                <w:rFonts w:ascii="Arial" w:cs="Arial" w:eastAsia="Arial" w:hAnsi="Arial"/>
                <w:sz w:val="17"/>
                <w:szCs w:val="17"/>
                <w:color w:val="auto"/>
              </w:rPr>
              <w:t>2023</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0"/>
        </w:trPr>
        <w:tc>
          <w:tcPr>
            <w:tcW w:w="3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Balance at beginning of period</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16,284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20,080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53,964</w:t>
            </w:r>
          </w:p>
        </w:tc>
      </w:tr>
      <w:tr>
        <w:trPr>
          <w:trHeight w:val="218"/>
        </w:trPr>
        <w:tc>
          <w:tcPr>
            <w:tcW w:w="3500" w:type="dxa"/>
            <w:vAlign w:val="bottom"/>
          </w:tcPr>
          <w:p>
            <w:pPr>
              <w:ind w:left="180"/>
              <w:spacing w:after="0"/>
              <w:rPr>
                <w:sz w:val="20"/>
                <w:szCs w:val="20"/>
                <w:color w:val="auto"/>
              </w:rPr>
            </w:pPr>
            <w:r>
              <w:rPr>
                <w:rFonts w:ascii="Arial" w:cs="Arial" w:eastAsia="Arial" w:hAnsi="Arial"/>
                <w:sz w:val="17"/>
                <w:szCs w:val="17"/>
                <w:color w:val="auto"/>
              </w:rPr>
              <w:t>Additions (deductions)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9"/>
        </w:trPr>
        <w:tc>
          <w:tcPr>
            <w:tcW w:w="3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Provision for credit losses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1,112</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1,355</w:t>
            </w:r>
          </w:p>
        </w:tc>
      </w:tr>
      <w:tr>
        <w:trPr>
          <w:trHeight w:val="257"/>
        </w:trPr>
        <w:tc>
          <w:tcPr>
            <w:tcW w:w="3500" w:type="dxa"/>
            <w:vAlign w:val="bottom"/>
          </w:tcPr>
          <w:p>
            <w:pPr>
              <w:ind w:left="320"/>
              <w:spacing w:after="0"/>
              <w:rPr>
                <w:sz w:val="20"/>
                <w:szCs w:val="20"/>
                <w:color w:val="auto"/>
              </w:rPr>
            </w:pPr>
            <w:r>
              <w:rPr>
                <w:rFonts w:ascii="Arial" w:cs="Arial" w:eastAsia="Arial" w:hAnsi="Arial"/>
                <w:sz w:val="17"/>
                <w:szCs w:val="17"/>
                <w:color w:val="auto"/>
              </w:rPr>
              <w:t>Recoveries credited to the allowance</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178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467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757</w:t>
            </w:r>
          </w:p>
        </w:tc>
      </w:tr>
      <w:tr>
        <w:trPr>
          <w:trHeight w:val="258"/>
        </w:trPr>
        <w:tc>
          <w:tcPr>
            <w:tcW w:w="3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Loans charged against the allowance</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(581)</w:t>
            </w:r>
          </w:p>
        </w:tc>
      </w:tr>
      <w:tr>
        <w:trPr>
          <w:trHeight w:val="213"/>
        </w:trPr>
        <w:tc>
          <w:tcPr>
            <w:tcW w:w="3500" w:type="dxa"/>
            <w:vAlign w:val="bottom"/>
          </w:tcPr>
          <w:p>
            <w:pPr>
              <w:ind w:left="180"/>
              <w:spacing w:after="0"/>
              <w:rPr>
                <w:sz w:val="20"/>
                <w:szCs w:val="20"/>
                <w:color w:val="auto"/>
              </w:rPr>
            </w:pPr>
            <w:r>
              <w:rPr>
                <w:rFonts w:ascii="Arial" w:cs="Arial" w:eastAsia="Arial" w:hAnsi="Arial"/>
                <w:sz w:val="17"/>
                <w:szCs w:val="17"/>
                <w:color w:val="auto"/>
              </w:rPr>
              <w:t>Balance at end of period</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17,550</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20,022</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4,183</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13,740</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55,495</w:t>
            </w: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4"/>
        </w:trPr>
        <w:tc>
          <w:tcPr>
            <w:tcW w:w="3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8"/>
        </w:trPr>
        <w:tc>
          <w:tcPr>
            <w:tcW w:w="3500" w:type="dxa"/>
            <w:vAlign w:val="bottom"/>
          </w:tcPr>
          <w:p>
            <w:pPr>
              <w:ind w:left="20"/>
              <w:spacing w:after="0"/>
              <w:rPr>
                <w:sz w:val="20"/>
                <w:szCs w:val="20"/>
                <w:color w:val="auto"/>
              </w:rPr>
            </w:pPr>
            <w:r>
              <w:rPr>
                <w:rFonts w:ascii="Arial" w:cs="Arial" w:eastAsia="Arial" w:hAnsi="Arial"/>
                <w:sz w:val="17"/>
                <w:szCs w:val="17"/>
                <w:color w:val="auto"/>
              </w:rPr>
              <w:t>2022</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0"/>
        </w:trPr>
        <w:tc>
          <w:tcPr>
            <w:tcW w:w="3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Balance at beginning of period</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11,059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20,313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47,883</w:t>
            </w:r>
          </w:p>
        </w:tc>
      </w:tr>
      <w:tr>
        <w:trPr>
          <w:trHeight w:val="218"/>
        </w:trPr>
        <w:tc>
          <w:tcPr>
            <w:tcW w:w="3500" w:type="dxa"/>
            <w:vAlign w:val="bottom"/>
          </w:tcPr>
          <w:p>
            <w:pPr>
              <w:ind w:left="180"/>
              <w:spacing w:after="0"/>
              <w:rPr>
                <w:sz w:val="20"/>
                <w:szCs w:val="20"/>
                <w:color w:val="auto"/>
              </w:rPr>
            </w:pPr>
            <w:r>
              <w:rPr>
                <w:rFonts w:ascii="Arial" w:cs="Arial" w:eastAsia="Arial" w:hAnsi="Arial"/>
                <w:sz w:val="17"/>
                <w:szCs w:val="17"/>
                <w:color w:val="auto"/>
              </w:rPr>
              <w:t>Additions (deductions)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9"/>
        </w:trPr>
        <w:tc>
          <w:tcPr>
            <w:tcW w:w="3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Provision for credit losses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1,184</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3,135</w:t>
            </w:r>
          </w:p>
        </w:tc>
      </w:tr>
      <w:tr>
        <w:trPr>
          <w:trHeight w:val="257"/>
        </w:trPr>
        <w:tc>
          <w:tcPr>
            <w:tcW w:w="3500" w:type="dxa"/>
            <w:vAlign w:val="bottom"/>
          </w:tcPr>
          <w:p>
            <w:pPr>
              <w:ind w:left="320"/>
              <w:spacing w:after="0"/>
              <w:rPr>
                <w:sz w:val="20"/>
                <w:szCs w:val="20"/>
                <w:color w:val="auto"/>
              </w:rPr>
            </w:pPr>
            <w:r>
              <w:rPr>
                <w:rFonts w:ascii="Arial" w:cs="Arial" w:eastAsia="Arial" w:hAnsi="Arial"/>
                <w:sz w:val="17"/>
                <w:szCs w:val="17"/>
                <w:color w:val="auto"/>
              </w:rPr>
              <w:t>Recoveries credited to the allowance</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202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450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730</w:t>
            </w:r>
          </w:p>
        </w:tc>
      </w:tr>
      <w:tr>
        <w:trPr>
          <w:trHeight w:val="258"/>
        </w:trPr>
        <w:tc>
          <w:tcPr>
            <w:tcW w:w="3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Loans charged against the allowance</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w:t>
            </w:r>
          </w:p>
        </w:tc>
      </w:tr>
      <w:tr>
        <w:trPr>
          <w:trHeight w:val="213"/>
        </w:trPr>
        <w:tc>
          <w:tcPr>
            <w:tcW w:w="3500" w:type="dxa"/>
            <w:vAlign w:val="bottom"/>
          </w:tcPr>
          <w:p>
            <w:pPr>
              <w:ind w:left="180"/>
              <w:spacing w:after="0"/>
              <w:rPr>
                <w:sz w:val="20"/>
                <w:szCs w:val="20"/>
                <w:color w:val="auto"/>
              </w:rPr>
            </w:pPr>
            <w:r>
              <w:rPr>
                <w:rFonts w:ascii="Arial" w:cs="Arial" w:eastAsia="Arial" w:hAnsi="Arial"/>
                <w:sz w:val="17"/>
                <w:szCs w:val="17"/>
                <w:color w:val="auto"/>
              </w:rPr>
              <w:t>Balance at end of period</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12,445</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21,610</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4,327</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12,760</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51,142</w:t>
            </w:r>
          </w:p>
        </w:tc>
      </w:tr>
      <w:tr>
        <w:trPr>
          <w:trHeight w:val="20"/>
        </w:trPr>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22"/>
        </w:trPr>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754"/>
              <w:spacing w:after="0"/>
              <w:rPr>
                <w:sz w:val="20"/>
                <w:szCs w:val="20"/>
                <w:color w:val="auto"/>
              </w:rPr>
            </w:pPr>
            <w:r>
              <w:rPr>
                <w:rFonts w:ascii="Arial" w:cs="Arial" w:eastAsia="Arial" w:hAnsi="Arial"/>
                <w:sz w:val="17"/>
                <w:szCs w:val="17"/>
                <w:color w:val="auto"/>
              </w:rPr>
              <w:t>18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0"/>
        </w:trPr>
        <w:tc>
          <w:tcPr>
            <w:tcW w:w="35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auto"/>
        </w:rPr>
        <w:t>An analysis of the ACL by portfolio segment for the nine months ended September 30,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Arial" w:cs="Arial" w:eastAsia="Arial" w:hAnsi="Arial"/>
                <w:sz w:val="17"/>
                <w:szCs w:val="17"/>
                <w:color w:val="auto"/>
              </w:rPr>
              <w:t>Subjective</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1"/>
        </w:trPr>
        <w:tc>
          <w:tcPr>
            <w:tcW w:w="3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120"/>
              <w:spacing w:after="0"/>
              <w:rPr>
                <w:sz w:val="20"/>
                <w:szCs w:val="20"/>
                <w:color w:val="auto"/>
              </w:rPr>
            </w:pPr>
            <w:r>
              <w:rPr>
                <w:rFonts w:ascii="Arial" w:cs="Arial" w:eastAsia="Arial" w:hAnsi="Arial"/>
                <w:sz w:val="17"/>
                <w:szCs w:val="17"/>
                <w:color w:val="auto"/>
              </w:rPr>
              <w:t>Commercial</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color w:val="auto"/>
              </w:rPr>
              <w:t>Mortgage</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7"/>
                <w:szCs w:val="17"/>
                <w:color w:val="auto"/>
                <w:w w:val="94"/>
              </w:rPr>
              <w:t>Installment</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140"/>
              <w:spacing w:after="0"/>
              <w:rPr>
                <w:sz w:val="20"/>
                <w:szCs w:val="20"/>
                <w:color w:val="auto"/>
              </w:rPr>
            </w:pPr>
            <w:r>
              <w:rPr>
                <w:rFonts w:ascii="Arial" w:cs="Arial" w:eastAsia="Arial" w:hAnsi="Arial"/>
                <w:sz w:val="17"/>
                <w:szCs w:val="17"/>
                <w:color w:val="auto"/>
              </w:rPr>
              <w:t>Allocation</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Total</w:t>
            </w:r>
          </w:p>
        </w:tc>
      </w:tr>
      <w:tr>
        <w:trPr>
          <w:trHeight w:val="211"/>
        </w:trPr>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color w:val="auto"/>
                <w:w w:val="90"/>
              </w:rPr>
              <w:t>(In thousands)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0"/>
        </w:trPr>
        <w:tc>
          <w:tcPr>
            <w:tcW w:w="3500" w:type="dxa"/>
            <w:vAlign w:val="bottom"/>
          </w:tcPr>
          <w:p>
            <w:pPr>
              <w:ind w:left="20"/>
              <w:spacing w:after="0"/>
              <w:rPr>
                <w:sz w:val="20"/>
                <w:szCs w:val="20"/>
                <w:color w:val="auto"/>
              </w:rPr>
            </w:pPr>
            <w:r>
              <w:rPr>
                <w:rFonts w:ascii="Arial" w:cs="Arial" w:eastAsia="Arial" w:hAnsi="Arial"/>
                <w:sz w:val="17"/>
                <w:szCs w:val="17"/>
                <w:color w:val="auto"/>
              </w:rPr>
              <w:t>2023</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9"/>
        </w:trPr>
        <w:tc>
          <w:tcPr>
            <w:tcW w:w="3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Balance at beginning of period</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13,817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21,633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4,290</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12,695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52,435</w:t>
            </w:r>
          </w:p>
        </w:tc>
      </w:tr>
      <w:tr>
        <w:trPr>
          <w:trHeight w:val="230"/>
        </w:trPr>
        <w:tc>
          <w:tcPr>
            <w:tcW w:w="3500" w:type="dxa"/>
            <w:vAlign w:val="bottom"/>
          </w:tcPr>
          <w:p>
            <w:pPr>
              <w:ind w:left="180"/>
              <w:spacing w:after="0"/>
              <w:rPr>
                <w:sz w:val="20"/>
                <w:szCs w:val="20"/>
                <w:color w:val="auto"/>
              </w:rPr>
            </w:pPr>
            <w:r>
              <w:rPr>
                <w:rFonts w:ascii="Arial" w:cs="Arial" w:eastAsia="Arial" w:hAnsi="Arial"/>
                <w:sz w:val="17"/>
                <w:szCs w:val="17"/>
                <w:color w:val="auto"/>
              </w:rPr>
              <w:t>Additions (deductions)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Provision for credit losses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4,350</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3,840</w:t>
            </w:r>
          </w:p>
        </w:tc>
      </w:tr>
      <w:tr>
        <w:trPr>
          <w:trHeight w:val="257"/>
        </w:trPr>
        <w:tc>
          <w:tcPr>
            <w:tcW w:w="3500" w:type="dxa"/>
            <w:vAlign w:val="bottom"/>
          </w:tcPr>
          <w:p>
            <w:pPr>
              <w:ind w:left="320"/>
              <w:spacing w:after="0"/>
              <w:rPr>
                <w:sz w:val="20"/>
                <w:szCs w:val="20"/>
                <w:color w:val="auto"/>
              </w:rPr>
            </w:pPr>
            <w:r>
              <w:rPr>
                <w:rFonts w:ascii="Arial" w:cs="Arial" w:eastAsia="Arial" w:hAnsi="Arial"/>
                <w:sz w:val="17"/>
                <w:szCs w:val="17"/>
                <w:color w:val="auto"/>
              </w:rPr>
              <w:t>Recoveries credited to the allowance</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436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255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1,391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2,082</w:t>
            </w:r>
          </w:p>
        </w:tc>
      </w:tr>
      <w:tr>
        <w:trPr>
          <w:trHeight w:val="259"/>
        </w:trPr>
        <w:tc>
          <w:tcPr>
            <w:tcW w:w="3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Loans charged against the allowance</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(1,778)</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(2,862)</w:t>
            </w:r>
          </w:p>
        </w:tc>
      </w:tr>
      <w:tr>
        <w:trPr>
          <w:trHeight w:val="211"/>
        </w:trPr>
        <w:tc>
          <w:tcPr>
            <w:tcW w:w="3500" w:type="dxa"/>
            <w:vAlign w:val="bottom"/>
          </w:tcPr>
          <w:p>
            <w:pPr>
              <w:ind w:left="180"/>
              <w:spacing w:after="0"/>
              <w:rPr>
                <w:sz w:val="20"/>
                <w:szCs w:val="20"/>
                <w:color w:val="auto"/>
              </w:rPr>
            </w:pPr>
            <w:r>
              <w:rPr>
                <w:rFonts w:ascii="Arial" w:cs="Arial" w:eastAsia="Arial" w:hAnsi="Arial"/>
                <w:sz w:val="17"/>
                <w:szCs w:val="17"/>
                <w:color w:val="auto"/>
              </w:rPr>
              <w:t>Balance at end of period</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17,550</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20,022</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4,183</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13,740</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55,495</w:t>
            </w: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2"/>
        </w:trPr>
        <w:tc>
          <w:tcPr>
            <w:tcW w:w="3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8"/>
        </w:trPr>
        <w:tc>
          <w:tcPr>
            <w:tcW w:w="3500" w:type="dxa"/>
            <w:vAlign w:val="bottom"/>
          </w:tcPr>
          <w:p>
            <w:pPr>
              <w:ind w:left="20"/>
              <w:spacing w:after="0"/>
              <w:rPr>
                <w:sz w:val="20"/>
                <w:szCs w:val="20"/>
                <w:color w:val="auto"/>
              </w:rPr>
            </w:pPr>
            <w:r>
              <w:rPr>
                <w:rFonts w:ascii="Arial" w:cs="Arial" w:eastAsia="Arial" w:hAnsi="Arial"/>
                <w:sz w:val="17"/>
                <w:szCs w:val="17"/>
                <w:color w:val="auto"/>
              </w:rPr>
              <w:t>2022</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9"/>
        </w:trPr>
        <w:tc>
          <w:tcPr>
            <w:tcW w:w="3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Balance at beginning of period</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11,519</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19,221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3,749</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12,763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47,252</w:t>
            </w:r>
          </w:p>
        </w:tc>
      </w:tr>
      <w:tr>
        <w:trPr>
          <w:trHeight w:val="230"/>
        </w:trPr>
        <w:tc>
          <w:tcPr>
            <w:tcW w:w="3500" w:type="dxa"/>
            <w:vAlign w:val="bottom"/>
          </w:tcPr>
          <w:p>
            <w:pPr>
              <w:ind w:left="180"/>
              <w:spacing w:after="0"/>
              <w:rPr>
                <w:sz w:val="20"/>
                <w:szCs w:val="20"/>
                <w:color w:val="auto"/>
              </w:rPr>
            </w:pPr>
            <w:r>
              <w:rPr>
                <w:rFonts w:ascii="Arial" w:cs="Arial" w:eastAsia="Arial" w:hAnsi="Arial"/>
                <w:sz w:val="17"/>
                <w:szCs w:val="17"/>
                <w:color w:val="auto"/>
              </w:rPr>
              <w:t>Additions (deductions)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Provision for credit losses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1,203</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3,783</w:t>
            </w:r>
          </w:p>
        </w:tc>
      </w:tr>
      <w:tr>
        <w:trPr>
          <w:trHeight w:val="257"/>
        </w:trPr>
        <w:tc>
          <w:tcPr>
            <w:tcW w:w="3500" w:type="dxa"/>
            <w:vAlign w:val="bottom"/>
          </w:tcPr>
          <w:p>
            <w:pPr>
              <w:ind w:left="320"/>
              <w:spacing w:after="0"/>
              <w:rPr>
                <w:sz w:val="20"/>
                <w:szCs w:val="20"/>
                <w:color w:val="auto"/>
              </w:rPr>
            </w:pPr>
            <w:r>
              <w:rPr>
                <w:rFonts w:ascii="Arial" w:cs="Arial" w:eastAsia="Arial" w:hAnsi="Arial"/>
                <w:sz w:val="17"/>
                <w:szCs w:val="17"/>
                <w:color w:val="auto"/>
              </w:rPr>
              <w:t>Recoveries credited to the allowance</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430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346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1,228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2,004</w:t>
            </w:r>
          </w:p>
        </w:tc>
      </w:tr>
      <w:tr>
        <w:trPr>
          <w:trHeight w:val="259"/>
        </w:trPr>
        <w:tc>
          <w:tcPr>
            <w:tcW w:w="3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Loans charged against the allowance</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(1,853)</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(1,897)</w:t>
            </w:r>
          </w:p>
        </w:tc>
      </w:tr>
      <w:tr>
        <w:trPr>
          <w:trHeight w:val="211"/>
        </w:trPr>
        <w:tc>
          <w:tcPr>
            <w:tcW w:w="3500" w:type="dxa"/>
            <w:vAlign w:val="bottom"/>
          </w:tcPr>
          <w:p>
            <w:pPr>
              <w:ind w:left="180"/>
              <w:spacing w:after="0"/>
              <w:rPr>
                <w:sz w:val="20"/>
                <w:szCs w:val="20"/>
                <w:color w:val="auto"/>
              </w:rPr>
            </w:pPr>
            <w:r>
              <w:rPr>
                <w:rFonts w:ascii="Arial" w:cs="Arial" w:eastAsia="Arial" w:hAnsi="Arial"/>
                <w:sz w:val="17"/>
                <w:szCs w:val="17"/>
                <w:color w:val="auto"/>
              </w:rPr>
              <w:t>Balance at end of period</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12,445</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21,610</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4,327</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12,760</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51,142</w:t>
            </w:r>
          </w:p>
        </w:tc>
      </w:tr>
      <w:tr>
        <w:trPr>
          <w:trHeight w:val="20"/>
        </w:trPr>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10"/>
        </w:trPr>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754"/>
              <w:spacing w:after="0"/>
              <w:rPr>
                <w:sz w:val="20"/>
                <w:szCs w:val="20"/>
                <w:color w:val="auto"/>
              </w:rPr>
            </w:pPr>
            <w:r>
              <w:rPr>
                <w:rFonts w:ascii="Arial" w:cs="Arial" w:eastAsia="Arial" w:hAnsi="Arial"/>
                <w:sz w:val="17"/>
                <w:szCs w:val="17"/>
                <w:color w:val="auto"/>
              </w:rPr>
              <w:t>19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0"/>
        </w:trPr>
        <w:tc>
          <w:tcPr>
            <w:tcW w:w="35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auto"/>
        </w:rPr>
        <w:t>Loans on non-accrual status and past due more than 90 days (“Non-performing Loans”) follow: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7"/>
                <w:szCs w:val="17"/>
                <w:color w:val="auto"/>
                <w:w w:val="97"/>
              </w:rPr>
              <w:t>Non-</w:t>
            </w:r>
          </w:p>
        </w:tc>
        <w:tc>
          <w:tcPr>
            <w:tcW w:w="24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7"/>
                <w:szCs w:val="17"/>
                <w:color w:val="auto"/>
                <w:w w:val="92"/>
              </w:rPr>
              <w:t>Non-</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7"/>
                <w:szCs w:val="17"/>
                <w:color w:val="auto"/>
                <w:w w:val="95"/>
              </w:rPr>
              <w:t>Accrual</w:t>
            </w:r>
          </w:p>
        </w:tc>
        <w:tc>
          <w:tcPr>
            <w:tcW w:w="24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7"/>
                <w:szCs w:val="17"/>
                <w:color w:val="auto"/>
                <w:w w:val="95"/>
              </w:rPr>
              <w:t>Accrual</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7"/>
                <w:szCs w:val="17"/>
                <w:color w:val="auto"/>
                <w:w w:val="96"/>
              </w:rPr>
              <w:t>with no</w:t>
            </w:r>
          </w:p>
        </w:tc>
        <w:tc>
          <w:tcPr>
            <w:tcW w:w="24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7"/>
                <w:szCs w:val="17"/>
                <w:color w:val="auto"/>
                <w:w w:val="92"/>
              </w:rPr>
              <w:t>with an</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7"/>
                <w:szCs w:val="17"/>
                <w:color w:val="auto"/>
                <w:w w:val="95"/>
              </w:rPr>
              <w:t>Allowance</w:t>
            </w:r>
          </w:p>
        </w:tc>
        <w:tc>
          <w:tcPr>
            <w:tcW w:w="24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7"/>
                <w:szCs w:val="17"/>
                <w:color w:val="auto"/>
                <w:w w:val="95"/>
              </w:rPr>
              <w:t>Allowance</w:t>
            </w:r>
          </w:p>
        </w:tc>
        <w:tc>
          <w:tcPr>
            <w:tcW w:w="18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7"/>
                <w:szCs w:val="17"/>
                <w:color w:val="auto"/>
                <w:w w:val="95"/>
              </w:rPr>
              <w:t>Total</w:t>
            </w: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color w:val="auto"/>
                <w:w w:val="90"/>
              </w:rPr>
              <w:t>90+ and</w:t>
            </w:r>
          </w:p>
        </w:tc>
        <w:tc>
          <w:tcPr>
            <w:tcW w:w="220" w:type="dxa"/>
            <w:vAlign w:val="bottom"/>
          </w:tcPr>
          <w:p>
            <w:pPr>
              <w:spacing w:after="0"/>
              <w:rPr>
                <w:sz w:val="17"/>
                <w:szCs w:val="17"/>
                <w:color w:val="auto"/>
              </w:rPr>
            </w:pPr>
          </w:p>
        </w:tc>
        <w:tc>
          <w:tcPr>
            <w:tcW w:w="1260" w:type="dxa"/>
            <w:vAlign w:val="bottom"/>
          </w:tcPr>
          <w:p>
            <w:pPr>
              <w:jc w:val="center"/>
              <w:ind w:right="114"/>
              <w:spacing w:after="0"/>
              <w:rPr>
                <w:sz w:val="20"/>
                <w:szCs w:val="20"/>
                <w:color w:val="auto"/>
              </w:rPr>
            </w:pPr>
            <w:r>
              <w:rPr>
                <w:rFonts w:ascii="Arial" w:cs="Arial" w:eastAsia="Arial" w:hAnsi="Arial"/>
                <w:sz w:val="17"/>
                <w:szCs w:val="17"/>
                <w:color w:val="auto"/>
                <w:w w:val="93"/>
              </w:rPr>
              <w:t>Total Non-</w:t>
            </w: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7"/>
                <w:szCs w:val="17"/>
                <w:color w:val="auto"/>
                <w:w w:val="97"/>
              </w:rPr>
              <w:t>for Credit</w:t>
            </w:r>
          </w:p>
        </w:tc>
        <w:tc>
          <w:tcPr>
            <w:tcW w:w="24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7"/>
                <w:szCs w:val="17"/>
                <w:color w:val="auto"/>
                <w:w w:val="94"/>
              </w:rPr>
              <w:t>for Credit</w:t>
            </w:r>
          </w:p>
        </w:tc>
        <w:tc>
          <w:tcPr>
            <w:tcW w:w="18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7"/>
                <w:szCs w:val="17"/>
                <w:color w:val="auto"/>
                <w:w w:val="97"/>
              </w:rPr>
              <w:t>Non-</w:t>
            </w: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color w:val="auto"/>
              </w:rPr>
              <w:t>Still</w:t>
            </w:r>
          </w:p>
        </w:tc>
        <w:tc>
          <w:tcPr>
            <w:tcW w:w="220" w:type="dxa"/>
            <w:vAlign w:val="bottom"/>
          </w:tcPr>
          <w:p>
            <w:pPr>
              <w:spacing w:after="0"/>
              <w:rPr>
                <w:sz w:val="17"/>
                <w:szCs w:val="17"/>
                <w:color w:val="auto"/>
              </w:rPr>
            </w:pPr>
          </w:p>
        </w:tc>
        <w:tc>
          <w:tcPr>
            <w:tcW w:w="1260" w:type="dxa"/>
            <w:vAlign w:val="bottom"/>
          </w:tcPr>
          <w:p>
            <w:pPr>
              <w:jc w:val="center"/>
              <w:ind w:right="114"/>
              <w:spacing w:after="0"/>
              <w:rPr>
                <w:sz w:val="20"/>
                <w:szCs w:val="20"/>
                <w:color w:val="auto"/>
              </w:rPr>
            </w:pPr>
            <w:r>
              <w:rPr>
                <w:rFonts w:ascii="Arial" w:cs="Arial" w:eastAsia="Arial" w:hAnsi="Arial"/>
                <w:sz w:val="17"/>
                <w:szCs w:val="17"/>
                <w:color w:val="auto"/>
                <w:w w:val="93"/>
              </w:rPr>
              <w:t>Performing</w:t>
            </w:r>
          </w:p>
        </w:tc>
      </w:tr>
      <w:tr>
        <w:trPr>
          <w:trHeight w:val="217"/>
        </w:trPr>
        <w:tc>
          <w:tcPr>
            <w:tcW w:w="3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7"/>
                <w:szCs w:val="17"/>
                <w:color w:val="auto"/>
                <w:w w:val="88"/>
              </w:rPr>
              <w:t>Loss</w:t>
            </w:r>
          </w:p>
        </w:tc>
        <w:tc>
          <w:tcPr>
            <w:tcW w:w="24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7"/>
                <w:szCs w:val="17"/>
                <w:color w:val="auto"/>
                <w:w w:val="94"/>
              </w:rPr>
              <w:t>Loss</w:t>
            </w: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7"/>
                <w:szCs w:val="17"/>
                <w:color w:val="auto"/>
                <w:w w:val="95"/>
              </w:rPr>
              <w:t>Accrual</w:t>
            </w:r>
          </w:p>
        </w:tc>
        <w:tc>
          <w:tcPr>
            <w:tcW w:w="26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color w:val="auto"/>
                <w:w w:val="96"/>
              </w:rPr>
              <w:t>Accruing</w:t>
            </w:r>
          </w:p>
        </w:tc>
        <w:tc>
          <w:tcPr>
            <w:tcW w:w="220" w:type="dxa"/>
            <w:vAlign w:val="bottom"/>
          </w:tcPr>
          <w:p>
            <w:pPr>
              <w:spacing w:after="0"/>
              <w:rPr>
                <w:sz w:val="18"/>
                <w:szCs w:val="18"/>
                <w:color w:val="auto"/>
              </w:rPr>
            </w:pPr>
          </w:p>
        </w:tc>
        <w:tc>
          <w:tcPr>
            <w:tcW w:w="1260" w:type="dxa"/>
            <w:vAlign w:val="bottom"/>
          </w:tcPr>
          <w:p>
            <w:pPr>
              <w:jc w:val="center"/>
              <w:ind w:right="114"/>
              <w:spacing w:after="0"/>
              <w:rPr>
                <w:sz w:val="20"/>
                <w:szCs w:val="20"/>
                <w:color w:val="auto"/>
              </w:rPr>
            </w:pPr>
            <w:r>
              <w:rPr>
                <w:rFonts w:ascii="Arial" w:cs="Arial" w:eastAsia="Arial" w:hAnsi="Arial"/>
                <w:sz w:val="17"/>
                <w:szCs w:val="17"/>
                <w:color w:val="auto"/>
                <w:w w:val="90"/>
              </w:rPr>
              <w:t>Loans</w:t>
            </w:r>
          </w:p>
        </w:tc>
      </w:tr>
      <w:tr>
        <w:trPr>
          <w:trHeight w:val="27"/>
        </w:trPr>
        <w:tc>
          <w:tcPr>
            <w:tcW w:w="3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0"/>
        </w:trPr>
        <w:tc>
          <w:tcPr>
            <w:tcW w:w="3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7"/>
                <w:szCs w:val="17"/>
                <w:color w:val="auto"/>
                <w:w w:val="91"/>
              </w:rPr>
              <w:t>(In thousands)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3500" w:type="dxa"/>
            <w:vAlign w:val="bottom"/>
          </w:tcPr>
          <w:p>
            <w:pPr>
              <w:ind w:left="20"/>
              <w:spacing w:after="0"/>
              <w:rPr>
                <w:sz w:val="20"/>
                <w:szCs w:val="20"/>
                <w:color w:val="auto"/>
              </w:rPr>
            </w:pPr>
            <w:r>
              <w:rPr>
                <w:rFonts w:ascii="Arial" w:cs="Arial" w:eastAsia="Arial" w:hAnsi="Arial"/>
                <w:sz w:val="17"/>
                <w:szCs w:val="17"/>
                <w:color w:val="auto"/>
              </w:rPr>
              <w:t>September 30, 2023</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0"/>
        </w:trPr>
        <w:tc>
          <w:tcPr>
            <w:tcW w:w="3500" w:type="dxa"/>
            <w:vAlign w:val="bottom"/>
          </w:tcPr>
          <w:p>
            <w:pPr>
              <w:ind w:left="180"/>
              <w:spacing w:after="0"/>
              <w:rPr>
                <w:sz w:val="20"/>
                <w:szCs w:val="20"/>
                <w:color w:val="auto"/>
              </w:rPr>
            </w:pPr>
            <w:r>
              <w:rPr>
                <w:rFonts w:ascii="Arial" w:cs="Arial" w:eastAsia="Arial" w:hAnsi="Arial"/>
                <w:sz w:val="17"/>
                <w:szCs w:val="17"/>
                <w:color w:val="auto"/>
              </w:rPr>
              <w:t>Commercial</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9"/>
        </w:trPr>
        <w:tc>
          <w:tcPr>
            <w:tcW w:w="3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Commercial and industrial (1)</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57"/>
        </w:trPr>
        <w:tc>
          <w:tcPr>
            <w:tcW w:w="3500" w:type="dxa"/>
            <w:vAlign w:val="bottom"/>
          </w:tcPr>
          <w:p>
            <w:pPr>
              <w:ind w:left="320"/>
              <w:spacing w:after="0"/>
              <w:rPr>
                <w:sz w:val="20"/>
                <w:szCs w:val="20"/>
                <w:color w:val="auto"/>
              </w:rPr>
            </w:pPr>
            <w:r>
              <w:rPr>
                <w:rFonts w:ascii="Arial" w:cs="Arial" w:eastAsia="Arial" w:hAnsi="Arial"/>
                <w:sz w:val="17"/>
                <w:szCs w:val="17"/>
                <w:color w:val="auto"/>
              </w:rPr>
              <w:t>Commercial real estate</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3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Mortgage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57"/>
        </w:trPr>
        <w:tc>
          <w:tcPr>
            <w:tcW w:w="3500" w:type="dxa"/>
            <w:vAlign w:val="bottom"/>
          </w:tcPr>
          <w:p>
            <w:pPr>
              <w:ind w:left="320"/>
              <w:spacing w:after="0"/>
              <w:rPr>
                <w:sz w:val="20"/>
                <w:szCs w:val="20"/>
                <w:color w:val="auto"/>
              </w:rPr>
            </w:pPr>
            <w:r>
              <w:rPr>
                <w:rFonts w:ascii="Arial" w:cs="Arial" w:eastAsia="Arial" w:hAnsi="Arial"/>
                <w:sz w:val="17"/>
                <w:szCs w:val="17"/>
                <w:color w:val="auto"/>
              </w:rPr>
              <w:t>1-4 family owner occupied - jumbo</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9"/>
        </w:trPr>
        <w:tc>
          <w:tcPr>
            <w:tcW w:w="350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9"/>
              </w:rPr>
              <w:t>1-4 family owner occupied - non-jumbo (2)</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1,061</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2,592</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2,592</w:t>
            </w:r>
          </w:p>
        </w:tc>
      </w:tr>
      <w:tr>
        <w:trPr>
          <w:trHeight w:val="257"/>
        </w:trPr>
        <w:tc>
          <w:tcPr>
            <w:tcW w:w="3500" w:type="dxa"/>
            <w:vAlign w:val="bottom"/>
          </w:tcPr>
          <w:p>
            <w:pPr>
              <w:ind w:left="320"/>
              <w:spacing w:after="0"/>
              <w:rPr>
                <w:sz w:val="20"/>
                <w:szCs w:val="20"/>
                <w:color w:val="auto"/>
              </w:rPr>
            </w:pPr>
            <w:r>
              <w:rPr>
                <w:rFonts w:ascii="Arial" w:cs="Arial" w:eastAsia="Arial" w:hAnsi="Arial"/>
                <w:sz w:val="17"/>
                <w:szCs w:val="17"/>
                <w:color w:val="auto"/>
              </w:rPr>
              <w:t>1-4 family non-owner occupied</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498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498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498</w:t>
            </w:r>
          </w:p>
        </w:tc>
      </w:tr>
      <w:tr>
        <w:trPr>
          <w:trHeight w:val="259"/>
        </w:trPr>
        <w:tc>
          <w:tcPr>
            <w:tcW w:w="3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1-4 family - 2nd lien</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w:t>
            </w:r>
          </w:p>
        </w:tc>
      </w:tr>
      <w:tr>
        <w:trPr>
          <w:trHeight w:val="257"/>
        </w:trPr>
        <w:tc>
          <w:tcPr>
            <w:tcW w:w="3500" w:type="dxa"/>
            <w:vAlign w:val="bottom"/>
          </w:tcPr>
          <w:p>
            <w:pPr>
              <w:ind w:left="320"/>
              <w:spacing w:after="0"/>
              <w:rPr>
                <w:sz w:val="20"/>
                <w:szCs w:val="20"/>
                <w:color w:val="auto"/>
              </w:rPr>
            </w:pPr>
            <w:r>
              <w:rPr>
                <w:rFonts w:ascii="Arial" w:cs="Arial" w:eastAsia="Arial" w:hAnsi="Arial"/>
                <w:sz w:val="17"/>
                <w:szCs w:val="17"/>
                <w:color w:val="auto"/>
              </w:rPr>
              <w:t>Resort lending</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271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271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271</w:t>
            </w:r>
          </w:p>
        </w:tc>
      </w:tr>
      <w:tr>
        <w:trPr>
          <w:trHeight w:val="220"/>
        </w:trPr>
        <w:tc>
          <w:tcPr>
            <w:tcW w:w="3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Installment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57"/>
        </w:trPr>
        <w:tc>
          <w:tcPr>
            <w:tcW w:w="3500" w:type="dxa"/>
            <w:vAlign w:val="bottom"/>
          </w:tcPr>
          <w:p>
            <w:pPr>
              <w:ind w:left="320"/>
              <w:spacing w:after="0"/>
              <w:rPr>
                <w:sz w:val="20"/>
                <w:szCs w:val="20"/>
                <w:color w:val="auto"/>
              </w:rPr>
            </w:pPr>
            <w:r>
              <w:rPr>
                <w:rFonts w:ascii="Arial" w:cs="Arial" w:eastAsia="Arial" w:hAnsi="Arial"/>
                <w:sz w:val="17"/>
                <w:szCs w:val="17"/>
                <w:color w:val="auto"/>
              </w:rPr>
              <w:t>Boat lending</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264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264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264</w:t>
            </w:r>
          </w:p>
        </w:tc>
      </w:tr>
      <w:tr>
        <w:trPr>
          <w:trHeight w:val="259"/>
        </w:trPr>
        <w:tc>
          <w:tcPr>
            <w:tcW w:w="3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Recreational vehicle lending</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w:t>
            </w:r>
          </w:p>
        </w:tc>
      </w:tr>
      <w:tr>
        <w:trPr>
          <w:trHeight w:val="257"/>
        </w:trPr>
        <w:tc>
          <w:tcPr>
            <w:tcW w:w="350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Other</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98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w:t>
            </w:r>
          </w:p>
        </w:tc>
      </w:tr>
      <w:tr>
        <w:trPr>
          <w:trHeight w:val="232"/>
        </w:trPr>
        <w:tc>
          <w:tcPr>
            <w:tcW w:w="35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Total</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4,715</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53"/>
        </w:trPr>
        <w:tc>
          <w:tcPr>
            <w:tcW w:w="3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39"/>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interest excluded from total</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52"/>
        </w:trPr>
        <w:tc>
          <w:tcPr>
            <w:tcW w:w="3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December 31, 2022</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8"/>
        </w:trPr>
        <w:tc>
          <w:tcPr>
            <w:tcW w:w="3500" w:type="dxa"/>
            <w:vAlign w:val="bottom"/>
          </w:tcPr>
          <w:p>
            <w:pPr>
              <w:ind w:left="180"/>
              <w:spacing w:after="0"/>
              <w:rPr>
                <w:sz w:val="20"/>
                <w:szCs w:val="20"/>
                <w:color w:val="auto"/>
              </w:rPr>
            </w:pPr>
            <w:r>
              <w:rPr>
                <w:rFonts w:ascii="Arial" w:cs="Arial" w:eastAsia="Arial" w:hAnsi="Arial"/>
                <w:sz w:val="17"/>
                <w:szCs w:val="17"/>
                <w:color w:val="auto"/>
              </w:rPr>
              <w:t>Commercial</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9"/>
        </w:trPr>
        <w:tc>
          <w:tcPr>
            <w:tcW w:w="3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Commercial and industrial (1)</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257"/>
        </w:trPr>
        <w:tc>
          <w:tcPr>
            <w:tcW w:w="3500" w:type="dxa"/>
            <w:vAlign w:val="bottom"/>
          </w:tcPr>
          <w:p>
            <w:pPr>
              <w:ind w:left="320"/>
              <w:spacing w:after="0"/>
              <w:rPr>
                <w:sz w:val="20"/>
                <w:szCs w:val="20"/>
                <w:color w:val="auto"/>
              </w:rPr>
            </w:pPr>
            <w:r>
              <w:rPr>
                <w:rFonts w:ascii="Arial" w:cs="Arial" w:eastAsia="Arial" w:hAnsi="Arial"/>
                <w:sz w:val="17"/>
                <w:szCs w:val="17"/>
                <w:color w:val="auto"/>
              </w:rPr>
              <w:t>Commercial real estate</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3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Mortgage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57"/>
        </w:trPr>
        <w:tc>
          <w:tcPr>
            <w:tcW w:w="3500" w:type="dxa"/>
            <w:vAlign w:val="bottom"/>
          </w:tcPr>
          <w:p>
            <w:pPr>
              <w:ind w:left="320"/>
              <w:spacing w:after="0"/>
              <w:rPr>
                <w:sz w:val="20"/>
                <w:szCs w:val="20"/>
                <w:color w:val="auto"/>
              </w:rPr>
            </w:pPr>
            <w:r>
              <w:rPr>
                <w:rFonts w:ascii="Arial" w:cs="Arial" w:eastAsia="Arial" w:hAnsi="Arial"/>
                <w:sz w:val="17"/>
                <w:szCs w:val="17"/>
                <w:color w:val="auto"/>
              </w:rPr>
              <w:t>1-4 family owner occupied - jumbo</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9"/>
        </w:trPr>
        <w:tc>
          <w:tcPr>
            <w:tcW w:w="350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9"/>
              </w:rPr>
              <w:t>1-4 family owner occupied - non-jumbo (2)</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1,077</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1,929</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1,929</w:t>
            </w:r>
          </w:p>
        </w:tc>
      </w:tr>
      <w:tr>
        <w:trPr>
          <w:trHeight w:val="257"/>
        </w:trPr>
        <w:tc>
          <w:tcPr>
            <w:tcW w:w="3500" w:type="dxa"/>
            <w:vAlign w:val="bottom"/>
          </w:tcPr>
          <w:p>
            <w:pPr>
              <w:ind w:left="320"/>
              <w:spacing w:after="0"/>
              <w:rPr>
                <w:sz w:val="20"/>
                <w:szCs w:val="20"/>
                <w:color w:val="auto"/>
              </w:rPr>
            </w:pPr>
            <w:r>
              <w:rPr>
                <w:rFonts w:ascii="Arial" w:cs="Arial" w:eastAsia="Arial" w:hAnsi="Arial"/>
                <w:sz w:val="17"/>
                <w:szCs w:val="17"/>
                <w:color w:val="auto"/>
              </w:rPr>
              <w:t>1-4 family non-owner occupied</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323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475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475</w:t>
            </w:r>
          </w:p>
        </w:tc>
      </w:tr>
      <w:tr>
        <w:trPr>
          <w:trHeight w:val="259"/>
        </w:trPr>
        <w:tc>
          <w:tcPr>
            <w:tcW w:w="3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1-4 family - 2nd lien</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w:t>
            </w:r>
          </w:p>
        </w:tc>
      </w:tr>
      <w:tr>
        <w:trPr>
          <w:trHeight w:val="257"/>
        </w:trPr>
        <w:tc>
          <w:tcPr>
            <w:tcW w:w="3500" w:type="dxa"/>
            <w:vAlign w:val="bottom"/>
          </w:tcPr>
          <w:p>
            <w:pPr>
              <w:ind w:left="320"/>
              <w:spacing w:after="0"/>
              <w:rPr>
                <w:sz w:val="20"/>
                <w:szCs w:val="20"/>
                <w:color w:val="auto"/>
              </w:rPr>
            </w:pPr>
            <w:r>
              <w:rPr>
                <w:rFonts w:ascii="Arial" w:cs="Arial" w:eastAsia="Arial" w:hAnsi="Arial"/>
                <w:sz w:val="17"/>
                <w:szCs w:val="17"/>
                <w:color w:val="auto"/>
              </w:rPr>
              <w:t>Resort lending</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148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148</w:t>
            </w:r>
          </w:p>
        </w:tc>
      </w:tr>
      <w:tr>
        <w:trPr>
          <w:trHeight w:val="220"/>
        </w:trPr>
        <w:tc>
          <w:tcPr>
            <w:tcW w:w="3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Installment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57"/>
        </w:trPr>
        <w:tc>
          <w:tcPr>
            <w:tcW w:w="3500" w:type="dxa"/>
            <w:vAlign w:val="bottom"/>
          </w:tcPr>
          <w:p>
            <w:pPr>
              <w:ind w:left="320"/>
              <w:spacing w:after="0"/>
              <w:rPr>
                <w:sz w:val="20"/>
                <w:szCs w:val="20"/>
                <w:color w:val="auto"/>
              </w:rPr>
            </w:pPr>
            <w:r>
              <w:rPr>
                <w:rFonts w:ascii="Arial" w:cs="Arial" w:eastAsia="Arial" w:hAnsi="Arial"/>
                <w:sz w:val="17"/>
                <w:szCs w:val="17"/>
                <w:color w:val="auto"/>
              </w:rPr>
              <w:t>Boat lending</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380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380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380</w:t>
            </w:r>
          </w:p>
        </w:tc>
      </w:tr>
      <w:tr>
        <w:trPr>
          <w:trHeight w:val="259"/>
        </w:trPr>
        <w:tc>
          <w:tcPr>
            <w:tcW w:w="3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Recreational vehicle lending</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57"/>
        </w:trPr>
        <w:tc>
          <w:tcPr>
            <w:tcW w:w="350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Other</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98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w:t>
            </w:r>
          </w:p>
        </w:tc>
      </w:tr>
      <w:tr>
        <w:trPr>
          <w:trHeight w:val="232"/>
        </w:trPr>
        <w:tc>
          <w:tcPr>
            <w:tcW w:w="35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Total</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3,721</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53"/>
        </w:trPr>
        <w:tc>
          <w:tcPr>
            <w:tcW w:w="3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39"/>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interest excluded from total</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left="320" w:hanging="317"/>
        <w:spacing w:after="0" w:line="259" w:lineRule="auto"/>
        <w:tabs>
          <w:tab w:leader="none" w:pos="314" w:val="left"/>
        </w:tabs>
        <w:numPr>
          <w:ilvl w:val="0"/>
          <w:numId w:val="6"/>
        </w:numPr>
        <w:rPr>
          <w:rFonts w:ascii="Arial" w:cs="Arial" w:eastAsia="Arial" w:hAnsi="Arial"/>
          <w:sz w:val="17"/>
          <w:szCs w:val="17"/>
          <w:color w:val="auto"/>
        </w:rPr>
      </w:pPr>
      <w:r>
        <w:rPr>
          <w:rFonts w:ascii="Arial" w:cs="Arial" w:eastAsia="Arial" w:hAnsi="Arial"/>
          <w:sz w:val="17"/>
          <w:szCs w:val="17"/>
          <w:color w:val="auto"/>
        </w:rPr>
        <w:t>Non-performing commercial and industrial loans exclude $0.023 million and $0.029 million of government guaranteed loans at September 30, 2023 and December 31, 2022, respectively.</w:t>
      </w:r>
    </w:p>
    <w:p>
      <w:pPr>
        <w:spacing w:after="0" w:line="1" w:lineRule="exact"/>
        <w:rPr>
          <w:rFonts w:ascii="Arial" w:cs="Arial" w:eastAsia="Arial" w:hAnsi="Arial"/>
          <w:sz w:val="17"/>
          <w:szCs w:val="17"/>
          <w:color w:val="auto"/>
        </w:rPr>
      </w:pPr>
    </w:p>
    <w:p>
      <w:pPr>
        <w:ind w:left="320" w:hanging="317"/>
        <w:spacing w:after="0" w:line="266" w:lineRule="auto"/>
        <w:tabs>
          <w:tab w:leader="none" w:pos="314" w:val="left"/>
        </w:tabs>
        <w:numPr>
          <w:ilvl w:val="0"/>
          <w:numId w:val="6"/>
        </w:numPr>
        <w:rPr>
          <w:rFonts w:ascii="Arial" w:cs="Arial" w:eastAsia="Arial" w:hAnsi="Arial"/>
          <w:sz w:val="17"/>
          <w:szCs w:val="17"/>
          <w:color w:val="auto"/>
        </w:rPr>
      </w:pPr>
      <w:r>
        <w:rPr>
          <w:rFonts w:ascii="Arial" w:cs="Arial" w:eastAsia="Arial" w:hAnsi="Arial"/>
          <w:sz w:val="17"/>
          <w:szCs w:val="17"/>
          <w:color w:val="auto"/>
        </w:rPr>
        <w:t>Non-performing 1-4 family owner occupied – non jumbo loans exclude $2.231 million and $1.631 million of government guaranteed loans at September 30, 2023 and December 31, 2022, respectively.</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38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following table provides collateral information by class of loan for collateral-dependent loans with a specific reserve. A loan is considered to be collateral dependent when the borrower is experiencing financial difficulty and the repayment is expected to be provided substantially through the operation or sale of collateral.</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40" w:type="dxa"/>
            <w:vAlign w:val="bottom"/>
          </w:tcPr>
          <w:p>
            <w:pPr>
              <w:spacing w:after="0"/>
              <w:rPr>
                <w:sz w:val="20"/>
                <w:szCs w:val="20"/>
                <w:color w:val="auto"/>
              </w:rPr>
            </w:pPr>
            <w:r>
              <w:rPr>
                <w:rFonts w:ascii="Arial" w:cs="Arial" w:eastAsia="Arial" w:hAnsi="Arial"/>
                <w:sz w:val="17"/>
                <w:szCs w:val="17"/>
                <w:color w:val="auto"/>
              </w:rPr>
              <w:t>The amortized cost of collateral-dependent loans by class follows:</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50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40" w:type="dxa"/>
            <w:vAlign w:val="bottom"/>
            <w:gridSpan w:val="3"/>
          </w:tcPr>
          <w:p>
            <w:pPr>
              <w:jc w:val="right"/>
              <w:ind w:right="414"/>
              <w:spacing w:after="0"/>
              <w:rPr>
                <w:sz w:val="20"/>
                <w:szCs w:val="20"/>
                <w:color w:val="auto"/>
              </w:rPr>
            </w:pPr>
            <w:r>
              <w:rPr>
                <w:rFonts w:ascii="Arial" w:cs="Arial" w:eastAsia="Arial" w:hAnsi="Arial"/>
                <w:sz w:val="17"/>
                <w:szCs w:val="17"/>
                <w:color w:val="auto"/>
              </w:rPr>
              <w:t>Collateral Type</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294"/>
              <w:spacing w:after="0"/>
              <w:rPr>
                <w:sz w:val="20"/>
                <w:szCs w:val="20"/>
                <w:color w:val="auto"/>
              </w:rPr>
            </w:pPr>
            <w:r>
              <w:rPr>
                <w:rFonts w:ascii="Arial" w:cs="Arial" w:eastAsia="Arial" w:hAnsi="Arial"/>
                <w:sz w:val="17"/>
                <w:szCs w:val="17"/>
                <w:color w:val="auto"/>
              </w:rPr>
              <w:t>Allowance</w:t>
            </w:r>
          </w:p>
        </w:tc>
        <w:tc>
          <w:tcPr>
            <w:tcW w:w="0" w:type="dxa"/>
            <w:vAlign w:val="bottom"/>
          </w:tcPr>
          <w:p>
            <w:pPr>
              <w:spacing w:after="0"/>
              <w:rPr>
                <w:sz w:val="1"/>
                <w:szCs w:val="1"/>
                <w:color w:val="auto"/>
              </w:rPr>
            </w:pPr>
          </w:p>
        </w:tc>
      </w:tr>
      <w:tr>
        <w:trPr>
          <w:trHeight w:val="38"/>
        </w:trPr>
        <w:tc>
          <w:tcPr>
            <w:tcW w:w="50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vMerge w:val="restart"/>
          </w:tcPr>
          <w:p>
            <w:pPr>
              <w:jc w:val="right"/>
              <w:ind w:right="554"/>
              <w:spacing w:after="0"/>
              <w:rPr>
                <w:sz w:val="20"/>
                <w:szCs w:val="20"/>
                <w:color w:val="auto"/>
              </w:rPr>
            </w:pPr>
            <w:r>
              <w:rPr>
                <w:rFonts w:ascii="Arial" w:cs="Arial" w:eastAsia="Arial" w:hAnsi="Arial"/>
                <w:sz w:val="17"/>
                <w:szCs w:val="17"/>
                <w:color w:val="auto"/>
              </w:rPr>
              <w:t>for</w:t>
            </w:r>
          </w:p>
        </w:tc>
        <w:tc>
          <w:tcPr>
            <w:tcW w:w="0" w:type="dxa"/>
            <w:vAlign w:val="bottom"/>
          </w:tcPr>
          <w:p>
            <w:pPr>
              <w:spacing w:after="0"/>
              <w:rPr>
                <w:sz w:val="1"/>
                <w:szCs w:val="1"/>
                <w:color w:val="auto"/>
              </w:rPr>
            </w:pPr>
          </w:p>
        </w:tc>
      </w:tr>
      <w:tr>
        <w:trPr>
          <w:trHeight w:val="160"/>
        </w:trPr>
        <w:tc>
          <w:tcPr>
            <w:tcW w:w="50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jc w:val="center"/>
              <w:ind w:right="400"/>
              <w:spacing w:after="0" w:line="161" w:lineRule="exact"/>
              <w:rPr>
                <w:sz w:val="20"/>
                <w:szCs w:val="20"/>
                <w:color w:val="auto"/>
              </w:rPr>
            </w:pPr>
            <w:r>
              <w:rPr>
                <w:rFonts w:ascii="Arial" w:cs="Arial" w:eastAsia="Arial" w:hAnsi="Arial"/>
                <w:sz w:val="17"/>
                <w:szCs w:val="17"/>
                <w:color w:val="auto"/>
                <w:w w:val="91"/>
              </w:rPr>
              <w:t>Real</w:t>
            </w:r>
          </w:p>
        </w:tc>
        <w:tc>
          <w:tcPr>
            <w:tcW w:w="1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50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7"/>
                <w:szCs w:val="17"/>
                <w:color w:val="auto"/>
                <w:w w:val="87"/>
              </w:rPr>
              <w:t>Estate</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Other</w:t>
            </w: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98"/>
              </w:rPr>
              <w:t>Credit Losses</w:t>
            </w:r>
          </w:p>
        </w:tc>
        <w:tc>
          <w:tcPr>
            <w:tcW w:w="0" w:type="dxa"/>
            <w:vAlign w:val="bottom"/>
          </w:tcPr>
          <w:p>
            <w:pPr>
              <w:spacing w:after="0"/>
              <w:rPr>
                <w:sz w:val="1"/>
                <w:szCs w:val="1"/>
                <w:color w:val="auto"/>
              </w:rPr>
            </w:pPr>
          </w:p>
        </w:tc>
      </w:tr>
      <w:tr>
        <w:trPr>
          <w:trHeight w:val="211"/>
        </w:trPr>
        <w:tc>
          <w:tcPr>
            <w:tcW w:w="50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174"/>
              <w:spacing w:after="0"/>
              <w:rPr>
                <w:sz w:val="20"/>
                <w:szCs w:val="20"/>
                <w:color w:val="auto"/>
              </w:rPr>
            </w:pPr>
            <w:r>
              <w:rPr>
                <w:rFonts w:ascii="Arial" w:cs="Arial" w:eastAsia="Arial" w:hAnsi="Arial"/>
                <w:sz w:val="17"/>
                <w:szCs w:val="17"/>
                <w:color w:val="auto"/>
              </w:rPr>
              <w:t>(In thousands)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20"/>
              <w:spacing w:after="0"/>
              <w:rPr>
                <w:sz w:val="20"/>
                <w:szCs w:val="20"/>
                <w:color w:val="auto"/>
              </w:rPr>
            </w:pPr>
            <w:r>
              <w:rPr>
                <w:rFonts w:ascii="Arial" w:cs="Arial" w:eastAsia="Arial" w:hAnsi="Arial"/>
                <w:sz w:val="17"/>
                <w:szCs w:val="17"/>
                <w:color w:val="auto"/>
              </w:rPr>
              <w:t>September 30, 2023</w:t>
            </w:r>
          </w:p>
        </w:tc>
        <w:tc>
          <w:tcPr>
            <w:tcW w:w="1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40" w:type="dxa"/>
            <w:vAlign w:val="bottom"/>
          </w:tcPr>
          <w:p>
            <w:pPr>
              <w:ind w:left="180"/>
              <w:spacing w:after="0"/>
              <w:rPr>
                <w:sz w:val="20"/>
                <w:szCs w:val="20"/>
                <w:color w:val="auto"/>
              </w:rPr>
            </w:pPr>
            <w:r>
              <w:rPr>
                <w:rFonts w:ascii="Arial" w:cs="Arial" w:eastAsia="Arial" w:hAnsi="Arial"/>
                <w:sz w:val="17"/>
                <w:szCs w:val="17"/>
                <w:color w:val="auto"/>
              </w:rPr>
              <w:t>Commercial</w:t>
            </w:r>
          </w:p>
        </w:tc>
        <w:tc>
          <w:tcPr>
            <w:tcW w:w="1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5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Commercial and industrial</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1,728</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2,994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1,588</w:t>
            </w:r>
          </w:p>
        </w:tc>
        <w:tc>
          <w:tcPr>
            <w:tcW w:w="0" w:type="dxa"/>
            <w:vAlign w:val="bottom"/>
          </w:tcPr>
          <w:p>
            <w:pPr>
              <w:spacing w:after="0"/>
              <w:rPr>
                <w:sz w:val="1"/>
                <w:szCs w:val="1"/>
                <w:color w:val="auto"/>
              </w:rPr>
            </w:pPr>
          </w:p>
        </w:tc>
      </w:tr>
      <w:tr>
        <w:trPr>
          <w:trHeight w:val="257"/>
        </w:trPr>
        <w:tc>
          <w:tcPr>
            <w:tcW w:w="5040" w:type="dxa"/>
            <w:vAlign w:val="bottom"/>
          </w:tcPr>
          <w:p>
            <w:pPr>
              <w:ind w:left="320"/>
              <w:spacing w:after="0"/>
              <w:rPr>
                <w:sz w:val="20"/>
                <w:szCs w:val="20"/>
                <w:color w:val="auto"/>
              </w:rPr>
            </w:pPr>
            <w:r>
              <w:rPr>
                <w:rFonts w:ascii="Arial" w:cs="Arial" w:eastAsia="Arial" w:hAnsi="Arial"/>
                <w:sz w:val="17"/>
                <w:szCs w:val="17"/>
                <w:color w:val="auto"/>
              </w:rPr>
              <w:t>Commercial real estate</w:t>
            </w:r>
          </w:p>
        </w:tc>
        <w:tc>
          <w:tcPr>
            <w:tcW w:w="1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2,068</w:t>
            </w: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Mortgage</w:t>
            </w:r>
          </w:p>
        </w:tc>
        <w:tc>
          <w:tcPr>
            <w:tcW w:w="1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40" w:type="dxa"/>
            <w:vAlign w:val="bottom"/>
          </w:tcPr>
          <w:p>
            <w:pPr>
              <w:ind w:left="320"/>
              <w:spacing w:after="0"/>
              <w:rPr>
                <w:sz w:val="20"/>
                <w:szCs w:val="20"/>
                <w:color w:val="auto"/>
              </w:rPr>
            </w:pPr>
            <w:r>
              <w:rPr>
                <w:rFonts w:ascii="Arial" w:cs="Arial" w:eastAsia="Arial" w:hAnsi="Arial"/>
                <w:sz w:val="17"/>
                <w:szCs w:val="17"/>
                <w:color w:val="auto"/>
              </w:rPr>
              <w:t>1-4 family owner occupied - jumbo</w:t>
            </w:r>
          </w:p>
        </w:tc>
        <w:tc>
          <w:tcPr>
            <w:tcW w:w="1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9"/>
        </w:trPr>
        <w:tc>
          <w:tcPr>
            <w:tcW w:w="5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1-4 family owner occupied - non-jumbo</w:t>
            </w:r>
          </w:p>
        </w:tc>
        <w:tc>
          <w:tcPr>
            <w:tcW w:w="15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2,228</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w:t>
            </w:r>
          </w:p>
        </w:tc>
        <w:tc>
          <w:tcPr>
            <w:tcW w:w="0" w:type="dxa"/>
            <w:vAlign w:val="bottom"/>
          </w:tcPr>
          <w:p>
            <w:pPr>
              <w:spacing w:after="0"/>
              <w:rPr>
                <w:sz w:val="1"/>
                <w:szCs w:val="1"/>
                <w:color w:val="auto"/>
              </w:rPr>
            </w:pPr>
          </w:p>
        </w:tc>
      </w:tr>
      <w:tr>
        <w:trPr>
          <w:trHeight w:val="257"/>
        </w:trPr>
        <w:tc>
          <w:tcPr>
            <w:tcW w:w="5040" w:type="dxa"/>
            <w:vAlign w:val="bottom"/>
          </w:tcPr>
          <w:p>
            <w:pPr>
              <w:ind w:left="320"/>
              <w:spacing w:after="0"/>
              <w:rPr>
                <w:sz w:val="20"/>
                <w:szCs w:val="20"/>
                <w:color w:val="auto"/>
              </w:rPr>
            </w:pPr>
            <w:r>
              <w:rPr>
                <w:rFonts w:ascii="Arial" w:cs="Arial" w:eastAsia="Arial" w:hAnsi="Arial"/>
                <w:sz w:val="17"/>
                <w:szCs w:val="17"/>
                <w:color w:val="auto"/>
              </w:rPr>
              <w:t>1-4 family non-owner occupied</w:t>
            </w:r>
          </w:p>
        </w:tc>
        <w:tc>
          <w:tcPr>
            <w:tcW w:w="1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159</w:t>
            </w: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259"/>
        </w:trPr>
        <w:tc>
          <w:tcPr>
            <w:tcW w:w="5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1-4 family - 2nd lien</w:t>
            </w:r>
          </w:p>
        </w:tc>
        <w:tc>
          <w:tcPr>
            <w:tcW w:w="15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57"/>
        </w:trPr>
        <w:tc>
          <w:tcPr>
            <w:tcW w:w="5040" w:type="dxa"/>
            <w:vAlign w:val="bottom"/>
          </w:tcPr>
          <w:p>
            <w:pPr>
              <w:ind w:left="320"/>
              <w:spacing w:after="0"/>
              <w:rPr>
                <w:sz w:val="20"/>
                <w:szCs w:val="20"/>
                <w:color w:val="auto"/>
              </w:rPr>
            </w:pPr>
            <w:r>
              <w:rPr>
                <w:rFonts w:ascii="Arial" w:cs="Arial" w:eastAsia="Arial" w:hAnsi="Arial"/>
                <w:sz w:val="17"/>
                <w:szCs w:val="17"/>
                <w:color w:val="auto"/>
              </w:rPr>
              <w:t>Resort lending</w:t>
            </w:r>
          </w:p>
        </w:tc>
        <w:tc>
          <w:tcPr>
            <w:tcW w:w="1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271</w:t>
            </w: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211</w:t>
            </w: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Installment</w:t>
            </w:r>
          </w:p>
        </w:tc>
        <w:tc>
          <w:tcPr>
            <w:tcW w:w="1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40" w:type="dxa"/>
            <w:vAlign w:val="bottom"/>
          </w:tcPr>
          <w:p>
            <w:pPr>
              <w:ind w:left="320"/>
              <w:spacing w:after="0"/>
              <w:rPr>
                <w:sz w:val="20"/>
                <w:szCs w:val="20"/>
                <w:color w:val="auto"/>
              </w:rPr>
            </w:pPr>
            <w:r>
              <w:rPr>
                <w:rFonts w:ascii="Arial" w:cs="Arial" w:eastAsia="Arial" w:hAnsi="Arial"/>
                <w:sz w:val="17"/>
                <w:szCs w:val="17"/>
                <w:color w:val="auto"/>
              </w:rPr>
              <w:t>Boat lending</w:t>
            </w:r>
          </w:p>
        </w:tc>
        <w:tc>
          <w:tcPr>
            <w:tcW w:w="1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207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59"/>
        </w:trPr>
        <w:tc>
          <w:tcPr>
            <w:tcW w:w="5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Recreational vehicle lending</w:t>
            </w:r>
          </w:p>
        </w:tc>
        <w:tc>
          <w:tcPr>
            <w:tcW w:w="15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Other</w:t>
            </w:r>
          </w:p>
        </w:tc>
        <w:tc>
          <w:tcPr>
            <w:tcW w:w="1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33"/>
        </w:trPr>
        <w:tc>
          <w:tcPr>
            <w:tcW w:w="50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Total</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6,820</w:t>
            </w: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3,525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2,582</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interest excluded from total</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December 31, 2022</w:t>
            </w:r>
          </w:p>
        </w:tc>
        <w:tc>
          <w:tcPr>
            <w:tcW w:w="1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504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040" w:type="dxa"/>
            <w:vAlign w:val="bottom"/>
          </w:tcPr>
          <w:p>
            <w:pPr>
              <w:ind w:left="180"/>
              <w:spacing w:after="0"/>
              <w:rPr>
                <w:sz w:val="20"/>
                <w:szCs w:val="20"/>
                <w:color w:val="auto"/>
              </w:rPr>
            </w:pPr>
            <w:r>
              <w:rPr>
                <w:rFonts w:ascii="Arial" w:cs="Arial" w:eastAsia="Arial" w:hAnsi="Arial"/>
                <w:sz w:val="17"/>
                <w:szCs w:val="17"/>
                <w:color w:val="auto"/>
              </w:rPr>
              <w:t>Commercial</w:t>
            </w:r>
          </w:p>
        </w:tc>
        <w:tc>
          <w:tcPr>
            <w:tcW w:w="1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5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Commercial and industrial</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1,309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0" w:type="dxa"/>
            <w:vAlign w:val="bottom"/>
          </w:tcPr>
          <w:p>
            <w:pPr>
              <w:spacing w:after="0"/>
              <w:rPr>
                <w:sz w:val="1"/>
                <w:szCs w:val="1"/>
                <w:color w:val="auto"/>
              </w:rPr>
            </w:pPr>
          </w:p>
        </w:tc>
      </w:tr>
      <w:tr>
        <w:trPr>
          <w:trHeight w:val="257"/>
        </w:trPr>
        <w:tc>
          <w:tcPr>
            <w:tcW w:w="5040" w:type="dxa"/>
            <w:vAlign w:val="bottom"/>
          </w:tcPr>
          <w:p>
            <w:pPr>
              <w:ind w:left="320"/>
              <w:spacing w:after="0"/>
              <w:rPr>
                <w:sz w:val="20"/>
                <w:szCs w:val="20"/>
                <w:color w:val="auto"/>
              </w:rPr>
            </w:pPr>
            <w:r>
              <w:rPr>
                <w:rFonts w:ascii="Arial" w:cs="Arial" w:eastAsia="Arial" w:hAnsi="Arial"/>
                <w:sz w:val="17"/>
                <w:szCs w:val="17"/>
                <w:color w:val="auto"/>
              </w:rPr>
              <w:t>Commercial real estate</w:t>
            </w:r>
          </w:p>
        </w:tc>
        <w:tc>
          <w:tcPr>
            <w:tcW w:w="1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7,329</w:t>
            </w: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1,243</w:t>
            </w: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Mortgage</w:t>
            </w:r>
          </w:p>
        </w:tc>
        <w:tc>
          <w:tcPr>
            <w:tcW w:w="1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40" w:type="dxa"/>
            <w:vAlign w:val="bottom"/>
          </w:tcPr>
          <w:p>
            <w:pPr>
              <w:ind w:left="320"/>
              <w:spacing w:after="0"/>
              <w:rPr>
                <w:sz w:val="20"/>
                <w:szCs w:val="20"/>
                <w:color w:val="auto"/>
              </w:rPr>
            </w:pPr>
            <w:r>
              <w:rPr>
                <w:rFonts w:ascii="Arial" w:cs="Arial" w:eastAsia="Arial" w:hAnsi="Arial"/>
                <w:sz w:val="17"/>
                <w:szCs w:val="17"/>
                <w:color w:val="auto"/>
              </w:rPr>
              <w:t>1-4 family owner occupied - jumbo</w:t>
            </w:r>
          </w:p>
        </w:tc>
        <w:tc>
          <w:tcPr>
            <w:tcW w:w="1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9"/>
        </w:trPr>
        <w:tc>
          <w:tcPr>
            <w:tcW w:w="5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1-4 family owner occupied - non-jumbo</w:t>
            </w:r>
          </w:p>
        </w:tc>
        <w:tc>
          <w:tcPr>
            <w:tcW w:w="15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1,721</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0" w:type="dxa"/>
            <w:vAlign w:val="bottom"/>
          </w:tcPr>
          <w:p>
            <w:pPr>
              <w:spacing w:after="0"/>
              <w:rPr>
                <w:sz w:val="1"/>
                <w:szCs w:val="1"/>
                <w:color w:val="auto"/>
              </w:rPr>
            </w:pPr>
          </w:p>
        </w:tc>
      </w:tr>
      <w:tr>
        <w:trPr>
          <w:trHeight w:val="257"/>
        </w:trPr>
        <w:tc>
          <w:tcPr>
            <w:tcW w:w="5040" w:type="dxa"/>
            <w:vAlign w:val="bottom"/>
          </w:tcPr>
          <w:p>
            <w:pPr>
              <w:ind w:left="320"/>
              <w:spacing w:after="0"/>
              <w:rPr>
                <w:sz w:val="20"/>
                <w:szCs w:val="20"/>
                <w:color w:val="auto"/>
              </w:rPr>
            </w:pPr>
            <w:r>
              <w:rPr>
                <w:rFonts w:ascii="Arial" w:cs="Arial" w:eastAsia="Arial" w:hAnsi="Arial"/>
                <w:sz w:val="17"/>
                <w:szCs w:val="17"/>
                <w:color w:val="auto"/>
              </w:rPr>
              <w:t>1-4 family non-owner occupied</w:t>
            </w:r>
          </w:p>
        </w:tc>
        <w:tc>
          <w:tcPr>
            <w:tcW w:w="1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233</w:t>
            </w: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59"/>
        </w:trPr>
        <w:tc>
          <w:tcPr>
            <w:tcW w:w="5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1-4 family - 2nd lien</w:t>
            </w:r>
          </w:p>
        </w:tc>
        <w:tc>
          <w:tcPr>
            <w:tcW w:w="15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257"/>
        </w:trPr>
        <w:tc>
          <w:tcPr>
            <w:tcW w:w="5040" w:type="dxa"/>
            <w:vAlign w:val="bottom"/>
          </w:tcPr>
          <w:p>
            <w:pPr>
              <w:ind w:left="320"/>
              <w:spacing w:after="0"/>
              <w:rPr>
                <w:sz w:val="20"/>
                <w:szCs w:val="20"/>
                <w:color w:val="auto"/>
              </w:rPr>
            </w:pPr>
            <w:r>
              <w:rPr>
                <w:rFonts w:ascii="Arial" w:cs="Arial" w:eastAsia="Arial" w:hAnsi="Arial"/>
                <w:sz w:val="17"/>
                <w:szCs w:val="17"/>
                <w:color w:val="auto"/>
              </w:rPr>
              <w:t>Resort lending</w:t>
            </w:r>
          </w:p>
        </w:tc>
        <w:tc>
          <w:tcPr>
            <w:tcW w:w="1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148</w:t>
            </w: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Installment</w:t>
            </w:r>
          </w:p>
        </w:tc>
        <w:tc>
          <w:tcPr>
            <w:tcW w:w="1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40" w:type="dxa"/>
            <w:vAlign w:val="bottom"/>
          </w:tcPr>
          <w:p>
            <w:pPr>
              <w:ind w:left="320"/>
              <w:spacing w:after="0"/>
              <w:rPr>
                <w:sz w:val="20"/>
                <w:szCs w:val="20"/>
                <w:color w:val="auto"/>
              </w:rPr>
            </w:pPr>
            <w:r>
              <w:rPr>
                <w:rFonts w:ascii="Arial" w:cs="Arial" w:eastAsia="Arial" w:hAnsi="Arial"/>
                <w:sz w:val="17"/>
                <w:szCs w:val="17"/>
                <w:color w:val="auto"/>
              </w:rPr>
              <w:t>Boat lending</w:t>
            </w:r>
          </w:p>
        </w:tc>
        <w:tc>
          <w:tcPr>
            <w:tcW w:w="1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297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59"/>
        </w:trPr>
        <w:tc>
          <w:tcPr>
            <w:tcW w:w="5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Recreational vehicle lending</w:t>
            </w:r>
          </w:p>
        </w:tc>
        <w:tc>
          <w:tcPr>
            <w:tcW w:w="15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Other</w:t>
            </w:r>
          </w:p>
        </w:tc>
        <w:tc>
          <w:tcPr>
            <w:tcW w:w="1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33"/>
        </w:trPr>
        <w:tc>
          <w:tcPr>
            <w:tcW w:w="50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Total</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10,553</w:t>
            </w: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1,764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2,074</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interest excluded from total</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CCEEFF"/>
            </w:tcBorders>
            <w:vMerge w:val="restart"/>
          </w:tcPr>
          <w:p>
            <w:pPr>
              <w:jc w:val="right"/>
              <w:ind w:right="834"/>
              <w:spacing w:after="0"/>
              <w:rPr>
                <w:sz w:val="20"/>
                <w:szCs w:val="20"/>
                <w:color w:val="auto"/>
              </w:rPr>
            </w:pPr>
            <w:r>
              <w:rPr>
                <w:rFonts w:ascii="Arial" w:cs="Arial" w:eastAsia="Arial" w:hAnsi="Arial"/>
                <w:sz w:val="17"/>
                <w:szCs w:val="17"/>
                <w:color w:val="auto"/>
              </w:rPr>
              <w:t>21</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04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04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00" w:type="dxa"/>
            <w:vAlign w:val="bottom"/>
          </w:tcPr>
          <w:p>
            <w:pPr>
              <w:spacing w:after="0"/>
              <w:rPr>
                <w:sz w:val="20"/>
                <w:szCs w:val="20"/>
                <w:color w:val="auto"/>
              </w:rPr>
            </w:pPr>
            <w:r>
              <w:rPr>
                <w:rFonts w:ascii="Arial" w:cs="Arial" w:eastAsia="Arial" w:hAnsi="Arial"/>
                <w:sz w:val="17"/>
                <w:szCs w:val="17"/>
                <w:color w:val="auto"/>
              </w:rPr>
              <w:t>An aging analysis of loans by class follows: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34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ind w:left="580"/>
              <w:spacing w:after="0"/>
              <w:rPr>
                <w:sz w:val="20"/>
                <w:szCs w:val="20"/>
                <w:color w:val="auto"/>
              </w:rPr>
            </w:pPr>
            <w:r>
              <w:rPr>
                <w:rFonts w:ascii="Arial" w:cs="Arial" w:eastAsia="Arial" w:hAnsi="Arial"/>
                <w:sz w:val="17"/>
                <w:szCs w:val="17"/>
                <w:color w:val="auto"/>
              </w:rPr>
              <w:t>Loans Past Due</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7"/>
                <w:szCs w:val="17"/>
                <w:color w:val="auto"/>
                <w:w w:val="91"/>
              </w:rPr>
              <w:t>Loans not</w:t>
            </w:r>
          </w:p>
        </w:tc>
        <w:tc>
          <w:tcPr>
            <w:tcW w:w="260" w:type="dxa"/>
            <w:vAlign w:val="bottom"/>
          </w:tcPr>
          <w:p>
            <w:pPr>
              <w:spacing w:after="0"/>
              <w:rPr>
                <w:sz w:val="24"/>
                <w:szCs w:val="24"/>
                <w:color w:val="auto"/>
              </w:rPr>
            </w:pPr>
          </w:p>
        </w:tc>
        <w:tc>
          <w:tcPr>
            <w:tcW w:w="980" w:type="dxa"/>
            <w:vAlign w:val="bottom"/>
          </w:tcPr>
          <w:p>
            <w:pPr>
              <w:jc w:val="right"/>
              <w:ind w:right="354"/>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37"/>
        </w:trPr>
        <w:tc>
          <w:tcPr>
            <w:tcW w:w="3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7"/>
                <w:szCs w:val="17"/>
                <w:color w:val="auto"/>
              </w:rPr>
              <w:t>30-59 days</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7"/>
                <w:szCs w:val="17"/>
                <w:color w:val="auto"/>
              </w:rPr>
              <w:t>60-89 days</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90+ days</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180"/>
              <w:spacing w:after="0"/>
              <w:rPr>
                <w:sz w:val="20"/>
                <w:szCs w:val="20"/>
                <w:color w:val="auto"/>
              </w:rPr>
            </w:pPr>
            <w:r>
              <w:rPr>
                <w:rFonts w:ascii="Arial" w:cs="Arial" w:eastAsia="Arial" w:hAnsi="Arial"/>
                <w:sz w:val="17"/>
                <w:szCs w:val="17"/>
                <w:color w:val="auto"/>
              </w:rPr>
              <w:t>Total</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7"/>
                <w:szCs w:val="17"/>
                <w:color w:val="auto"/>
                <w:w w:val="85"/>
              </w:rPr>
              <w:t>Past Due</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Loans</w:t>
            </w:r>
          </w:p>
        </w:tc>
        <w:tc>
          <w:tcPr>
            <w:tcW w:w="0" w:type="dxa"/>
            <w:vAlign w:val="bottom"/>
          </w:tcPr>
          <w:p>
            <w:pPr>
              <w:spacing w:after="0"/>
              <w:rPr>
                <w:sz w:val="1"/>
                <w:szCs w:val="1"/>
                <w:color w:val="auto"/>
              </w:rPr>
            </w:pPr>
          </w:p>
        </w:tc>
      </w:tr>
      <w:tr>
        <w:trPr>
          <w:trHeight w:val="211"/>
        </w:trPr>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5"/>
          </w:tcPr>
          <w:p>
            <w:pPr>
              <w:ind w:left="600"/>
              <w:spacing w:after="0"/>
              <w:rPr>
                <w:sz w:val="20"/>
                <w:szCs w:val="20"/>
                <w:color w:val="auto"/>
              </w:rPr>
            </w:pPr>
            <w:r>
              <w:rPr>
                <w:rFonts w:ascii="Arial" w:cs="Arial" w:eastAsia="Arial" w:hAnsi="Arial"/>
                <w:sz w:val="17"/>
                <w:szCs w:val="17"/>
                <w:color w:val="auto"/>
              </w:rPr>
              <w:t>(In thousands)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00" w:type="dxa"/>
            <w:vAlign w:val="bottom"/>
          </w:tcPr>
          <w:p>
            <w:pPr>
              <w:ind w:left="20"/>
              <w:spacing w:after="0"/>
              <w:rPr>
                <w:sz w:val="20"/>
                <w:szCs w:val="20"/>
                <w:color w:val="auto"/>
              </w:rPr>
            </w:pPr>
            <w:r>
              <w:rPr>
                <w:rFonts w:ascii="Arial" w:cs="Arial" w:eastAsia="Arial" w:hAnsi="Arial"/>
                <w:sz w:val="17"/>
                <w:szCs w:val="17"/>
                <w:color w:val="auto"/>
              </w:rPr>
              <w:t>September 30, 2023</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400" w:type="dxa"/>
            <w:vAlign w:val="bottom"/>
          </w:tcPr>
          <w:p>
            <w:pPr>
              <w:ind w:left="180"/>
              <w:spacing w:after="0"/>
              <w:rPr>
                <w:sz w:val="20"/>
                <w:szCs w:val="20"/>
                <w:color w:val="auto"/>
              </w:rPr>
            </w:pPr>
            <w:r>
              <w:rPr>
                <w:rFonts w:ascii="Arial" w:cs="Arial" w:eastAsia="Arial" w:hAnsi="Arial"/>
                <w:sz w:val="17"/>
                <w:szCs w:val="17"/>
                <w:color w:val="auto"/>
              </w:rPr>
              <w:t>Commercial</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3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Commercial and industrial</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773,183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773,414</w:t>
            </w:r>
          </w:p>
        </w:tc>
        <w:tc>
          <w:tcPr>
            <w:tcW w:w="0" w:type="dxa"/>
            <w:vAlign w:val="bottom"/>
          </w:tcPr>
          <w:p>
            <w:pPr>
              <w:spacing w:after="0"/>
              <w:rPr>
                <w:sz w:val="1"/>
                <w:szCs w:val="1"/>
                <w:color w:val="auto"/>
              </w:rPr>
            </w:pPr>
          </w:p>
        </w:tc>
      </w:tr>
      <w:tr>
        <w:trPr>
          <w:trHeight w:val="257"/>
        </w:trPr>
        <w:tc>
          <w:tcPr>
            <w:tcW w:w="3400" w:type="dxa"/>
            <w:vAlign w:val="bottom"/>
          </w:tcPr>
          <w:p>
            <w:pPr>
              <w:ind w:left="320"/>
              <w:spacing w:after="0"/>
              <w:rPr>
                <w:sz w:val="20"/>
                <w:szCs w:val="20"/>
                <w:color w:val="auto"/>
              </w:rPr>
            </w:pPr>
            <w:r>
              <w:rPr>
                <w:rFonts w:ascii="Arial" w:cs="Arial" w:eastAsia="Arial" w:hAnsi="Arial"/>
                <w:sz w:val="17"/>
                <w:szCs w:val="17"/>
                <w:color w:val="auto"/>
              </w:rPr>
              <w:t>Commercial real estate</w:t>
            </w:r>
          </w:p>
        </w:tc>
        <w:tc>
          <w:tcPr>
            <w:tcW w:w="1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852,708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852,708</w:t>
            </w:r>
          </w:p>
        </w:tc>
        <w:tc>
          <w:tcPr>
            <w:tcW w:w="0" w:type="dxa"/>
            <w:vAlign w:val="bottom"/>
          </w:tcPr>
          <w:p>
            <w:pPr>
              <w:spacing w:after="0"/>
              <w:rPr>
                <w:sz w:val="1"/>
                <w:szCs w:val="1"/>
                <w:color w:val="auto"/>
              </w:rPr>
            </w:pPr>
          </w:p>
        </w:tc>
      </w:tr>
      <w:tr>
        <w:trPr>
          <w:trHeight w:val="220"/>
        </w:trPr>
        <w:tc>
          <w:tcPr>
            <w:tcW w:w="3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Mortgage</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400" w:type="dxa"/>
            <w:vAlign w:val="bottom"/>
          </w:tcPr>
          <w:p>
            <w:pPr>
              <w:ind w:left="320"/>
              <w:spacing w:after="0"/>
              <w:rPr>
                <w:sz w:val="20"/>
                <w:szCs w:val="20"/>
                <w:color w:val="auto"/>
              </w:rPr>
            </w:pPr>
            <w:r>
              <w:rPr>
                <w:rFonts w:ascii="Arial" w:cs="Arial" w:eastAsia="Arial" w:hAnsi="Arial"/>
                <w:sz w:val="17"/>
                <w:szCs w:val="17"/>
                <w:color w:val="auto"/>
              </w:rPr>
              <w:t>1-4 family owner occupied - jumbo</w:t>
            </w:r>
          </w:p>
        </w:tc>
        <w:tc>
          <w:tcPr>
            <w:tcW w:w="1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544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840,602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841,146</w:t>
            </w:r>
          </w:p>
        </w:tc>
        <w:tc>
          <w:tcPr>
            <w:tcW w:w="0" w:type="dxa"/>
            <w:vAlign w:val="bottom"/>
          </w:tcPr>
          <w:p>
            <w:pPr>
              <w:spacing w:after="0"/>
              <w:rPr>
                <w:sz w:val="1"/>
                <w:szCs w:val="1"/>
                <w:color w:val="auto"/>
              </w:rPr>
            </w:pPr>
          </w:p>
        </w:tc>
      </w:tr>
      <w:tr>
        <w:trPr>
          <w:trHeight w:val="259"/>
        </w:trPr>
        <w:tc>
          <w:tcPr>
            <w:tcW w:w="3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1-4 family owner occupied - non-jumbo</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1,244</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299,388</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303,756</w:t>
            </w:r>
          </w:p>
        </w:tc>
        <w:tc>
          <w:tcPr>
            <w:tcW w:w="0" w:type="dxa"/>
            <w:vAlign w:val="bottom"/>
          </w:tcPr>
          <w:p>
            <w:pPr>
              <w:spacing w:after="0"/>
              <w:rPr>
                <w:sz w:val="1"/>
                <w:szCs w:val="1"/>
                <w:color w:val="auto"/>
              </w:rPr>
            </w:pPr>
          </w:p>
        </w:tc>
      </w:tr>
      <w:tr>
        <w:trPr>
          <w:trHeight w:val="257"/>
        </w:trPr>
        <w:tc>
          <w:tcPr>
            <w:tcW w:w="3400" w:type="dxa"/>
            <w:vAlign w:val="bottom"/>
          </w:tcPr>
          <w:p>
            <w:pPr>
              <w:ind w:left="320"/>
              <w:spacing w:after="0"/>
              <w:rPr>
                <w:sz w:val="20"/>
                <w:szCs w:val="20"/>
                <w:color w:val="auto"/>
              </w:rPr>
            </w:pPr>
            <w:r>
              <w:rPr>
                <w:rFonts w:ascii="Arial" w:cs="Arial" w:eastAsia="Arial" w:hAnsi="Arial"/>
                <w:sz w:val="17"/>
                <w:szCs w:val="17"/>
                <w:color w:val="auto"/>
              </w:rPr>
              <w:t>1-4 family non-owner occupied</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187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180,491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180,678</w:t>
            </w:r>
          </w:p>
        </w:tc>
        <w:tc>
          <w:tcPr>
            <w:tcW w:w="0" w:type="dxa"/>
            <w:vAlign w:val="bottom"/>
          </w:tcPr>
          <w:p>
            <w:pPr>
              <w:spacing w:after="0"/>
              <w:rPr>
                <w:sz w:val="1"/>
                <w:szCs w:val="1"/>
                <w:color w:val="auto"/>
              </w:rPr>
            </w:pPr>
          </w:p>
        </w:tc>
      </w:tr>
      <w:tr>
        <w:trPr>
          <w:trHeight w:val="259"/>
        </w:trPr>
        <w:tc>
          <w:tcPr>
            <w:tcW w:w="3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1-4 family - 2nd lien</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112,875</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113,486</w:t>
            </w:r>
          </w:p>
        </w:tc>
        <w:tc>
          <w:tcPr>
            <w:tcW w:w="0" w:type="dxa"/>
            <w:vAlign w:val="bottom"/>
          </w:tcPr>
          <w:p>
            <w:pPr>
              <w:spacing w:after="0"/>
              <w:rPr>
                <w:sz w:val="1"/>
                <w:szCs w:val="1"/>
                <w:color w:val="auto"/>
              </w:rPr>
            </w:pPr>
          </w:p>
        </w:tc>
      </w:tr>
      <w:tr>
        <w:trPr>
          <w:trHeight w:val="257"/>
        </w:trPr>
        <w:tc>
          <w:tcPr>
            <w:tcW w:w="3400" w:type="dxa"/>
            <w:vAlign w:val="bottom"/>
          </w:tcPr>
          <w:p>
            <w:pPr>
              <w:ind w:left="320"/>
              <w:spacing w:after="0"/>
              <w:rPr>
                <w:sz w:val="20"/>
                <w:szCs w:val="20"/>
                <w:color w:val="auto"/>
              </w:rPr>
            </w:pPr>
            <w:r>
              <w:rPr>
                <w:rFonts w:ascii="Arial" w:cs="Arial" w:eastAsia="Arial" w:hAnsi="Arial"/>
                <w:sz w:val="17"/>
                <w:szCs w:val="17"/>
                <w:color w:val="auto"/>
              </w:rPr>
              <w:t>Resort lending</w:t>
            </w:r>
          </w:p>
        </w:tc>
        <w:tc>
          <w:tcPr>
            <w:tcW w:w="1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271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271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36,571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36,842</w:t>
            </w:r>
          </w:p>
        </w:tc>
        <w:tc>
          <w:tcPr>
            <w:tcW w:w="0" w:type="dxa"/>
            <w:vAlign w:val="bottom"/>
          </w:tcPr>
          <w:p>
            <w:pPr>
              <w:spacing w:after="0"/>
              <w:rPr>
                <w:sz w:val="1"/>
                <w:szCs w:val="1"/>
                <w:color w:val="auto"/>
              </w:rPr>
            </w:pPr>
          </w:p>
        </w:tc>
      </w:tr>
      <w:tr>
        <w:trPr>
          <w:trHeight w:val="220"/>
        </w:trPr>
        <w:tc>
          <w:tcPr>
            <w:tcW w:w="3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Installment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400" w:type="dxa"/>
            <w:vAlign w:val="bottom"/>
          </w:tcPr>
          <w:p>
            <w:pPr>
              <w:ind w:left="320"/>
              <w:spacing w:after="0"/>
              <w:rPr>
                <w:sz w:val="20"/>
                <w:szCs w:val="20"/>
                <w:color w:val="auto"/>
              </w:rPr>
            </w:pPr>
            <w:r>
              <w:rPr>
                <w:rFonts w:ascii="Arial" w:cs="Arial" w:eastAsia="Arial" w:hAnsi="Arial"/>
                <w:sz w:val="17"/>
                <w:szCs w:val="17"/>
                <w:color w:val="auto"/>
              </w:rPr>
              <w:t>Boat lending</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688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1,026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273,158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274,184</w:t>
            </w:r>
          </w:p>
        </w:tc>
        <w:tc>
          <w:tcPr>
            <w:tcW w:w="0" w:type="dxa"/>
            <w:vAlign w:val="bottom"/>
          </w:tcPr>
          <w:p>
            <w:pPr>
              <w:spacing w:after="0"/>
              <w:rPr>
                <w:sz w:val="1"/>
                <w:szCs w:val="1"/>
                <w:color w:val="auto"/>
              </w:rPr>
            </w:pPr>
          </w:p>
        </w:tc>
      </w:tr>
      <w:tr>
        <w:trPr>
          <w:trHeight w:val="259"/>
        </w:trPr>
        <w:tc>
          <w:tcPr>
            <w:tcW w:w="3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Recreational vehicle lending</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258,609</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259,545</w:t>
            </w:r>
          </w:p>
        </w:tc>
        <w:tc>
          <w:tcPr>
            <w:tcW w:w="0" w:type="dxa"/>
            <w:vAlign w:val="bottom"/>
          </w:tcPr>
          <w:p>
            <w:pPr>
              <w:spacing w:after="0"/>
              <w:rPr>
                <w:sz w:val="1"/>
                <w:szCs w:val="1"/>
                <w:color w:val="auto"/>
              </w:rPr>
            </w:pPr>
          </w:p>
        </w:tc>
      </w:tr>
      <w:tr>
        <w:trPr>
          <w:trHeight w:val="257"/>
        </w:trPr>
        <w:tc>
          <w:tcPr>
            <w:tcW w:w="340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Other</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105,288</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105,727</w:t>
            </w:r>
          </w:p>
        </w:tc>
        <w:tc>
          <w:tcPr>
            <w:tcW w:w="0" w:type="dxa"/>
            <w:vAlign w:val="bottom"/>
          </w:tcPr>
          <w:p>
            <w:pPr>
              <w:spacing w:after="0"/>
              <w:rPr>
                <w:sz w:val="1"/>
                <w:szCs w:val="1"/>
                <w:color w:val="auto"/>
              </w:rPr>
            </w:pPr>
          </w:p>
        </w:tc>
      </w:tr>
      <w:tr>
        <w:trPr>
          <w:trHeight w:val="238"/>
        </w:trPr>
        <w:tc>
          <w:tcPr>
            <w:tcW w:w="34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3,780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8,613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3,732,873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3,741,486</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interest excluded from total</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11,899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11,962</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December 31, 2022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3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400" w:type="dxa"/>
            <w:vAlign w:val="bottom"/>
          </w:tcPr>
          <w:p>
            <w:pPr>
              <w:ind w:left="180"/>
              <w:spacing w:after="0"/>
              <w:rPr>
                <w:sz w:val="20"/>
                <w:szCs w:val="20"/>
                <w:color w:val="auto"/>
              </w:rPr>
            </w:pPr>
            <w:r>
              <w:rPr>
                <w:rFonts w:ascii="Arial" w:cs="Arial" w:eastAsia="Arial" w:hAnsi="Arial"/>
                <w:sz w:val="17"/>
                <w:szCs w:val="17"/>
                <w:color w:val="auto"/>
              </w:rPr>
              <w:t>Commercial</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3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Commercial and industrial</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732,425</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732,463</w:t>
            </w:r>
          </w:p>
        </w:tc>
        <w:tc>
          <w:tcPr>
            <w:tcW w:w="0" w:type="dxa"/>
            <w:vAlign w:val="bottom"/>
          </w:tcPr>
          <w:p>
            <w:pPr>
              <w:spacing w:after="0"/>
              <w:rPr>
                <w:sz w:val="1"/>
                <w:szCs w:val="1"/>
                <w:color w:val="auto"/>
              </w:rPr>
            </w:pPr>
          </w:p>
        </w:tc>
      </w:tr>
      <w:tr>
        <w:trPr>
          <w:trHeight w:val="257"/>
        </w:trPr>
        <w:tc>
          <w:tcPr>
            <w:tcW w:w="3400" w:type="dxa"/>
            <w:vAlign w:val="bottom"/>
          </w:tcPr>
          <w:p>
            <w:pPr>
              <w:ind w:left="320"/>
              <w:spacing w:after="0"/>
              <w:rPr>
                <w:sz w:val="20"/>
                <w:szCs w:val="20"/>
                <w:color w:val="auto"/>
              </w:rPr>
            </w:pPr>
            <w:r>
              <w:rPr>
                <w:rFonts w:ascii="Arial" w:cs="Arial" w:eastAsia="Arial" w:hAnsi="Arial"/>
                <w:sz w:val="17"/>
                <w:szCs w:val="17"/>
                <w:color w:val="auto"/>
              </w:rPr>
              <w:t>Commercial real estate</w:t>
            </w:r>
          </w:p>
        </w:tc>
        <w:tc>
          <w:tcPr>
            <w:tcW w:w="1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734,390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734,390</w:t>
            </w:r>
          </w:p>
        </w:tc>
        <w:tc>
          <w:tcPr>
            <w:tcW w:w="0" w:type="dxa"/>
            <w:vAlign w:val="bottom"/>
          </w:tcPr>
          <w:p>
            <w:pPr>
              <w:spacing w:after="0"/>
              <w:rPr>
                <w:sz w:val="1"/>
                <w:szCs w:val="1"/>
                <w:color w:val="auto"/>
              </w:rPr>
            </w:pPr>
          </w:p>
        </w:tc>
      </w:tr>
      <w:tr>
        <w:trPr>
          <w:trHeight w:val="220"/>
        </w:trPr>
        <w:tc>
          <w:tcPr>
            <w:tcW w:w="3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Mortgage</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400" w:type="dxa"/>
            <w:vAlign w:val="bottom"/>
          </w:tcPr>
          <w:p>
            <w:pPr>
              <w:ind w:left="320"/>
              <w:spacing w:after="0"/>
              <w:rPr>
                <w:sz w:val="20"/>
                <w:szCs w:val="20"/>
                <w:color w:val="auto"/>
              </w:rPr>
            </w:pPr>
            <w:r>
              <w:rPr>
                <w:rFonts w:ascii="Arial" w:cs="Arial" w:eastAsia="Arial" w:hAnsi="Arial"/>
                <w:sz w:val="17"/>
                <w:szCs w:val="17"/>
                <w:color w:val="auto"/>
              </w:rPr>
              <w:t>1-4 family owner occupied - jumbo</w:t>
            </w:r>
          </w:p>
        </w:tc>
        <w:tc>
          <w:tcPr>
            <w:tcW w:w="1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752,563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752,563</w:t>
            </w:r>
          </w:p>
        </w:tc>
        <w:tc>
          <w:tcPr>
            <w:tcW w:w="0" w:type="dxa"/>
            <w:vAlign w:val="bottom"/>
          </w:tcPr>
          <w:p>
            <w:pPr>
              <w:spacing w:after="0"/>
              <w:rPr>
                <w:sz w:val="1"/>
                <w:szCs w:val="1"/>
                <w:color w:val="auto"/>
              </w:rPr>
            </w:pPr>
          </w:p>
        </w:tc>
      </w:tr>
      <w:tr>
        <w:trPr>
          <w:trHeight w:val="259"/>
        </w:trPr>
        <w:tc>
          <w:tcPr>
            <w:tcW w:w="3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1-4 family owner occupied - non-jumbo</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282,842</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285,632</w:t>
            </w:r>
          </w:p>
        </w:tc>
        <w:tc>
          <w:tcPr>
            <w:tcW w:w="0" w:type="dxa"/>
            <w:vAlign w:val="bottom"/>
          </w:tcPr>
          <w:p>
            <w:pPr>
              <w:spacing w:after="0"/>
              <w:rPr>
                <w:sz w:val="1"/>
                <w:szCs w:val="1"/>
                <w:color w:val="auto"/>
              </w:rPr>
            </w:pPr>
          </w:p>
        </w:tc>
      </w:tr>
      <w:tr>
        <w:trPr>
          <w:trHeight w:val="257"/>
        </w:trPr>
        <w:tc>
          <w:tcPr>
            <w:tcW w:w="3400" w:type="dxa"/>
            <w:vAlign w:val="bottom"/>
          </w:tcPr>
          <w:p>
            <w:pPr>
              <w:ind w:left="320"/>
              <w:spacing w:after="0"/>
              <w:rPr>
                <w:sz w:val="20"/>
                <w:szCs w:val="20"/>
                <w:color w:val="auto"/>
              </w:rPr>
            </w:pPr>
            <w:r>
              <w:rPr>
                <w:rFonts w:ascii="Arial" w:cs="Arial" w:eastAsia="Arial" w:hAnsi="Arial"/>
                <w:sz w:val="17"/>
                <w:szCs w:val="17"/>
                <w:color w:val="auto"/>
              </w:rPr>
              <w:t>1-4 family non-owner occupied</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354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182,746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183,100</w:t>
            </w:r>
          </w:p>
        </w:tc>
        <w:tc>
          <w:tcPr>
            <w:tcW w:w="0" w:type="dxa"/>
            <w:vAlign w:val="bottom"/>
          </w:tcPr>
          <w:p>
            <w:pPr>
              <w:spacing w:after="0"/>
              <w:rPr>
                <w:sz w:val="1"/>
                <w:szCs w:val="1"/>
                <w:color w:val="auto"/>
              </w:rPr>
            </w:pPr>
          </w:p>
        </w:tc>
      </w:tr>
      <w:tr>
        <w:trPr>
          <w:trHeight w:val="259"/>
        </w:trPr>
        <w:tc>
          <w:tcPr>
            <w:tcW w:w="3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1-4 family - 2nd lien</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104,703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105,277</w:t>
            </w:r>
          </w:p>
        </w:tc>
        <w:tc>
          <w:tcPr>
            <w:tcW w:w="0" w:type="dxa"/>
            <w:vAlign w:val="bottom"/>
          </w:tcPr>
          <w:p>
            <w:pPr>
              <w:spacing w:after="0"/>
              <w:rPr>
                <w:sz w:val="1"/>
                <w:szCs w:val="1"/>
                <w:color w:val="auto"/>
              </w:rPr>
            </w:pPr>
          </w:p>
        </w:tc>
      </w:tr>
      <w:tr>
        <w:trPr>
          <w:trHeight w:val="257"/>
        </w:trPr>
        <w:tc>
          <w:tcPr>
            <w:tcW w:w="3400" w:type="dxa"/>
            <w:vAlign w:val="bottom"/>
          </w:tcPr>
          <w:p>
            <w:pPr>
              <w:ind w:left="320"/>
              <w:spacing w:after="0"/>
              <w:rPr>
                <w:sz w:val="20"/>
                <w:szCs w:val="20"/>
                <w:color w:val="auto"/>
              </w:rPr>
            </w:pPr>
            <w:r>
              <w:rPr>
                <w:rFonts w:ascii="Arial" w:cs="Arial" w:eastAsia="Arial" w:hAnsi="Arial"/>
                <w:sz w:val="17"/>
                <w:szCs w:val="17"/>
                <w:color w:val="auto"/>
              </w:rPr>
              <w:t>Resort lending</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41,635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41,837</w:t>
            </w:r>
          </w:p>
        </w:tc>
        <w:tc>
          <w:tcPr>
            <w:tcW w:w="0" w:type="dxa"/>
            <w:vAlign w:val="bottom"/>
          </w:tcPr>
          <w:p>
            <w:pPr>
              <w:spacing w:after="0"/>
              <w:rPr>
                <w:sz w:val="1"/>
                <w:szCs w:val="1"/>
                <w:color w:val="auto"/>
              </w:rPr>
            </w:pPr>
          </w:p>
        </w:tc>
      </w:tr>
      <w:tr>
        <w:trPr>
          <w:trHeight w:val="220"/>
        </w:trPr>
        <w:tc>
          <w:tcPr>
            <w:tcW w:w="3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Installment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400" w:type="dxa"/>
            <w:vAlign w:val="bottom"/>
          </w:tcPr>
          <w:p>
            <w:pPr>
              <w:ind w:left="320"/>
              <w:spacing w:after="0"/>
              <w:rPr>
                <w:sz w:val="20"/>
                <w:szCs w:val="20"/>
                <w:color w:val="auto"/>
              </w:rPr>
            </w:pPr>
            <w:r>
              <w:rPr>
                <w:rFonts w:ascii="Arial" w:cs="Arial" w:eastAsia="Arial" w:hAnsi="Arial"/>
                <w:sz w:val="17"/>
                <w:szCs w:val="17"/>
                <w:color w:val="auto"/>
              </w:rPr>
              <w:t>Boat lending</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528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295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837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252,128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252,965</w:t>
            </w:r>
          </w:p>
        </w:tc>
        <w:tc>
          <w:tcPr>
            <w:tcW w:w="0" w:type="dxa"/>
            <w:vAlign w:val="bottom"/>
          </w:tcPr>
          <w:p>
            <w:pPr>
              <w:spacing w:after="0"/>
              <w:rPr>
                <w:sz w:val="1"/>
                <w:szCs w:val="1"/>
                <w:color w:val="auto"/>
              </w:rPr>
            </w:pPr>
          </w:p>
        </w:tc>
      </w:tr>
      <w:tr>
        <w:trPr>
          <w:trHeight w:val="259"/>
        </w:trPr>
        <w:tc>
          <w:tcPr>
            <w:tcW w:w="3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Recreational vehicle lending</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269,869</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270,673</w:t>
            </w:r>
          </w:p>
        </w:tc>
        <w:tc>
          <w:tcPr>
            <w:tcW w:w="0" w:type="dxa"/>
            <w:vAlign w:val="bottom"/>
          </w:tcPr>
          <w:p>
            <w:pPr>
              <w:spacing w:after="0"/>
              <w:rPr>
                <w:sz w:val="1"/>
                <w:szCs w:val="1"/>
                <w:color w:val="auto"/>
              </w:rPr>
            </w:pPr>
          </w:p>
        </w:tc>
      </w:tr>
      <w:tr>
        <w:trPr>
          <w:trHeight w:val="257"/>
        </w:trPr>
        <w:tc>
          <w:tcPr>
            <w:tcW w:w="340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Other</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106,068</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106,452</w:t>
            </w:r>
          </w:p>
        </w:tc>
        <w:tc>
          <w:tcPr>
            <w:tcW w:w="0" w:type="dxa"/>
            <w:vAlign w:val="bottom"/>
          </w:tcPr>
          <w:p>
            <w:pPr>
              <w:spacing w:after="0"/>
              <w:rPr>
                <w:sz w:val="1"/>
                <w:szCs w:val="1"/>
                <w:color w:val="auto"/>
              </w:rPr>
            </w:pPr>
          </w:p>
        </w:tc>
      </w:tr>
      <w:tr>
        <w:trPr>
          <w:trHeight w:val="238"/>
        </w:trPr>
        <w:tc>
          <w:tcPr>
            <w:tcW w:w="34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3,317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5,983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3,459,369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3,465,352</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400" w:type="dxa"/>
            <w:vAlign w:val="bottom"/>
          </w:tcPr>
          <w:p>
            <w:pPr>
              <w:ind w:left="20"/>
              <w:spacing w:after="0" w:line="191" w:lineRule="exact"/>
              <w:rPr>
                <w:sz w:val="20"/>
                <w:szCs w:val="20"/>
                <w:color w:val="auto"/>
              </w:rPr>
            </w:pPr>
            <w:r>
              <w:rPr>
                <w:rFonts w:ascii="Arial" w:cs="Arial" w:eastAsia="Arial" w:hAnsi="Arial"/>
                <w:sz w:val="17"/>
                <w:szCs w:val="17"/>
                <w:color w:val="auto"/>
              </w:rPr>
              <w:t>Accrued interest excluded from total</w:t>
            </w:r>
          </w:p>
        </w:tc>
        <w:tc>
          <w:tcPr>
            <w:tcW w:w="160" w:type="dxa"/>
            <w:vAlign w:val="bottom"/>
          </w:tcPr>
          <w:p>
            <w:pPr>
              <w:jc w:val="right"/>
              <w:spacing w:after="0" w:line="191" w:lineRule="exact"/>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line="191" w:lineRule="exact"/>
              <w:rPr>
                <w:sz w:val="20"/>
                <w:szCs w:val="20"/>
                <w:color w:val="auto"/>
              </w:rPr>
            </w:pPr>
            <w:r>
              <w:rPr>
                <w:rFonts w:ascii="Arial" w:cs="Arial" w:eastAsia="Arial" w:hAnsi="Arial"/>
                <w:sz w:val="17"/>
                <w:szCs w:val="17"/>
                <w:color w:val="auto"/>
              </w:rPr>
              <w:t>27</w:t>
            </w:r>
          </w:p>
        </w:tc>
        <w:tc>
          <w:tcPr>
            <w:tcW w:w="80" w:type="dxa"/>
            <w:vAlign w:val="bottom"/>
          </w:tcPr>
          <w:p>
            <w:pPr>
              <w:spacing w:after="0"/>
              <w:rPr>
                <w:sz w:val="16"/>
                <w:szCs w:val="16"/>
                <w:color w:val="auto"/>
              </w:rPr>
            </w:pPr>
          </w:p>
        </w:tc>
        <w:tc>
          <w:tcPr>
            <w:tcW w:w="180" w:type="dxa"/>
            <w:vAlign w:val="bottom"/>
          </w:tcPr>
          <w:p>
            <w:pPr>
              <w:jc w:val="right"/>
              <w:spacing w:after="0" w:line="191" w:lineRule="exact"/>
              <w:rPr>
                <w:sz w:val="20"/>
                <w:szCs w:val="20"/>
                <w:color w:val="auto"/>
              </w:rPr>
            </w:pPr>
            <w:r>
              <w:rPr>
                <w:rFonts w:ascii="Arial" w:cs="Arial" w:eastAsia="Arial" w:hAnsi="Arial"/>
                <w:sz w:val="17"/>
                <w:szCs w:val="17"/>
                <w:color w:val="auto"/>
              </w:rPr>
              <w:t>$</w:t>
            </w:r>
          </w:p>
        </w:tc>
        <w:tc>
          <w:tcPr>
            <w:tcW w:w="1060" w:type="dxa"/>
            <w:vAlign w:val="bottom"/>
          </w:tcPr>
          <w:p>
            <w:pPr>
              <w:jc w:val="right"/>
              <w:spacing w:after="0" w:line="191" w:lineRule="exact"/>
              <w:rPr>
                <w:sz w:val="20"/>
                <w:szCs w:val="20"/>
                <w:color w:val="auto"/>
              </w:rPr>
            </w:pPr>
            <w:r>
              <w:rPr>
                <w:rFonts w:ascii="Arial" w:cs="Arial" w:eastAsia="Arial" w:hAnsi="Arial"/>
                <w:sz w:val="17"/>
                <w:szCs w:val="17"/>
                <w:color w:val="auto"/>
              </w:rPr>
              <w:t>7</w:t>
            </w:r>
          </w:p>
        </w:tc>
        <w:tc>
          <w:tcPr>
            <w:tcW w:w="80" w:type="dxa"/>
            <w:vAlign w:val="bottom"/>
          </w:tcPr>
          <w:p>
            <w:pPr>
              <w:spacing w:after="0"/>
              <w:rPr>
                <w:sz w:val="16"/>
                <w:szCs w:val="16"/>
                <w:color w:val="auto"/>
              </w:rPr>
            </w:pPr>
          </w:p>
        </w:tc>
        <w:tc>
          <w:tcPr>
            <w:tcW w:w="200" w:type="dxa"/>
            <w:vAlign w:val="bottom"/>
          </w:tcPr>
          <w:p>
            <w:pPr>
              <w:jc w:val="right"/>
              <w:ind w:right="14"/>
              <w:spacing w:after="0" w:line="191" w:lineRule="exact"/>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60"/>
              <w:spacing w:after="0" w:line="191" w:lineRule="exact"/>
              <w:rPr>
                <w:sz w:val="20"/>
                <w:szCs w:val="20"/>
                <w:color w:val="auto"/>
              </w:rPr>
            </w:pPr>
            <w:r>
              <w:rPr>
                <w:rFonts w:ascii="Arial" w:cs="Arial" w:eastAsia="Arial" w:hAnsi="Arial"/>
                <w:sz w:val="17"/>
                <w:szCs w:val="17"/>
                <w:color w:val="auto"/>
              </w:rPr>
              <w:t>—</w:t>
            </w:r>
          </w:p>
        </w:tc>
        <w:tc>
          <w:tcPr>
            <w:tcW w:w="260" w:type="dxa"/>
            <w:vAlign w:val="bottom"/>
          </w:tcPr>
          <w:p>
            <w:pPr>
              <w:jc w:val="right"/>
              <w:ind w:right="74"/>
              <w:spacing w:after="0" w:line="191" w:lineRule="exact"/>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line="191" w:lineRule="exact"/>
              <w:rPr>
                <w:sz w:val="20"/>
                <w:szCs w:val="20"/>
                <w:color w:val="auto"/>
              </w:rPr>
            </w:pPr>
            <w:r>
              <w:rPr>
                <w:rFonts w:ascii="Arial" w:cs="Arial" w:eastAsia="Arial" w:hAnsi="Arial"/>
                <w:sz w:val="17"/>
                <w:szCs w:val="17"/>
                <w:color w:val="auto"/>
              </w:rPr>
              <w:t>34</w:t>
            </w:r>
          </w:p>
        </w:tc>
        <w:tc>
          <w:tcPr>
            <w:tcW w:w="100" w:type="dxa"/>
            <w:vAlign w:val="bottom"/>
          </w:tcPr>
          <w:p>
            <w:pPr>
              <w:spacing w:after="0"/>
              <w:rPr>
                <w:sz w:val="16"/>
                <w:szCs w:val="16"/>
                <w:color w:val="auto"/>
              </w:rPr>
            </w:pPr>
          </w:p>
        </w:tc>
        <w:tc>
          <w:tcPr>
            <w:tcW w:w="180" w:type="dxa"/>
            <w:vAlign w:val="bottom"/>
          </w:tcPr>
          <w:p>
            <w:pPr>
              <w:jc w:val="right"/>
              <w:spacing w:after="0" w:line="191" w:lineRule="exact"/>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line="191" w:lineRule="exact"/>
              <w:rPr>
                <w:sz w:val="20"/>
                <w:szCs w:val="20"/>
                <w:color w:val="auto"/>
              </w:rPr>
            </w:pPr>
            <w:r>
              <w:rPr>
                <w:rFonts w:ascii="Arial" w:cs="Arial" w:eastAsia="Arial" w:hAnsi="Arial"/>
                <w:sz w:val="17"/>
                <w:szCs w:val="17"/>
                <w:color w:val="auto"/>
              </w:rPr>
              <w:t>9,975</w:t>
            </w:r>
          </w:p>
        </w:tc>
        <w:tc>
          <w:tcPr>
            <w:tcW w:w="80" w:type="dxa"/>
            <w:vAlign w:val="bottom"/>
          </w:tcPr>
          <w:p>
            <w:pPr>
              <w:spacing w:after="0"/>
              <w:rPr>
                <w:sz w:val="16"/>
                <w:szCs w:val="16"/>
                <w:color w:val="auto"/>
              </w:rPr>
            </w:pPr>
          </w:p>
        </w:tc>
        <w:tc>
          <w:tcPr>
            <w:tcW w:w="260" w:type="dxa"/>
            <w:vAlign w:val="bottom"/>
          </w:tcPr>
          <w:p>
            <w:pPr>
              <w:jc w:val="right"/>
              <w:ind w:right="54"/>
              <w:spacing w:after="0" w:line="191"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91" w:lineRule="exact"/>
              <w:rPr>
                <w:sz w:val="20"/>
                <w:szCs w:val="20"/>
                <w:color w:val="auto"/>
              </w:rPr>
            </w:pPr>
            <w:r>
              <w:rPr>
                <w:rFonts w:ascii="Arial" w:cs="Arial" w:eastAsia="Arial" w:hAnsi="Arial"/>
                <w:sz w:val="17"/>
                <w:szCs w:val="17"/>
                <w:color w:val="auto"/>
              </w:rPr>
              <w:t>10,009</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nine months ended September 30, 2023, there were no troubled loan modifications or subsequent defaults.</w:t>
      </w:r>
    </w:p>
    <w:p>
      <w:pPr>
        <w:spacing w:after="0" w:line="230"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During the nine months ended September 30, 2022, the terms of one loan were modified as a TDR. The modification of the terms of this loan included a reduction of the stated interest rate of the loan and a 34 month extension of the maturity date. The pre- and post-modification outstanding loan balances were both $0.3 million at September 30, 2022. This TDR increased the ACL by $0.03 million and resulted in zero charge-offs during the nine months ended September 30, 2022. There were no TDRs that subsequently defaulted within twelve months following the modification during the three and nine month period ended September 30, 2022.</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A loan is considered to be in payment default generally once it is 90 days contractually past due under the modified terms.</w:t>
      </w:r>
    </w:p>
    <w:p>
      <w:pPr>
        <w:spacing w:after="0" w:line="19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order to determine whether a borrower is experiencing financial difficulty, we perform an evaluation of the probability that the borrower will be in payment default on any of its debt in the foreseeable future without the modification. This evaluation is performed under our internal underwriting policy.</w:t>
      </w:r>
    </w:p>
    <w:p>
      <w:pPr>
        <w:spacing w:after="0" w:line="9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Credit Quality Indicators </w:t>
      </w:r>
      <w:r>
        <w:rPr>
          <w:rFonts w:ascii="Arial" w:cs="Arial" w:eastAsia="Arial" w:hAnsi="Arial"/>
          <w:sz w:val="17"/>
          <w:szCs w:val="17"/>
          <w:color w:val="auto"/>
        </w:rPr>
        <w:t>– As part of our on-going monitoring of the credit quality of our loan portfolios, we track certain credit quality indicators including (a)</w:t>
      </w:r>
      <w:r>
        <w:rPr>
          <w:rFonts w:ascii="Arial" w:cs="Arial" w:eastAsia="Arial" w:hAnsi="Arial"/>
          <w:sz w:val="17"/>
          <w:szCs w:val="17"/>
          <w:b w:val="1"/>
          <w:bCs w:val="1"/>
          <w:color w:val="auto"/>
        </w:rPr>
        <w:t xml:space="preserve"> </w:t>
      </w:r>
      <w:r>
        <w:rPr>
          <w:rFonts w:ascii="Arial" w:cs="Arial" w:eastAsia="Arial" w:hAnsi="Arial"/>
          <w:sz w:val="17"/>
          <w:szCs w:val="17"/>
          <w:color w:val="auto"/>
        </w:rPr>
        <w:t>risk grade of commercial loans, (b) the level of classified commercial loans, (c) credit scores of mortgage and installment loan borrowers, and (d) delinquency history and non-performing loans.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For commercial loans, we use a loan rating system that is similar to those employed by state and federal banking regulators. Loans are graded on a scale of 1 to 12.</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A description of the general characteristics of the ratings follows:</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Rating 1 through 6</w:t>
      </w:r>
      <w:r>
        <w:rPr>
          <w:rFonts w:ascii="Arial" w:cs="Arial" w:eastAsia="Arial" w:hAnsi="Arial"/>
          <w:sz w:val="17"/>
          <w:szCs w:val="17"/>
          <w:color w:val="auto"/>
        </w:rPr>
        <w:t>: These loans are generally referred to as our “non-watch” commercial credits that include very high or exceptional credit fundamentals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acceptable credit fundamentals.</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Rating 7 and 8</w:t>
      </w:r>
      <w:r>
        <w:rPr>
          <w:rFonts w:ascii="Arial" w:cs="Arial" w:eastAsia="Arial" w:hAnsi="Arial"/>
          <w:sz w:val="17"/>
          <w:szCs w:val="17"/>
          <w:color w:val="auto"/>
        </w:rPr>
        <w:t>: These loans are generally referred to as our “watch” commercial credits. These ratings include loans to borrowers that exhibit potential credit</w:t>
      </w:r>
      <w:r>
        <w:rPr>
          <w:rFonts w:ascii="Arial" w:cs="Arial" w:eastAsia="Arial" w:hAnsi="Arial"/>
          <w:sz w:val="17"/>
          <w:szCs w:val="17"/>
          <w:i w:val="1"/>
          <w:iCs w:val="1"/>
          <w:color w:val="auto"/>
        </w:rPr>
        <w:t xml:space="preserve"> </w:t>
      </w:r>
      <w:r>
        <w:rPr>
          <w:rFonts w:ascii="Arial" w:cs="Arial" w:eastAsia="Arial" w:hAnsi="Arial"/>
          <w:sz w:val="17"/>
          <w:szCs w:val="17"/>
          <w:color w:val="auto"/>
        </w:rPr>
        <w:t>weakness or downward trends. If not checked or cured these trends could weaken our asset or credit position. While potentially weak, no loss of principal or interest is envisioned with these ratings.</w:t>
      </w:r>
    </w:p>
    <w:p>
      <w:pPr>
        <w:spacing w:after="0" w:line="13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Rating 9</w:t>
      </w:r>
      <w:r>
        <w:rPr>
          <w:rFonts w:ascii="Arial" w:cs="Arial" w:eastAsia="Arial" w:hAnsi="Arial"/>
          <w:sz w:val="17"/>
          <w:szCs w:val="17"/>
          <w:color w:val="auto"/>
        </w:rPr>
        <w:t>: These loans are generally referred to as our “substandard accruing” commercial credits. This rating includes loans to borrowers that exhibit a well-defined weakness where payment default is probable and loss is possible if deficiencies are not corrected. Generally, loans with this rating are considered collectible as to both principal and interest primarily due to collateral coverage.</w:t>
      </w:r>
    </w:p>
    <w:p>
      <w:pPr>
        <w:spacing w:after="0" w:line="14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Rating 10 and 11</w:t>
      </w:r>
      <w:r>
        <w:rPr>
          <w:rFonts w:ascii="Arial" w:cs="Arial" w:eastAsia="Arial" w:hAnsi="Arial"/>
          <w:sz w:val="17"/>
          <w:szCs w:val="17"/>
          <w:color w:val="auto"/>
        </w:rPr>
        <w:t>: These loans are generally referred to as our ‘‘substandard - non-accrual’’ and ‘‘doubtful’’ commercial credits. Our doubtful rating includes a sub</w:t>
      </w:r>
      <w:r>
        <w:rPr>
          <w:rFonts w:ascii="Arial" w:cs="Arial" w:eastAsia="Arial" w:hAnsi="Arial"/>
          <w:sz w:val="17"/>
          <w:szCs w:val="17"/>
          <w:i w:val="1"/>
          <w:iCs w:val="1"/>
          <w:color w:val="auto"/>
        </w:rPr>
        <w:t xml:space="preserve"> </w:t>
      </w:r>
      <w:r>
        <w:rPr>
          <w:rFonts w:ascii="Arial" w:cs="Arial" w:eastAsia="Arial" w:hAnsi="Arial"/>
          <w:sz w:val="17"/>
          <w:szCs w:val="17"/>
          <w:color w:val="auto"/>
        </w:rPr>
        <w:t>classification for a loss rate other than 50% (which is the standard doubtful loss rate). These ratings include loans to borrowers with weaknesses that make collection of the loan in full, on the basis of current facts, conditions and values at best questionable and at worst improbable. All of these loans are placed in non-accrual.</w:t>
      </w:r>
    </w:p>
    <w:p>
      <w:pPr>
        <w:spacing w:after="0" w:line="1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Rating 12</w:t>
      </w:r>
      <w:r>
        <w:rPr>
          <w:rFonts w:ascii="Arial" w:cs="Arial" w:eastAsia="Arial" w:hAnsi="Arial"/>
          <w:sz w:val="17"/>
          <w:szCs w:val="17"/>
          <w:color w:val="auto"/>
        </w:rPr>
        <w:t>: These loans are generally referred to as our “loss” commercial credits. This rating includes loans to borrowers that are deemed incapable of repayment</w:t>
      </w:r>
      <w:r>
        <w:rPr>
          <w:rFonts w:ascii="Arial" w:cs="Arial" w:eastAsia="Arial" w:hAnsi="Arial"/>
          <w:sz w:val="17"/>
          <w:szCs w:val="17"/>
          <w:i w:val="1"/>
          <w:iCs w:val="1"/>
          <w:color w:val="auto"/>
        </w:rPr>
        <w:t xml:space="preserve"> </w:t>
      </w:r>
      <w:r>
        <w:rPr>
          <w:rFonts w:ascii="Arial" w:cs="Arial" w:eastAsia="Arial" w:hAnsi="Arial"/>
          <w:sz w:val="17"/>
          <w:szCs w:val="17"/>
          <w:color w:val="auto"/>
        </w:rPr>
        <w:t>and are charged-off.</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loan ratings by loan class for our commercial portfolio loan segment at September 30, 2023 and December 31, 2022:</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center"/>
              <w:ind w:right="140"/>
              <w:spacing w:after="0"/>
              <w:rPr>
                <w:sz w:val="20"/>
                <w:szCs w:val="20"/>
                <w:color w:val="auto"/>
              </w:rPr>
            </w:pPr>
            <w:r>
              <w:rPr>
                <w:rFonts w:ascii="Arial" w:cs="Arial" w:eastAsia="Arial" w:hAnsi="Arial"/>
                <w:sz w:val="14"/>
                <w:szCs w:val="14"/>
                <w:color w:val="auto"/>
                <w:w w:val="91"/>
              </w:rPr>
              <w:t>Commercial</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3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Revolving</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60" w:type="dxa"/>
            <w:vAlign w:val="bottom"/>
            <w:gridSpan w:val="11"/>
            <w:vMerge w:val="restart"/>
          </w:tcPr>
          <w:p>
            <w:pPr>
              <w:ind w:left="240"/>
              <w:spacing w:after="0"/>
              <w:rPr>
                <w:sz w:val="20"/>
                <w:szCs w:val="20"/>
                <w:color w:val="auto"/>
              </w:rPr>
            </w:pPr>
            <w:r>
              <w:rPr>
                <w:rFonts w:ascii="Arial" w:cs="Arial" w:eastAsia="Arial" w:hAnsi="Arial"/>
                <w:sz w:val="14"/>
                <w:szCs w:val="14"/>
                <w:color w:val="auto"/>
              </w:rPr>
              <w:t>Term Loans Amortized Cost Basis by Origination Year</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color w:val="auto"/>
                <w:w w:val="83"/>
              </w:rPr>
              <w:t>Loans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760" w:type="dxa"/>
            <w:vAlign w:val="bottom"/>
            <w:gridSpan w:val="11"/>
            <w:vMerge w:val="continue"/>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center"/>
              <w:ind w:right="200"/>
              <w:spacing w:after="0" w:line="147" w:lineRule="exact"/>
              <w:rPr>
                <w:sz w:val="20"/>
                <w:szCs w:val="20"/>
                <w:color w:val="auto"/>
              </w:rPr>
            </w:pPr>
            <w:r>
              <w:rPr>
                <w:rFonts w:ascii="Arial" w:cs="Arial" w:eastAsia="Arial" w:hAnsi="Arial"/>
                <w:sz w:val="14"/>
                <w:szCs w:val="14"/>
                <w:color w:val="auto"/>
                <w:w w:val="95"/>
              </w:rPr>
              <w:t>Amortized</w:t>
            </w: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31"/>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31"/>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51"/>
              <w:spacing w:after="0"/>
              <w:rPr>
                <w:sz w:val="20"/>
                <w:szCs w:val="20"/>
                <w:color w:val="auto"/>
              </w:rPr>
            </w:pPr>
            <w:r>
              <w:rPr>
                <w:rFonts w:ascii="Arial" w:cs="Arial" w:eastAsia="Arial" w:hAnsi="Arial"/>
                <w:sz w:val="14"/>
                <w:szCs w:val="14"/>
                <w:color w:val="auto"/>
              </w:rPr>
              <w:t>2021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51"/>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31"/>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color w:val="auto"/>
              </w:rPr>
              <w:t>Prior</w:t>
            </w: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Cost Basis</w:t>
            </w:r>
          </w:p>
        </w:tc>
        <w:tc>
          <w:tcPr>
            <w:tcW w:w="220" w:type="dxa"/>
            <w:vAlign w:val="bottom"/>
          </w:tcPr>
          <w:p>
            <w:pPr>
              <w:spacing w:after="0"/>
              <w:rPr>
                <w:sz w:val="16"/>
                <w:szCs w:val="16"/>
                <w:color w:val="auto"/>
              </w:rPr>
            </w:pPr>
          </w:p>
        </w:tc>
        <w:tc>
          <w:tcPr>
            <w:tcW w:w="800" w:type="dxa"/>
            <w:vAlign w:val="bottom"/>
          </w:tcPr>
          <w:p>
            <w:pPr>
              <w:jc w:val="right"/>
              <w:ind w:right="29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4"/>
        </w:trPr>
        <w:tc>
          <w:tcPr>
            <w:tcW w:w="3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3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5"/>
          </w:tcPr>
          <w:p>
            <w:pPr>
              <w:jc w:val="center"/>
              <w:ind w:right="160"/>
              <w:spacing w:after="0"/>
              <w:rPr>
                <w:sz w:val="20"/>
                <w:szCs w:val="20"/>
                <w:color w:val="auto"/>
              </w:rPr>
            </w:pPr>
            <w:r>
              <w:rPr>
                <w:rFonts w:ascii="Arial" w:cs="Arial" w:eastAsia="Arial" w:hAnsi="Arial"/>
                <w:sz w:val="14"/>
                <w:szCs w:val="14"/>
                <w:color w:val="auto"/>
                <w:w w:val="87"/>
              </w:rPr>
              <w:t>(In thousands)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00" w:type="dxa"/>
            <w:vAlign w:val="bottom"/>
          </w:tcPr>
          <w:p>
            <w:pPr>
              <w:ind w:left="20"/>
              <w:spacing w:after="0"/>
              <w:rPr>
                <w:sz w:val="20"/>
                <w:szCs w:val="20"/>
                <w:color w:val="auto"/>
              </w:rPr>
            </w:pPr>
            <w:r>
              <w:rPr>
                <w:rFonts w:ascii="Arial" w:cs="Arial" w:eastAsia="Arial" w:hAnsi="Arial"/>
                <w:sz w:val="14"/>
                <w:szCs w:val="14"/>
                <w:color w:val="auto"/>
              </w:rPr>
              <w:t>September 30, 2023</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300" w:type="dxa"/>
            <w:vAlign w:val="bottom"/>
          </w:tcPr>
          <w:p>
            <w:pPr>
              <w:ind w:left="180"/>
              <w:spacing w:after="0"/>
              <w:rPr>
                <w:sz w:val="20"/>
                <w:szCs w:val="20"/>
                <w:color w:val="auto"/>
              </w:rPr>
            </w:pPr>
            <w:r>
              <w:rPr>
                <w:rFonts w:ascii="Arial" w:cs="Arial" w:eastAsia="Arial" w:hAnsi="Arial"/>
                <w:sz w:val="14"/>
                <w:szCs w:val="14"/>
                <w:color w:val="auto"/>
              </w:rPr>
              <w:t>Commercial and industrial</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33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Non-watch (1-6)</w:t>
            </w: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89,614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161,231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81,054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48,715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52,897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116,890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186,838</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737,239</w:t>
            </w:r>
          </w:p>
        </w:tc>
        <w:tc>
          <w:tcPr>
            <w:tcW w:w="0" w:type="dxa"/>
            <w:vAlign w:val="bottom"/>
          </w:tcPr>
          <w:p>
            <w:pPr>
              <w:spacing w:after="0"/>
              <w:rPr>
                <w:sz w:val="1"/>
                <w:szCs w:val="1"/>
                <w:color w:val="auto"/>
              </w:rPr>
            </w:pPr>
          </w:p>
        </w:tc>
      </w:tr>
      <w:tr>
        <w:trPr>
          <w:trHeight w:val="184"/>
        </w:trPr>
        <w:tc>
          <w:tcPr>
            <w:tcW w:w="3300" w:type="dxa"/>
            <w:vAlign w:val="bottom"/>
          </w:tcPr>
          <w:p>
            <w:pPr>
              <w:ind w:left="320"/>
              <w:spacing w:after="0"/>
              <w:rPr>
                <w:sz w:val="20"/>
                <w:szCs w:val="20"/>
                <w:color w:val="auto"/>
              </w:rPr>
            </w:pPr>
            <w:r>
              <w:rPr>
                <w:rFonts w:ascii="Arial" w:cs="Arial" w:eastAsia="Arial" w:hAnsi="Arial"/>
                <w:sz w:val="14"/>
                <w:szCs w:val="14"/>
                <w:color w:val="auto"/>
              </w:rPr>
              <w:t>Watch (7-8)</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3,087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5,274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4,204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3,972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9,695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31,452</w:t>
            </w: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Substandard Accrual (9)</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4,692</w:t>
            </w:r>
          </w:p>
        </w:tc>
        <w:tc>
          <w:tcPr>
            <w:tcW w:w="0" w:type="dxa"/>
            <w:vAlign w:val="bottom"/>
          </w:tcPr>
          <w:p>
            <w:pPr>
              <w:spacing w:after="0"/>
              <w:rPr>
                <w:sz w:val="1"/>
                <w:szCs w:val="1"/>
                <w:color w:val="auto"/>
              </w:rPr>
            </w:pPr>
          </w:p>
        </w:tc>
      </w:tr>
      <w:tr>
        <w:trPr>
          <w:trHeight w:val="186"/>
        </w:trPr>
        <w:tc>
          <w:tcPr>
            <w:tcW w:w="3300" w:type="dxa"/>
            <w:vAlign w:val="bottom"/>
          </w:tcPr>
          <w:p>
            <w:pPr>
              <w:ind w:left="320"/>
              <w:spacing w:after="0"/>
              <w:rPr>
                <w:sz w:val="20"/>
                <w:szCs w:val="20"/>
                <w:color w:val="auto"/>
              </w:rPr>
            </w:pPr>
            <w:r>
              <w:rPr>
                <w:rFonts w:ascii="Arial" w:cs="Arial" w:eastAsia="Arial" w:hAnsi="Arial"/>
                <w:sz w:val="14"/>
                <w:szCs w:val="14"/>
                <w:color w:val="auto"/>
              </w:rPr>
              <w:t>Non-Accrual (10-11)</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18"/>
        </w:trPr>
        <w:tc>
          <w:tcPr>
            <w:tcW w:w="33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90,212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166,783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85,588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54,037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58,543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120,946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197,305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773,414</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300" w:type="dxa"/>
            <w:vAlign w:val="bottom"/>
          </w:tcPr>
          <w:p>
            <w:pPr>
              <w:ind w:left="20"/>
              <w:spacing w:after="0"/>
              <w:rPr>
                <w:sz w:val="20"/>
                <w:szCs w:val="20"/>
                <w:color w:val="auto"/>
              </w:rPr>
            </w:pPr>
            <w:r>
              <w:rPr>
                <w:rFonts w:ascii="Arial" w:cs="Arial" w:eastAsia="Arial" w:hAnsi="Arial"/>
                <w:sz w:val="14"/>
                <w:szCs w:val="14"/>
                <w:color w:val="auto"/>
              </w:rPr>
              <w:t>Accrued interest excluded from total</w:t>
            </w:r>
          </w:p>
        </w:tc>
        <w:tc>
          <w:tcPr>
            <w:tcW w:w="1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970</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2,531</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period gross charge-offs</w:t>
            </w: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Commercial real estate</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00" w:type="dxa"/>
            <w:vAlign w:val="bottom"/>
          </w:tcPr>
          <w:p>
            <w:pPr>
              <w:ind w:left="320"/>
              <w:spacing w:after="0"/>
              <w:rPr>
                <w:sz w:val="20"/>
                <w:szCs w:val="20"/>
                <w:color w:val="auto"/>
              </w:rPr>
            </w:pPr>
            <w:r>
              <w:rPr>
                <w:rFonts w:ascii="Arial" w:cs="Arial" w:eastAsia="Arial" w:hAnsi="Arial"/>
                <w:sz w:val="14"/>
                <w:szCs w:val="14"/>
                <w:color w:val="auto"/>
              </w:rPr>
              <w:t>Non-watch (1-6)</w:t>
            </w: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154,789</w:t>
            </w:r>
          </w:p>
        </w:tc>
        <w:tc>
          <w:tcPr>
            <w:tcW w:w="100" w:type="dxa"/>
            <w:vAlign w:val="bottom"/>
          </w:tcPr>
          <w:p>
            <w:pPr>
              <w:spacing w:after="0"/>
              <w:rPr>
                <w:sz w:val="15"/>
                <w:szCs w:val="15"/>
                <w:color w:val="auto"/>
              </w:rPr>
            </w:pP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181,519</w:t>
            </w:r>
          </w:p>
        </w:tc>
        <w:tc>
          <w:tcPr>
            <w:tcW w:w="10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142,549</w:t>
            </w:r>
          </w:p>
        </w:tc>
        <w:tc>
          <w:tcPr>
            <w:tcW w:w="8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30,333</w:t>
            </w:r>
          </w:p>
        </w:tc>
        <w:tc>
          <w:tcPr>
            <w:tcW w:w="8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83,663</w:t>
            </w:r>
          </w:p>
        </w:tc>
        <w:tc>
          <w:tcPr>
            <w:tcW w:w="10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188,916</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45,739</w:t>
            </w:r>
          </w:p>
        </w:tc>
        <w:tc>
          <w:tcPr>
            <w:tcW w:w="80" w:type="dxa"/>
            <w:vAlign w:val="bottom"/>
          </w:tcPr>
          <w:p>
            <w:pPr>
              <w:spacing w:after="0"/>
              <w:rPr>
                <w:sz w:val="15"/>
                <w:szCs w:val="15"/>
                <w:color w:val="auto"/>
              </w:rPr>
            </w:pP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827,508</w:t>
            </w: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Watch (7-8)</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15,144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23,132</w:t>
            </w:r>
          </w:p>
        </w:tc>
        <w:tc>
          <w:tcPr>
            <w:tcW w:w="0" w:type="dxa"/>
            <w:vAlign w:val="bottom"/>
          </w:tcPr>
          <w:p>
            <w:pPr>
              <w:spacing w:after="0"/>
              <w:rPr>
                <w:sz w:val="1"/>
                <w:szCs w:val="1"/>
                <w:color w:val="auto"/>
              </w:rPr>
            </w:pPr>
          </w:p>
        </w:tc>
      </w:tr>
      <w:tr>
        <w:trPr>
          <w:trHeight w:val="184"/>
        </w:trPr>
        <w:tc>
          <w:tcPr>
            <w:tcW w:w="3300" w:type="dxa"/>
            <w:vAlign w:val="bottom"/>
          </w:tcPr>
          <w:p>
            <w:pPr>
              <w:ind w:left="320"/>
              <w:spacing w:after="0"/>
              <w:rPr>
                <w:sz w:val="20"/>
                <w:szCs w:val="20"/>
                <w:color w:val="auto"/>
              </w:rPr>
            </w:pPr>
            <w:r>
              <w:rPr>
                <w:rFonts w:ascii="Arial" w:cs="Arial" w:eastAsia="Arial" w:hAnsi="Arial"/>
                <w:sz w:val="14"/>
                <w:szCs w:val="14"/>
                <w:color w:val="auto"/>
              </w:rPr>
              <w:t>Substandard Accrual (9)</w:t>
            </w:r>
          </w:p>
        </w:tc>
        <w:tc>
          <w:tcPr>
            <w:tcW w:w="1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2,068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2,068</w:t>
            </w:r>
          </w:p>
        </w:tc>
        <w:tc>
          <w:tcPr>
            <w:tcW w:w="0" w:type="dxa"/>
            <w:vAlign w:val="bottom"/>
          </w:tcPr>
          <w:p>
            <w:pPr>
              <w:spacing w:after="0"/>
              <w:rPr>
                <w:sz w:val="1"/>
                <w:szCs w:val="1"/>
                <w:color w:val="auto"/>
              </w:rPr>
            </w:pPr>
          </w:p>
        </w:tc>
      </w:tr>
      <w:tr>
        <w:trPr>
          <w:trHeight w:val="196"/>
        </w:trPr>
        <w:tc>
          <w:tcPr>
            <w:tcW w:w="33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Non-Accrual (10-11)</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3300" w:type="dxa"/>
            <w:vAlign w:val="bottom"/>
          </w:tcPr>
          <w:p>
            <w:pPr>
              <w:ind w:left="48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154,789</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181,519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157,693</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30,333</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88,095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194,540</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45,739</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852,708</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interest excluded from total</w:t>
            </w: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2,930</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300" w:type="dxa"/>
            <w:vAlign w:val="bottom"/>
          </w:tcPr>
          <w:p>
            <w:pPr>
              <w:ind w:left="20"/>
              <w:spacing w:after="0"/>
              <w:rPr>
                <w:sz w:val="20"/>
                <w:szCs w:val="20"/>
                <w:color w:val="auto"/>
              </w:rPr>
            </w:pPr>
            <w:r>
              <w:rPr>
                <w:rFonts w:ascii="Arial" w:cs="Arial" w:eastAsia="Arial" w:hAnsi="Arial"/>
                <w:sz w:val="14"/>
                <w:szCs w:val="14"/>
                <w:color w:val="auto"/>
              </w:rPr>
              <w:t>Current period gross charge-offs</w:t>
            </w: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960</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960</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300" w:type="dxa"/>
            <w:vAlign w:val="bottom"/>
          </w:tcPr>
          <w:p>
            <w:pPr>
              <w:ind w:left="180"/>
              <w:spacing w:after="0"/>
              <w:rPr>
                <w:sz w:val="20"/>
                <w:szCs w:val="20"/>
                <w:color w:val="auto"/>
              </w:rPr>
            </w:pPr>
            <w:r>
              <w:rPr>
                <w:rFonts w:ascii="Arial" w:cs="Arial" w:eastAsia="Arial" w:hAnsi="Arial"/>
                <w:sz w:val="14"/>
                <w:szCs w:val="14"/>
                <w:color w:val="auto"/>
              </w:rPr>
              <w:t>Total Commercial</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Non-watch (1-6)</w:t>
            </w: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244,403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342,750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223,603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79,048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136,560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305,806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232,577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1,564,747</w:t>
            </w:r>
          </w:p>
        </w:tc>
        <w:tc>
          <w:tcPr>
            <w:tcW w:w="0" w:type="dxa"/>
            <w:vAlign w:val="bottom"/>
          </w:tcPr>
          <w:p>
            <w:pPr>
              <w:spacing w:after="0"/>
              <w:rPr>
                <w:sz w:val="1"/>
                <w:szCs w:val="1"/>
                <w:color w:val="auto"/>
              </w:rPr>
            </w:pPr>
          </w:p>
        </w:tc>
      </w:tr>
      <w:tr>
        <w:trPr>
          <w:trHeight w:val="184"/>
        </w:trPr>
        <w:tc>
          <w:tcPr>
            <w:tcW w:w="3300" w:type="dxa"/>
            <w:vAlign w:val="bottom"/>
          </w:tcPr>
          <w:p>
            <w:pPr>
              <w:ind w:left="320"/>
              <w:spacing w:after="0"/>
              <w:rPr>
                <w:sz w:val="20"/>
                <w:szCs w:val="20"/>
                <w:color w:val="auto"/>
              </w:rPr>
            </w:pPr>
            <w:r>
              <w:rPr>
                <w:rFonts w:ascii="Arial" w:cs="Arial" w:eastAsia="Arial" w:hAnsi="Arial"/>
                <w:sz w:val="14"/>
                <w:szCs w:val="14"/>
                <w:color w:val="auto"/>
              </w:rPr>
              <w:t>Watch (7-8)</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18,231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5,274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6,568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9,596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9,695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54,584</w:t>
            </w: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Substandard Accrual (9)</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6,760</w:t>
            </w:r>
          </w:p>
        </w:tc>
        <w:tc>
          <w:tcPr>
            <w:tcW w:w="0" w:type="dxa"/>
            <w:vAlign w:val="bottom"/>
          </w:tcPr>
          <w:p>
            <w:pPr>
              <w:spacing w:after="0"/>
              <w:rPr>
                <w:sz w:val="1"/>
                <w:szCs w:val="1"/>
                <w:color w:val="auto"/>
              </w:rPr>
            </w:pPr>
          </w:p>
        </w:tc>
      </w:tr>
      <w:tr>
        <w:trPr>
          <w:trHeight w:val="186"/>
        </w:trPr>
        <w:tc>
          <w:tcPr>
            <w:tcW w:w="3300" w:type="dxa"/>
            <w:vAlign w:val="bottom"/>
          </w:tcPr>
          <w:p>
            <w:pPr>
              <w:ind w:left="320"/>
              <w:spacing w:after="0"/>
              <w:rPr>
                <w:sz w:val="20"/>
                <w:szCs w:val="20"/>
                <w:color w:val="auto"/>
              </w:rPr>
            </w:pPr>
            <w:r>
              <w:rPr>
                <w:rFonts w:ascii="Arial" w:cs="Arial" w:eastAsia="Arial" w:hAnsi="Arial"/>
                <w:sz w:val="14"/>
                <w:szCs w:val="14"/>
                <w:color w:val="auto"/>
              </w:rPr>
              <w:t>Non-Accrual (10-11)</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18"/>
        </w:trPr>
        <w:tc>
          <w:tcPr>
            <w:tcW w:w="33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245,001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348,302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243,281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84,370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146,638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315,486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243,044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1,626,122</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300" w:type="dxa"/>
            <w:vAlign w:val="bottom"/>
          </w:tcPr>
          <w:p>
            <w:pPr>
              <w:ind w:left="20"/>
              <w:spacing w:after="0"/>
              <w:rPr>
                <w:sz w:val="20"/>
                <w:szCs w:val="20"/>
                <w:color w:val="auto"/>
              </w:rPr>
            </w:pPr>
            <w:r>
              <w:rPr>
                <w:rFonts w:ascii="Arial" w:cs="Arial" w:eastAsia="Arial" w:hAnsi="Arial"/>
                <w:sz w:val="14"/>
                <w:szCs w:val="14"/>
                <w:color w:val="auto"/>
              </w:rPr>
              <w:t>Accrued interest excluded from total</w:t>
            </w:r>
          </w:p>
        </w:tc>
        <w:tc>
          <w:tcPr>
            <w:tcW w:w="1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1,137</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807</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1,219</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1,147</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5,461</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period gross charge-offs</w:t>
            </w: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1,053</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5" w:name="page26"/>
    <w:bookmarkEnd w:id="25"/>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3300" w:type="dxa"/>
        <w:tblCellMar>
          <w:top w:w="0" w:type="dxa"/>
          <w:left w:w="0" w:type="dxa"/>
          <w:bottom w:w="0" w:type="dxa"/>
          <w:right w:w="0" w:type="dxa"/>
        </w:tblCellMar>
      </w:tblPr>
      <w:tr>
        <w:trPr>
          <w:trHeight w:val="168"/>
        </w:trPr>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4"/>
              </w:rPr>
              <w:t>Revolving</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40" w:type="dxa"/>
            <w:vAlign w:val="bottom"/>
          </w:tcPr>
          <w:p>
            <w:pPr>
              <w:spacing w:after="0"/>
              <w:rPr>
                <w:sz w:val="14"/>
                <w:szCs w:val="14"/>
                <w:color w:val="auto"/>
              </w:rPr>
            </w:pPr>
          </w:p>
        </w:tc>
        <w:tc>
          <w:tcPr>
            <w:tcW w:w="3960" w:type="dxa"/>
            <w:vAlign w:val="bottom"/>
            <w:gridSpan w:val="4"/>
            <w:vMerge w:val="restart"/>
          </w:tcPr>
          <w:p>
            <w:pPr>
              <w:jc w:val="right"/>
              <w:ind w:right="391"/>
              <w:spacing w:after="0"/>
              <w:rPr>
                <w:sz w:val="20"/>
                <w:szCs w:val="20"/>
                <w:color w:val="auto"/>
              </w:rPr>
            </w:pPr>
            <w:r>
              <w:rPr>
                <w:rFonts w:ascii="Arial" w:cs="Arial" w:eastAsia="Arial" w:hAnsi="Arial"/>
                <w:sz w:val="14"/>
                <w:szCs w:val="14"/>
                <w:color w:val="auto"/>
              </w:rPr>
              <w:t>Term Loans Amortized Cost Basis by Origination Year</w:t>
            </w:r>
          </w:p>
        </w:tc>
        <w:tc>
          <w:tcPr>
            <w:tcW w:w="9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9"/>
              </w:rPr>
              <w:t>Loans</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940" w:type="dxa"/>
            <w:vAlign w:val="bottom"/>
            <w:tcBorders>
              <w:bottom w:val="single" w:sz="8" w:color="auto"/>
            </w:tcBorders>
          </w:tcPr>
          <w:p>
            <w:pPr>
              <w:spacing w:after="0"/>
              <w:rPr>
                <w:sz w:val="13"/>
                <w:szCs w:val="13"/>
                <w:color w:val="auto"/>
              </w:rPr>
            </w:pPr>
          </w:p>
        </w:tc>
        <w:tc>
          <w:tcPr>
            <w:tcW w:w="3960" w:type="dxa"/>
            <w:vAlign w:val="bottom"/>
            <w:tcBorders>
              <w:bottom w:val="single" w:sz="8" w:color="auto"/>
            </w:tcBorders>
            <w:gridSpan w:val="4"/>
            <w:vMerge w:val="continue"/>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Amortized</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940" w:type="dxa"/>
            <w:vAlign w:val="bottom"/>
          </w:tcPr>
          <w:p>
            <w:pPr>
              <w:jc w:val="right"/>
              <w:ind w:right="291"/>
              <w:spacing w:after="0"/>
              <w:rPr>
                <w:sz w:val="20"/>
                <w:szCs w:val="20"/>
                <w:color w:val="auto"/>
              </w:rPr>
            </w:pPr>
            <w:r>
              <w:rPr>
                <w:rFonts w:ascii="Arial" w:cs="Arial" w:eastAsia="Arial" w:hAnsi="Arial"/>
                <w:sz w:val="14"/>
                <w:szCs w:val="14"/>
                <w:color w:val="auto"/>
              </w:rPr>
              <w:t>2022</w:t>
            </w:r>
          </w:p>
        </w:tc>
        <w:tc>
          <w:tcPr>
            <w:tcW w:w="980" w:type="dxa"/>
            <w:vAlign w:val="bottom"/>
          </w:tcPr>
          <w:p>
            <w:pPr>
              <w:jc w:val="right"/>
              <w:ind w:right="271"/>
              <w:spacing w:after="0"/>
              <w:rPr>
                <w:sz w:val="20"/>
                <w:szCs w:val="20"/>
                <w:color w:val="auto"/>
              </w:rPr>
            </w:pPr>
            <w:r>
              <w:rPr>
                <w:rFonts w:ascii="Arial" w:cs="Arial" w:eastAsia="Arial" w:hAnsi="Arial"/>
                <w:sz w:val="14"/>
                <w:szCs w:val="14"/>
                <w:color w:val="auto"/>
              </w:rPr>
              <w:t>2021</w:t>
            </w:r>
          </w:p>
        </w:tc>
        <w:tc>
          <w:tcPr>
            <w:tcW w:w="1000" w:type="dxa"/>
            <w:vAlign w:val="bottom"/>
          </w:tcPr>
          <w:p>
            <w:pPr>
              <w:jc w:val="right"/>
              <w:ind w:right="291"/>
              <w:spacing w:after="0"/>
              <w:rPr>
                <w:sz w:val="20"/>
                <w:szCs w:val="20"/>
                <w:color w:val="auto"/>
              </w:rPr>
            </w:pPr>
            <w:r>
              <w:rPr>
                <w:rFonts w:ascii="Arial" w:cs="Arial" w:eastAsia="Arial" w:hAnsi="Arial"/>
                <w:sz w:val="14"/>
                <w:szCs w:val="14"/>
                <w:color w:val="auto"/>
              </w:rPr>
              <w:t>2020</w:t>
            </w:r>
          </w:p>
        </w:tc>
        <w:tc>
          <w:tcPr>
            <w:tcW w:w="980" w:type="dxa"/>
            <w:vAlign w:val="bottom"/>
          </w:tcPr>
          <w:p>
            <w:pPr>
              <w:jc w:val="right"/>
              <w:ind w:right="291"/>
              <w:spacing w:after="0"/>
              <w:rPr>
                <w:sz w:val="20"/>
                <w:szCs w:val="20"/>
                <w:color w:val="auto"/>
              </w:rPr>
            </w:pPr>
            <w:r>
              <w:rPr>
                <w:rFonts w:ascii="Arial" w:cs="Arial" w:eastAsia="Arial" w:hAnsi="Arial"/>
                <w:sz w:val="14"/>
                <w:szCs w:val="14"/>
                <w:color w:val="auto"/>
              </w:rPr>
              <w:t>2019</w:t>
            </w:r>
          </w:p>
        </w:tc>
        <w:tc>
          <w:tcPr>
            <w:tcW w:w="1000" w:type="dxa"/>
            <w:vAlign w:val="bottom"/>
          </w:tcPr>
          <w:p>
            <w:pPr>
              <w:jc w:val="right"/>
              <w:ind w:right="291"/>
              <w:spacing w:after="0"/>
              <w:rPr>
                <w:sz w:val="20"/>
                <w:szCs w:val="20"/>
                <w:color w:val="auto"/>
              </w:rPr>
            </w:pPr>
            <w:r>
              <w:rPr>
                <w:rFonts w:ascii="Arial" w:cs="Arial" w:eastAsia="Arial" w:hAnsi="Arial"/>
                <w:sz w:val="14"/>
                <w:szCs w:val="14"/>
                <w:color w:val="auto"/>
              </w:rPr>
              <w:t>2018</w:t>
            </w:r>
          </w:p>
        </w:tc>
        <w:tc>
          <w:tcPr>
            <w:tcW w:w="940" w:type="dxa"/>
            <w:vAlign w:val="bottom"/>
          </w:tcPr>
          <w:p>
            <w:pPr>
              <w:ind w:left="360"/>
              <w:spacing w:after="0"/>
              <w:rPr>
                <w:sz w:val="20"/>
                <w:szCs w:val="20"/>
                <w:color w:val="auto"/>
              </w:rPr>
            </w:pPr>
            <w:r>
              <w:rPr>
                <w:rFonts w:ascii="Arial" w:cs="Arial" w:eastAsia="Arial" w:hAnsi="Arial"/>
                <w:sz w:val="14"/>
                <w:szCs w:val="14"/>
                <w:color w:val="auto"/>
              </w:rPr>
              <w:t>Prior</w:t>
            </w:r>
          </w:p>
        </w:tc>
        <w:tc>
          <w:tcPr>
            <w:tcW w:w="1140" w:type="dxa"/>
            <w:vAlign w:val="bottom"/>
          </w:tcPr>
          <w:p>
            <w:pPr>
              <w:jc w:val="center"/>
              <w:spacing w:after="0"/>
              <w:rPr>
                <w:sz w:val="20"/>
                <w:szCs w:val="20"/>
                <w:color w:val="auto"/>
              </w:rPr>
            </w:pPr>
            <w:r>
              <w:rPr>
                <w:rFonts w:ascii="Arial" w:cs="Arial" w:eastAsia="Arial" w:hAnsi="Arial"/>
                <w:sz w:val="14"/>
                <w:szCs w:val="14"/>
                <w:color w:val="auto"/>
                <w:w w:val="86"/>
              </w:rPr>
              <w:t>Cost Basis</w:t>
            </w:r>
          </w:p>
        </w:tc>
        <w:tc>
          <w:tcPr>
            <w:tcW w:w="600" w:type="dxa"/>
            <w:vAlign w:val="bottom"/>
          </w:tcPr>
          <w:p>
            <w:pPr>
              <w:ind w:left="320"/>
              <w:spacing w:after="0"/>
              <w:rPr>
                <w:sz w:val="20"/>
                <w:szCs w:val="20"/>
                <w:color w:val="auto"/>
              </w:rPr>
            </w:pPr>
            <w:r>
              <w:rPr>
                <w:rFonts w:ascii="Arial" w:cs="Arial" w:eastAsia="Arial" w:hAnsi="Arial"/>
                <w:sz w:val="14"/>
                <w:szCs w:val="14"/>
                <w:color w:val="auto"/>
                <w:w w:val="83"/>
              </w:rPr>
              <w:t>Total</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(In thousands)</w:t>
            </w:r>
          </w:p>
        </w:tc>
        <w:tc>
          <w:tcPr>
            <w:tcW w:w="4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r>
      <w:tr>
        <w:trPr>
          <w:trHeight w:val="203"/>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31, 2022</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84"/>
        </w:trPr>
        <w:tc>
          <w:tcPr>
            <w:tcW w:w="3300" w:type="dxa"/>
            <w:vAlign w:val="bottom"/>
          </w:tcPr>
          <w:p>
            <w:pPr>
              <w:ind w:left="180"/>
              <w:spacing w:after="0"/>
              <w:rPr>
                <w:sz w:val="20"/>
                <w:szCs w:val="20"/>
                <w:color w:val="auto"/>
              </w:rPr>
            </w:pPr>
            <w:r>
              <w:rPr>
                <w:rFonts w:ascii="Arial" w:cs="Arial" w:eastAsia="Arial" w:hAnsi="Arial"/>
                <w:sz w:val="14"/>
                <w:szCs w:val="14"/>
                <w:color w:val="auto"/>
              </w:rPr>
              <w:t>Commercial and industrial</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3"/>
        </w:trPr>
        <w:tc>
          <w:tcPr>
            <w:tcW w:w="33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Non-watch (1-6)</w:t>
            </w:r>
          </w:p>
        </w:tc>
        <w:tc>
          <w:tcPr>
            <w:tcW w:w="2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157,561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89,251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58,292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45,792</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91"/>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30,715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95,908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237,906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715,425</w:t>
            </w:r>
          </w:p>
        </w:tc>
      </w:tr>
      <w:tr>
        <w:trPr>
          <w:trHeight w:val="184"/>
        </w:trPr>
        <w:tc>
          <w:tcPr>
            <w:tcW w:w="3300" w:type="dxa"/>
            <w:vAlign w:val="bottom"/>
          </w:tcPr>
          <w:p>
            <w:pPr>
              <w:ind w:left="320"/>
              <w:spacing w:after="0"/>
              <w:rPr>
                <w:sz w:val="20"/>
                <w:szCs w:val="20"/>
                <w:color w:val="auto"/>
              </w:rPr>
            </w:pPr>
            <w:r>
              <w:rPr>
                <w:rFonts w:ascii="Arial" w:cs="Arial" w:eastAsia="Arial" w:hAnsi="Arial"/>
                <w:sz w:val="14"/>
                <w:szCs w:val="14"/>
                <w:color w:val="auto"/>
              </w:rPr>
              <w:t>Watch (7-8)</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680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4,539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781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1,690</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4,474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2,793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15,062</w:t>
            </w:r>
          </w:p>
        </w:tc>
      </w:tr>
      <w:tr>
        <w:trPr>
          <w:trHeight w:val="203"/>
        </w:trPr>
        <w:tc>
          <w:tcPr>
            <w:tcW w:w="33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Substandard Accrual (9)</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1,938</w:t>
            </w:r>
          </w:p>
        </w:tc>
      </w:tr>
      <w:tr>
        <w:trPr>
          <w:trHeight w:val="186"/>
        </w:trPr>
        <w:tc>
          <w:tcPr>
            <w:tcW w:w="3300" w:type="dxa"/>
            <w:vAlign w:val="bottom"/>
          </w:tcPr>
          <w:p>
            <w:pPr>
              <w:ind w:left="320"/>
              <w:spacing w:after="0"/>
              <w:rPr>
                <w:sz w:val="20"/>
                <w:szCs w:val="20"/>
                <w:color w:val="auto"/>
              </w:rPr>
            </w:pPr>
            <w:r>
              <w:rPr>
                <w:rFonts w:ascii="Arial" w:cs="Arial" w:eastAsia="Arial" w:hAnsi="Arial"/>
                <w:sz w:val="14"/>
                <w:szCs w:val="14"/>
                <w:color w:val="auto"/>
              </w:rPr>
              <w:t>Non-Accrual (10-11)</w:t>
            </w:r>
          </w:p>
        </w:tc>
        <w:tc>
          <w:tcPr>
            <w:tcW w:w="2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218"/>
        </w:trPr>
        <w:tc>
          <w:tcPr>
            <w:tcW w:w="33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158,241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94,761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59,141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47,870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91"/>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30,929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100,822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240,699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732,463</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3300" w:type="dxa"/>
            <w:vAlign w:val="bottom"/>
          </w:tcPr>
          <w:p>
            <w:pPr>
              <w:ind w:left="20"/>
              <w:spacing w:after="0"/>
              <w:rPr>
                <w:sz w:val="20"/>
                <w:szCs w:val="20"/>
                <w:color w:val="auto"/>
              </w:rPr>
            </w:pPr>
            <w:r>
              <w:rPr>
                <w:rFonts w:ascii="Arial" w:cs="Arial" w:eastAsia="Arial" w:hAnsi="Arial"/>
                <w:sz w:val="14"/>
                <w:szCs w:val="14"/>
                <w:color w:val="auto"/>
              </w:rPr>
              <w:t>Accrued interest excluded from total</w:t>
            </w:r>
          </w:p>
        </w:tc>
        <w:tc>
          <w:tcPr>
            <w:tcW w:w="2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890</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2,046</w:t>
            </w: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4"/>
        </w:trPr>
        <w:tc>
          <w:tcPr>
            <w:tcW w:w="3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184"/>
        </w:trPr>
        <w:tc>
          <w:tcPr>
            <w:tcW w:w="3300" w:type="dxa"/>
            <w:vAlign w:val="bottom"/>
          </w:tcPr>
          <w:p>
            <w:pPr>
              <w:ind w:left="180"/>
              <w:spacing w:after="0"/>
              <w:rPr>
                <w:sz w:val="20"/>
                <w:szCs w:val="20"/>
                <w:color w:val="auto"/>
              </w:rPr>
            </w:pPr>
            <w:r>
              <w:rPr>
                <w:rFonts w:ascii="Arial" w:cs="Arial" w:eastAsia="Arial" w:hAnsi="Arial"/>
                <w:sz w:val="14"/>
                <w:szCs w:val="14"/>
                <w:color w:val="auto"/>
              </w:rPr>
              <w:t>Commercial real estate</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3"/>
        </w:trPr>
        <w:tc>
          <w:tcPr>
            <w:tcW w:w="33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Non-watch (1-6)</w:t>
            </w:r>
          </w:p>
        </w:tc>
        <w:tc>
          <w:tcPr>
            <w:tcW w:w="2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170,238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154,918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38,062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97,762</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91"/>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56,580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159,514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42,030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719,104</w:t>
            </w:r>
          </w:p>
        </w:tc>
      </w:tr>
      <w:tr>
        <w:trPr>
          <w:trHeight w:val="184"/>
        </w:trPr>
        <w:tc>
          <w:tcPr>
            <w:tcW w:w="3300" w:type="dxa"/>
            <w:vAlign w:val="bottom"/>
          </w:tcPr>
          <w:p>
            <w:pPr>
              <w:ind w:left="320"/>
              <w:spacing w:after="0"/>
              <w:rPr>
                <w:sz w:val="20"/>
                <w:szCs w:val="20"/>
                <w:color w:val="auto"/>
              </w:rPr>
            </w:pPr>
            <w:r>
              <w:rPr>
                <w:rFonts w:ascii="Arial" w:cs="Arial" w:eastAsia="Arial" w:hAnsi="Arial"/>
                <w:sz w:val="14"/>
                <w:szCs w:val="14"/>
                <w:color w:val="auto"/>
              </w:rPr>
              <w:t>Watch (7-8)</w:t>
            </w: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4,769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1,010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1,641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8,027</w:t>
            </w:r>
          </w:p>
        </w:tc>
      </w:tr>
      <w:tr>
        <w:trPr>
          <w:trHeight w:val="203"/>
        </w:trPr>
        <w:tc>
          <w:tcPr>
            <w:tcW w:w="33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Substandard Accrual (9)</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7,259</w:t>
            </w:r>
          </w:p>
        </w:tc>
      </w:tr>
      <w:tr>
        <w:trPr>
          <w:trHeight w:val="186"/>
        </w:trPr>
        <w:tc>
          <w:tcPr>
            <w:tcW w:w="3300" w:type="dxa"/>
            <w:vAlign w:val="bottom"/>
          </w:tcPr>
          <w:p>
            <w:pPr>
              <w:ind w:left="320"/>
              <w:spacing w:after="0"/>
              <w:rPr>
                <w:sz w:val="20"/>
                <w:szCs w:val="20"/>
                <w:color w:val="auto"/>
              </w:rPr>
            </w:pPr>
            <w:r>
              <w:rPr>
                <w:rFonts w:ascii="Arial" w:cs="Arial" w:eastAsia="Arial" w:hAnsi="Arial"/>
                <w:sz w:val="14"/>
                <w:szCs w:val="14"/>
                <w:color w:val="auto"/>
              </w:rPr>
              <w:t>Non-Accrual (10-11)</w:t>
            </w:r>
          </w:p>
        </w:tc>
        <w:tc>
          <w:tcPr>
            <w:tcW w:w="2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8"/>
        </w:trPr>
        <w:tc>
          <w:tcPr>
            <w:tcW w:w="33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170,238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155,100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102,712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91"/>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59,604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166,219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42,142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734,390</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3300" w:type="dxa"/>
            <w:vAlign w:val="bottom"/>
          </w:tcPr>
          <w:p>
            <w:pPr>
              <w:ind w:left="20"/>
              <w:spacing w:after="0"/>
              <w:rPr>
                <w:sz w:val="20"/>
                <w:szCs w:val="20"/>
                <w:color w:val="auto"/>
              </w:rPr>
            </w:pPr>
            <w:r>
              <w:rPr>
                <w:rFonts w:ascii="Arial" w:cs="Arial" w:eastAsia="Arial" w:hAnsi="Arial"/>
                <w:sz w:val="14"/>
                <w:szCs w:val="14"/>
                <w:color w:val="auto"/>
              </w:rPr>
              <w:t>Accrued interest excluded from total</w:t>
            </w:r>
          </w:p>
        </w:tc>
        <w:tc>
          <w:tcPr>
            <w:tcW w:w="2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609</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468</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515</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2,363</w:t>
            </w: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4"/>
        </w:trPr>
        <w:tc>
          <w:tcPr>
            <w:tcW w:w="3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184"/>
        </w:trPr>
        <w:tc>
          <w:tcPr>
            <w:tcW w:w="3300" w:type="dxa"/>
            <w:vAlign w:val="bottom"/>
          </w:tcPr>
          <w:p>
            <w:pPr>
              <w:ind w:left="180"/>
              <w:spacing w:after="0"/>
              <w:rPr>
                <w:sz w:val="20"/>
                <w:szCs w:val="20"/>
                <w:color w:val="auto"/>
              </w:rPr>
            </w:pPr>
            <w:r>
              <w:rPr>
                <w:rFonts w:ascii="Arial" w:cs="Arial" w:eastAsia="Arial" w:hAnsi="Arial"/>
                <w:sz w:val="14"/>
                <w:szCs w:val="14"/>
                <w:color w:val="auto"/>
              </w:rPr>
              <w:t>Total Commercial</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3"/>
        </w:trPr>
        <w:tc>
          <w:tcPr>
            <w:tcW w:w="33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Non-watch (1-6)</w:t>
            </w:r>
          </w:p>
        </w:tc>
        <w:tc>
          <w:tcPr>
            <w:tcW w:w="2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327,799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244,169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96,354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143,554</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91"/>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87,295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255,422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279,936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1,434,529</w:t>
            </w:r>
          </w:p>
        </w:tc>
      </w:tr>
      <w:tr>
        <w:trPr>
          <w:trHeight w:val="184"/>
        </w:trPr>
        <w:tc>
          <w:tcPr>
            <w:tcW w:w="3300" w:type="dxa"/>
            <w:vAlign w:val="bottom"/>
          </w:tcPr>
          <w:p>
            <w:pPr>
              <w:ind w:left="320"/>
              <w:spacing w:after="0"/>
              <w:rPr>
                <w:sz w:val="20"/>
                <w:szCs w:val="20"/>
                <w:color w:val="auto"/>
              </w:rPr>
            </w:pPr>
            <w:r>
              <w:rPr>
                <w:rFonts w:ascii="Arial" w:cs="Arial" w:eastAsia="Arial" w:hAnsi="Arial"/>
                <w:sz w:val="14"/>
                <w:szCs w:val="14"/>
                <w:color w:val="auto"/>
              </w:rPr>
              <w:t>Watch (7-8)</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680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4,721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1,094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6,459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1,115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6,115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2,905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23,089</w:t>
            </w:r>
          </w:p>
        </w:tc>
      </w:tr>
      <w:tr>
        <w:trPr>
          <w:trHeight w:val="203"/>
        </w:trPr>
        <w:tc>
          <w:tcPr>
            <w:tcW w:w="33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Substandard Accrual (9)</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9,197</w:t>
            </w:r>
          </w:p>
        </w:tc>
      </w:tr>
      <w:tr>
        <w:trPr>
          <w:trHeight w:val="186"/>
        </w:trPr>
        <w:tc>
          <w:tcPr>
            <w:tcW w:w="3300" w:type="dxa"/>
            <w:vAlign w:val="bottom"/>
          </w:tcPr>
          <w:p>
            <w:pPr>
              <w:ind w:left="320"/>
              <w:spacing w:after="0"/>
              <w:rPr>
                <w:sz w:val="20"/>
                <w:szCs w:val="20"/>
                <w:color w:val="auto"/>
              </w:rPr>
            </w:pPr>
            <w:r>
              <w:rPr>
                <w:rFonts w:ascii="Arial" w:cs="Arial" w:eastAsia="Arial" w:hAnsi="Arial"/>
                <w:sz w:val="14"/>
                <w:szCs w:val="14"/>
                <w:color w:val="auto"/>
              </w:rPr>
              <w:t>Non-Accrual (10-11)</w:t>
            </w:r>
          </w:p>
        </w:tc>
        <w:tc>
          <w:tcPr>
            <w:tcW w:w="2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218"/>
        </w:trPr>
        <w:tc>
          <w:tcPr>
            <w:tcW w:w="33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328,479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249,861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97,516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150,582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91"/>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90,533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267,041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282,841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1,466,853</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3300" w:type="dxa"/>
            <w:vAlign w:val="bottom"/>
          </w:tcPr>
          <w:p>
            <w:pPr>
              <w:ind w:left="20"/>
              <w:spacing w:after="0"/>
              <w:rPr>
                <w:sz w:val="20"/>
                <w:szCs w:val="20"/>
                <w:color w:val="auto"/>
              </w:rPr>
            </w:pPr>
            <w:r>
              <w:rPr>
                <w:rFonts w:ascii="Arial" w:cs="Arial" w:eastAsia="Arial" w:hAnsi="Arial"/>
                <w:sz w:val="14"/>
                <w:szCs w:val="14"/>
                <w:color w:val="auto"/>
              </w:rPr>
              <w:t>Accrued interest excluded from total</w:t>
            </w:r>
          </w:p>
        </w:tc>
        <w:tc>
          <w:tcPr>
            <w:tcW w:w="2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847</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823</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999</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4,409</w:t>
            </w:r>
          </w:p>
        </w:tc>
      </w:tr>
      <w:tr>
        <w:trPr>
          <w:trHeight w:val="20"/>
        </w:trPr>
        <w:tc>
          <w:tcPr>
            <w:tcW w:w="3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each of our mortgage and installment portfolio segment classes, we generally monitor credit quality based on the credit scores of the borrowers. These credit scores are generally updated semi-annually.</w:t>
      </w:r>
    </w:p>
    <w:p>
      <w:pPr>
        <w:spacing w:after="0" w:line="1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tables summarize credit scores by loan class for our mortgage and installment loan portfolio segments at September 30, 2023 and December 31,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center"/>
              <w:ind w:left="91"/>
              <w:spacing w:after="0"/>
              <w:rPr>
                <w:sz w:val="20"/>
                <w:szCs w:val="20"/>
                <w:color w:val="auto"/>
              </w:rPr>
            </w:pPr>
            <w:r>
              <w:rPr>
                <w:rFonts w:ascii="Arial" w:cs="Arial" w:eastAsia="Arial" w:hAnsi="Arial"/>
                <w:sz w:val="14"/>
                <w:szCs w:val="14"/>
                <w:color w:val="auto"/>
                <w:w w:val="92"/>
              </w:rPr>
              <w:t>Mortgage (1)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280"/>
              <w:spacing w:after="0" w:line="129" w:lineRule="exact"/>
              <w:rPr>
                <w:sz w:val="20"/>
                <w:szCs w:val="20"/>
                <w:color w:val="auto"/>
              </w:rPr>
            </w:pPr>
            <w:r>
              <w:rPr>
                <w:rFonts w:ascii="Arial" w:cs="Arial" w:eastAsia="Arial" w:hAnsi="Arial"/>
                <w:sz w:val="14"/>
                <w:szCs w:val="14"/>
                <w:color w:val="auto"/>
                <w:w w:val="94"/>
              </w:rPr>
              <w:t>Revolving</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780" w:type="dxa"/>
            <w:vAlign w:val="bottom"/>
            <w:gridSpan w:val="11"/>
            <w:vMerge w:val="restart"/>
          </w:tcPr>
          <w:p>
            <w:pPr>
              <w:ind w:left="240"/>
              <w:spacing w:after="0"/>
              <w:rPr>
                <w:sz w:val="20"/>
                <w:szCs w:val="20"/>
                <w:color w:val="auto"/>
              </w:rPr>
            </w:pPr>
            <w:r>
              <w:rPr>
                <w:rFonts w:ascii="Arial" w:cs="Arial" w:eastAsia="Arial" w:hAnsi="Arial"/>
                <w:sz w:val="14"/>
                <w:szCs w:val="14"/>
                <w:color w:val="auto"/>
              </w:rPr>
              <w:t>Term Loans Amortized Cost Basis by Origination Year</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color w:val="auto"/>
                <w:w w:val="89"/>
              </w:rPr>
              <w:t>Loans</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780" w:type="dxa"/>
            <w:vAlign w:val="bottom"/>
            <w:gridSpan w:val="11"/>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gridSpan w:val="2"/>
            <w:vMerge w:val="restart"/>
          </w:tcPr>
          <w:p>
            <w:pPr>
              <w:jc w:val="center"/>
              <w:ind w:right="280"/>
              <w:spacing w:after="0" w:line="109" w:lineRule="exact"/>
              <w:rPr>
                <w:sz w:val="20"/>
                <w:szCs w:val="20"/>
                <w:color w:val="auto"/>
              </w:rPr>
            </w:pPr>
            <w:r>
              <w:rPr>
                <w:rFonts w:ascii="Arial" w:cs="Arial" w:eastAsia="Arial" w:hAnsi="Arial"/>
                <w:sz w:val="11"/>
                <w:szCs w:val="11"/>
                <w:color w:val="auto"/>
              </w:rPr>
              <w:t>Amortized</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2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9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2023</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2022</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2020</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Prior</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color w:val="auto"/>
                <w:w w:val="86"/>
              </w:rPr>
              <w:t>Cost Basis</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4"/>
        </w:trPr>
        <w:tc>
          <w:tcPr>
            <w:tcW w:w="2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center"/>
              <w:ind w:left="91"/>
              <w:spacing w:after="0"/>
              <w:rPr>
                <w:sz w:val="20"/>
                <w:szCs w:val="20"/>
                <w:color w:val="auto"/>
              </w:rPr>
            </w:pPr>
            <w:r>
              <w:rPr>
                <w:rFonts w:ascii="Arial" w:cs="Arial" w:eastAsia="Arial" w:hAnsi="Arial"/>
                <w:sz w:val="14"/>
                <w:szCs w:val="14"/>
                <w:color w:val="auto"/>
                <w:w w:val="87"/>
              </w:rPr>
              <w:t>(In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960" w:type="dxa"/>
            <w:vAlign w:val="bottom"/>
          </w:tcPr>
          <w:p>
            <w:pPr>
              <w:ind w:left="20"/>
              <w:spacing w:after="0"/>
              <w:rPr>
                <w:sz w:val="20"/>
                <w:szCs w:val="20"/>
                <w:color w:val="auto"/>
              </w:rPr>
            </w:pPr>
            <w:r>
              <w:rPr>
                <w:rFonts w:ascii="Arial" w:cs="Arial" w:eastAsia="Arial" w:hAnsi="Arial"/>
                <w:sz w:val="14"/>
                <w:szCs w:val="14"/>
                <w:color w:val="auto"/>
              </w:rPr>
              <w:t>September 30, 2023</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960" w:type="dxa"/>
            <w:vAlign w:val="bottom"/>
          </w:tcPr>
          <w:p>
            <w:pPr>
              <w:ind w:left="180"/>
              <w:spacing w:after="0"/>
              <w:rPr>
                <w:sz w:val="20"/>
                <w:szCs w:val="20"/>
                <w:color w:val="auto"/>
              </w:rPr>
            </w:pPr>
            <w:r>
              <w:rPr>
                <w:rFonts w:ascii="Arial" w:cs="Arial" w:eastAsia="Arial" w:hAnsi="Arial"/>
                <w:sz w:val="14"/>
                <w:szCs w:val="14"/>
                <w:color w:val="auto"/>
              </w:rPr>
              <w:t>1-4 family owner occupied - jumbo</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800 and above</w:t>
            </w: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25,024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56,386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17,942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115,246</w:t>
            </w:r>
          </w:p>
        </w:tc>
        <w:tc>
          <w:tcPr>
            <w:tcW w:w="0" w:type="dxa"/>
            <w:vAlign w:val="bottom"/>
          </w:tcPr>
          <w:p>
            <w:pPr>
              <w:spacing w:after="0"/>
              <w:rPr>
                <w:sz w:val="1"/>
                <w:szCs w:val="1"/>
                <w:color w:val="auto"/>
              </w:rPr>
            </w:pPr>
          </w:p>
        </w:tc>
      </w:tr>
      <w:tr>
        <w:trPr>
          <w:trHeight w:val="184"/>
        </w:trPr>
        <w:tc>
          <w:tcPr>
            <w:tcW w:w="2960" w:type="dxa"/>
            <w:vAlign w:val="bottom"/>
          </w:tcPr>
          <w:p>
            <w:pPr>
              <w:ind w:left="320"/>
              <w:spacing w:after="0"/>
              <w:rPr>
                <w:sz w:val="20"/>
                <w:szCs w:val="20"/>
                <w:color w:val="auto"/>
              </w:rPr>
            </w:pPr>
            <w:r>
              <w:rPr>
                <w:rFonts w:ascii="Arial" w:cs="Arial" w:eastAsia="Arial" w:hAnsi="Arial"/>
                <w:sz w:val="14"/>
                <w:szCs w:val="14"/>
                <w:color w:val="auto"/>
              </w:rPr>
              <w:t>750-799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37,645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126,267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202,333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63,734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19,976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18,693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1,024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469,672</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700-749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16,196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48,227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24,661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12,439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185,746</w:t>
            </w:r>
          </w:p>
        </w:tc>
        <w:tc>
          <w:tcPr>
            <w:tcW w:w="0" w:type="dxa"/>
            <w:vAlign w:val="bottom"/>
          </w:tcPr>
          <w:p>
            <w:pPr>
              <w:spacing w:after="0"/>
              <w:rPr>
                <w:sz w:val="1"/>
                <w:szCs w:val="1"/>
                <w:color w:val="auto"/>
              </w:rPr>
            </w:pPr>
          </w:p>
        </w:tc>
      </w:tr>
      <w:tr>
        <w:trPr>
          <w:trHeight w:val="184"/>
        </w:trPr>
        <w:tc>
          <w:tcPr>
            <w:tcW w:w="2960" w:type="dxa"/>
            <w:vAlign w:val="bottom"/>
          </w:tcPr>
          <w:p>
            <w:pPr>
              <w:ind w:left="320"/>
              <w:spacing w:after="0"/>
              <w:rPr>
                <w:sz w:val="20"/>
                <w:szCs w:val="20"/>
                <w:color w:val="auto"/>
              </w:rPr>
            </w:pPr>
            <w:r>
              <w:rPr>
                <w:rFonts w:ascii="Arial" w:cs="Arial" w:eastAsia="Arial" w:hAnsi="Arial"/>
                <w:sz w:val="14"/>
                <w:szCs w:val="14"/>
                <w:color w:val="auto"/>
              </w:rPr>
              <w:t>650-699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2,039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11,233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20,227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10,123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2,291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5,751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51,664</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600-649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14,534</w:t>
            </w:r>
          </w:p>
        </w:tc>
        <w:tc>
          <w:tcPr>
            <w:tcW w:w="0" w:type="dxa"/>
            <w:vAlign w:val="bottom"/>
          </w:tcPr>
          <w:p>
            <w:pPr>
              <w:spacing w:after="0"/>
              <w:rPr>
                <w:sz w:val="1"/>
                <w:szCs w:val="1"/>
                <w:color w:val="auto"/>
              </w:rPr>
            </w:pPr>
          </w:p>
        </w:tc>
      </w:tr>
      <w:tr>
        <w:trPr>
          <w:trHeight w:val="184"/>
        </w:trPr>
        <w:tc>
          <w:tcPr>
            <w:tcW w:w="2960" w:type="dxa"/>
            <w:vAlign w:val="bottom"/>
          </w:tcPr>
          <w:p>
            <w:pPr>
              <w:ind w:left="320"/>
              <w:spacing w:after="0"/>
              <w:rPr>
                <w:sz w:val="20"/>
                <w:szCs w:val="20"/>
                <w:color w:val="auto"/>
              </w:rPr>
            </w:pPr>
            <w:r>
              <w:rPr>
                <w:rFonts w:ascii="Arial" w:cs="Arial" w:eastAsia="Arial" w:hAnsi="Arial"/>
                <w:sz w:val="14"/>
                <w:szCs w:val="14"/>
                <w:color w:val="auto"/>
              </w:rPr>
              <w:t>550-599</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1,078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1,577</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500-549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2,707</w:t>
            </w:r>
          </w:p>
        </w:tc>
        <w:tc>
          <w:tcPr>
            <w:tcW w:w="0" w:type="dxa"/>
            <w:vAlign w:val="bottom"/>
          </w:tcPr>
          <w:p>
            <w:pPr>
              <w:spacing w:after="0"/>
              <w:rPr>
                <w:sz w:val="1"/>
                <w:szCs w:val="1"/>
                <w:color w:val="auto"/>
              </w:rPr>
            </w:pPr>
          </w:p>
        </w:tc>
      </w:tr>
      <w:tr>
        <w:trPr>
          <w:trHeight w:val="184"/>
        </w:trPr>
        <w:tc>
          <w:tcPr>
            <w:tcW w:w="2960" w:type="dxa"/>
            <w:vAlign w:val="bottom"/>
          </w:tcPr>
          <w:p>
            <w:pPr>
              <w:ind w:left="320"/>
              <w:spacing w:after="0"/>
              <w:rPr>
                <w:sz w:val="20"/>
                <w:szCs w:val="20"/>
                <w:color w:val="auto"/>
              </w:rPr>
            </w:pPr>
            <w:r>
              <w:rPr>
                <w:rFonts w:ascii="Arial" w:cs="Arial" w:eastAsia="Arial" w:hAnsi="Arial"/>
                <w:sz w:val="14"/>
                <w:szCs w:val="14"/>
                <w:color w:val="auto"/>
              </w:rPr>
              <w:t>Under 500</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Unknown</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2960" w:type="dxa"/>
            <w:vAlign w:val="bottom"/>
          </w:tcPr>
          <w:p>
            <w:pPr>
              <w:ind w:left="48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61,658</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216,381</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352,747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121,921</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39,711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45,709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3,019</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841,146</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2,274</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60" w:type="dxa"/>
            <w:vAlign w:val="bottom"/>
          </w:tcPr>
          <w:p>
            <w:pPr>
              <w:ind w:left="20"/>
              <w:spacing w:after="0"/>
              <w:rPr>
                <w:sz w:val="20"/>
                <w:szCs w:val="20"/>
                <w:color w:val="auto"/>
              </w:rPr>
            </w:pPr>
            <w:r>
              <w:rPr>
                <w:rFonts w:ascii="Arial" w:cs="Arial" w:eastAsia="Arial" w:hAnsi="Arial"/>
                <w:sz w:val="14"/>
                <w:szCs w:val="14"/>
                <w:color w:val="auto"/>
              </w:rPr>
              <w:t>Current period gross charge-offs</w:t>
            </w: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center"/>
              <w:ind w:left="71"/>
              <w:spacing w:after="0"/>
              <w:rPr>
                <w:sz w:val="20"/>
                <w:szCs w:val="20"/>
                <w:color w:val="auto"/>
              </w:rPr>
            </w:pPr>
            <w:r>
              <w:rPr>
                <w:rFonts w:ascii="Arial" w:cs="Arial" w:eastAsia="Arial" w:hAnsi="Arial"/>
                <w:sz w:val="14"/>
                <w:szCs w:val="14"/>
                <w:color w:val="auto"/>
                <w:w w:val="89"/>
              </w:rPr>
              <w:t>Mortgage (1)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20"/>
              <w:spacing w:after="0" w:line="129" w:lineRule="exact"/>
              <w:rPr>
                <w:sz w:val="20"/>
                <w:szCs w:val="20"/>
                <w:color w:val="auto"/>
              </w:rPr>
            </w:pPr>
            <w:r>
              <w:rPr>
                <w:rFonts w:ascii="Arial" w:cs="Arial" w:eastAsia="Arial" w:hAnsi="Arial"/>
                <w:sz w:val="14"/>
                <w:szCs w:val="14"/>
                <w:color w:val="auto"/>
                <w:w w:val="91"/>
              </w:rPr>
              <w:t>Revolving</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40" w:type="dxa"/>
            <w:vAlign w:val="bottom"/>
            <w:gridSpan w:val="11"/>
            <w:vMerge w:val="restart"/>
          </w:tcPr>
          <w:p>
            <w:pPr>
              <w:ind w:left="220"/>
              <w:spacing w:after="0"/>
              <w:rPr>
                <w:sz w:val="20"/>
                <w:szCs w:val="20"/>
                <w:color w:val="auto"/>
              </w:rPr>
            </w:pPr>
            <w:r>
              <w:rPr>
                <w:rFonts w:ascii="Arial" w:cs="Arial" w:eastAsia="Arial" w:hAnsi="Arial"/>
                <w:sz w:val="14"/>
                <w:szCs w:val="14"/>
                <w:color w:val="auto"/>
              </w:rPr>
              <w:t>Term Loans Amortized Cost Basis by Origination Year</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2" w:lineRule="exact"/>
              <w:rPr>
                <w:sz w:val="20"/>
                <w:szCs w:val="20"/>
                <w:color w:val="auto"/>
              </w:rPr>
            </w:pPr>
            <w:r>
              <w:rPr>
                <w:rFonts w:ascii="Arial" w:cs="Arial" w:eastAsia="Arial" w:hAnsi="Arial"/>
                <w:sz w:val="14"/>
                <w:szCs w:val="14"/>
                <w:color w:val="auto"/>
                <w:w w:val="83"/>
              </w:rPr>
              <w:t>Loans</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3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740" w:type="dxa"/>
            <w:vAlign w:val="bottom"/>
            <w:gridSpan w:val="11"/>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jc w:val="center"/>
              <w:ind w:right="320"/>
              <w:spacing w:after="0" w:line="114" w:lineRule="exact"/>
              <w:rPr>
                <w:sz w:val="20"/>
                <w:szCs w:val="20"/>
                <w:color w:val="auto"/>
              </w:rPr>
            </w:pPr>
            <w:r>
              <w:rPr>
                <w:rFonts w:ascii="Arial" w:cs="Arial" w:eastAsia="Arial" w:hAnsi="Arial"/>
                <w:sz w:val="13"/>
                <w:szCs w:val="13"/>
                <w:color w:val="auto"/>
              </w:rPr>
              <w:t>Amortized</w:t>
            </w: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3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vMerge w:val="restart"/>
          </w:tcPr>
          <w:p>
            <w:pPr>
              <w:jc w:val="right"/>
              <w:ind w:right="23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9"/>
        </w:trPr>
        <w:tc>
          <w:tcPr>
            <w:tcW w:w="3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2023</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2022</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2021</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2020</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Prior</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color w:val="auto"/>
                <w:w w:val="89"/>
              </w:rPr>
              <w:t>Cost Basis</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center"/>
              <w:ind w:left="91"/>
              <w:spacing w:after="0"/>
              <w:rPr>
                <w:sz w:val="20"/>
                <w:szCs w:val="20"/>
                <w:color w:val="auto"/>
              </w:rPr>
            </w:pPr>
            <w:r>
              <w:rPr>
                <w:rFonts w:ascii="Arial" w:cs="Arial" w:eastAsia="Arial" w:hAnsi="Arial"/>
                <w:sz w:val="14"/>
                <w:szCs w:val="14"/>
                <w:color w:val="auto"/>
                <w:w w:val="87"/>
              </w:rPr>
              <w:t>(In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040" w:type="dxa"/>
            <w:vAlign w:val="bottom"/>
          </w:tcPr>
          <w:p>
            <w:pPr>
              <w:ind w:left="20"/>
              <w:spacing w:after="0"/>
              <w:rPr>
                <w:sz w:val="20"/>
                <w:szCs w:val="20"/>
                <w:color w:val="auto"/>
              </w:rPr>
            </w:pPr>
            <w:r>
              <w:rPr>
                <w:rFonts w:ascii="Arial" w:cs="Arial" w:eastAsia="Arial" w:hAnsi="Arial"/>
                <w:sz w:val="14"/>
                <w:szCs w:val="14"/>
                <w:color w:val="auto"/>
              </w:rPr>
              <w:t>September 30, 2023 - continued</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3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1-4 family owner occupied - non-jumbo</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040" w:type="dxa"/>
            <w:vAlign w:val="bottom"/>
          </w:tcPr>
          <w:p>
            <w:pPr>
              <w:ind w:left="320"/>
              <w:spacing w:after="0"/>
              <w:rPr>
                <w:sz w:val="20"/>
                <w:szCs w:val="20"/>
                <w:color w:val="auto"/>
              </w:rPr>
            </w:pPr>
            <w:r>
              <w:rPr>
                <w:rFonts w:ascii="Arial" w:cs="Arial" w:eastAsia="Arial" w:hAnsi="Arial"/>
                <w:sz w:val="14"/>
                <w:szCs w:val="14"/>
                <w:color w:val="auto"/>
              </w:rPr>
              <w:t>800 and above</w:t>
            </w: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2,197</w:t>
            </w:r>
          </w:p>
        </w:tc>
        <w:tc>
          <w:tcPr>
            <w:tcW w:w="80" w:type="dxa"/>
            <w:vAlign w:val="bottom"/>
          </w:tcPr>
          <w:p>
            <w:pPr>
              <w:spacing w:after="0"/>
              <w:rPr>
                <w:sz w:val="15"/>
                <w:szCs w:val="15"/>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8,999</w:t>
            </w:r>
          </w:p>
        </w:tc>
        <w:tc>
          <w:tcPr>
            <w:tcW w:w="80" w:type="dxa"/>
            <w:vAlign w:val="bottom"/>
          </w:tcPr>
          <w:p>
            <w:pPr>
              <w:spacing w:after="0"/>
              <w:rPr>
                <w:sz w:val="15"/>
                <w:szCs w:val="15"/>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8,949</w:t>
            </w:r>
          </w:p>
        </w:tc>
        <w:tc>
          <w:tcPr>
            <w:tcW w:w="80" w:type="dxa"/>
            <w:vAlign w:val="bottom"/>
          </w:tcPr>
          <w:p>
            <w:pPr>
              <w:spacing w:after="0"/>
              <w:rPr>
                <w:sz w:val="15"/>
                <w:szCs w:val="15"/>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4,629</w:t>
            </w:r>
          </w:p>
        </w:tc>
        <w:tc>
          <w:tcPr>
            <w:tcW w:w="80" w:type="dxa"/>
            <w:vAlign w:val="bottom"/>
          </w:tcPr>
          <w:p>
            <w:pPr>
              <w:spacing w:after="0"/>
              <w:rPr>
                <w:sz w:val="15"/>
                <w:szCs w:val="15"/>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2,872</w:t>
            </w:r>
          </w:p>
        </w:tc>
        <w:tc>
          <w:tcPr>
            <w:tcW w:w="10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9,432</w:t>
            </w:r>
          </w:p>
        </w:tc>
        <w:tc>
          <w:tcPr>
            <w:tcW w:w="100" w:type="dxa"/>
            <w:vAlign w:val="bottom"/>
          </w:tcPr>
          <w:p>
            <w:pPr>
              <w:spacing w:after="0"/>
              <w:rPr>
                <w:sz w:val="15"/>
                <w:szCs w:val="15"/>
                <w:color w:val="auto"/>
              </w:rPr>
            </w:pP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4,128</w:t>
            </w:r>
          </w:p>
        </w:tc>
        <w:tc>
          <w:tcPr>
            <w:tcW w:w="8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41,206</w:t>
            </w: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750-799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11,105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36,171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24,067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14,942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18,221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117,398</w:t>
            </w:r>
          </w:p>
        </w:tc>
        <w:tc>
          <w:tcPr>
            <w:tcW w:w="0" w:type="dxa"/>
            <w:vAlign w:val="bottom"/>
          </w:tcPr>
          <w:p>
            <w:pPr>
              <w:spacing w:after="0"/>
              <w:rPr>
                <w:sz w:val="1"/>
                <w:szCs w:val="1"/>
                <w:color w:val="auto"/>
              </w:rPr>
            </w:pPr>
          </w:p>
        </w:tc>
      </w:tr>
      <w:tr>
        <w:trPr>
          <w:trHeight w:val="184"/>
        </w:trPr>
        <w:tc>
          <w:tcPr>
            <w:tcW w:w="3040" w:type="dxa"/>
            <w:vAlign w:val="bottom"/>
          </w:tcPr>
          <w:p>
            <w:pPr>
              <w:ind w:left="320"/>
              <w:spacing w:after="0"/>
              <w:rPr>
                <w:sz w:val="20"/>
                <w:szCs w:val="20"/>
                <w:color w:val="auto"/>
              </w:rPr>
            </w:pPr>
            <w:r>
              <w:rPr>
                <w:rFonts w:ascii="Arial" w:cs="Arial" w:eastAsia="Arial" w:hAnsi="Arial"/>
                <w:sz w:val="14"/>
                <w:szCs w:val="14"/>
                <w:color w:val="auto"/>
              </w:rPr>
              <w:t>700-749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6,630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21,429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10,896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5,379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3,936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23,609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3,401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75,280</w:t>
            </w: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650-699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12,577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42,236</w:t>
            </w:r>
          </w:p>
        </w:tc>
        <w:tc>
          <w:tcPr>
            <w:tcW w:w="0" w:type="dxa"/>
            <w:vAlign w:val="bottom"/>
          </w:tcPr>
          <w:p>
            <w:pPr>
              <w:spacing w:after="0"/>
              <w:rPr>
                <w:sz w:val="1"/>
                <w:szCs w:val="1"/>
                <w:color w:val="auto"/>
              </w:rPr>
            </w:pPr>
          </w:p>
        </w:tc>
      </w:tr>
      <w:tr>
        <w:trPr>
          <w:trHeight w:val="184"/>
        </w:trPr>
        <w:tc>
          <w:tcPr>
            <w:tcW w:w="3040" w:type="dxa"/>
            <w:vAlign w:val="bottom"/>
          </w:tcPr>
          <w:p>
            <w:pPr>
              <w:ind w:left="320"/>
              <w:spacing w:after="0"/>
              <w:rPr>
                <w:sz w:val="20"/>
                <w:szCs w:val="20"/>
                <w:color w:val="auto"/>
              </w:rPr>
            </w:pPr>
            <w:r>
              <w:rPr>
                <w:rFonts w:ascii="Arial" w:cs="Arial" w:eastAsia="Arial" w:hAnsi="Arial"/>
                <w:sz w:val="14"/>
                <w:szCs w:val="14"/>
                <w:color w:val="auto"/>
              </w:rPr>
              <w:t>600-649</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783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1,343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946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8,699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12,061</w:t>
            </w: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550-599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7,855</w:t>
            </w:r>
          </w:p>
        </w:tc>
        <w:tc>
          <w:tcPr>
            <w:tcW w:w="0" w:type="dxa"/>
            <w:vAlign w:val="bottom"/>
          </w:tcPr>
          <w:p>
            <w:pPr>
              <w:spacing w:after="0"/>
              <w:rPr>
                <w:sz w:val="1"/>
                <w:szCs w:val="1"/>
                <w:color w:val="auto"/>
              </w:rPr>
            </w:pPr>
          </w:p>
        </w:tc>
      </w:tr>
      <w:tr>
        <w:trPr>
          <w:trHeight w:val="184"/>
        </w:trPr>
        <w:tc>
          <w:tcPr>
            <w:tcW w:w="3040" w:type="dxa"/>
            <w:vAlign w:val="bottom"/>
          </w:tcPr>
          <w:p>
            <w:pPr>
              <w:ind w:left="320"/>
              <w:spacing w:after="0"/>
              <w:rPr>
                <w:sz w:val="20"/>
                <w:szCs w:val="20"/>
                <w:color w:val="auto"/>
              </w:rPr>
            </w:pPr>
            <w:r>
              <w:rPr>
                <w:rFonts w:ascii="Arial" w:cs="Arial" w:eastAsia="Arial" w:hAnsi="Arial"/>
                <w:sz w:val="14"/>
                <w:szCs w:val="14"/>
                <w:color w:val="auto"/>
              </w:rPr>
              <w:t>500-549</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1,654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2,872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5,308</w:t>
            </w: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Under 500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2,412</w:t>
            </w:r>
          </w:p>
        </w:tc>
        <w:tc>
          <w:tcPr>
            <w:tcW w:w="0" w:type="dxa"/>
            <w:vAlign w:val="bottom"/>
          </w:tcPr>
          <w:p>
            <w:pPr>
              <w:spacing w:after="0"/>
              <w:rPr>
                <w:sz w:val="1"/>
                <w:szCs w:val="1"/>
                <w:color w:val="auto"/>
              </w:rPr>
            </w:pPr>
          </w:p>
        </w:tc>
      </w:tr>
      <w:tr>
        <w:trPr>
          <w:trHeight w:val="186"/>
        </w:trPr>
        <w:tc>
          <w:tcPr>
            <w:tcW w:w="3040" w:type="dxa"/>
            <w:vAlign w:val="bottom"/>
          </w:tcPr>
          <w:p>
            <w:pPr>
              <w:ind w:left="320"/>
              <w:spacing w:after="0"/>
              <w:rPr>
                <w:sz w:val="20"/>
                <w:szCs w:val="20"/>
                <w:color w:val="auto"/>
              </w:rPr>
            </w:pPr>
            <w:r>
              <w:rPr>
                <w:rFonts w:ascii="Arial" w:cs="Arial" w:eastAsia="Arial" w:hAnsi="Arial"/>
                <w:sz w:val="14"/>
                <w:szCs w:val="14"/>
                <w:color w:val="auto"/>
              </w:rPr>
              <w:t>Unknown</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04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29,538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75,278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50,547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32,450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81,909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16,863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303,756</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40" w:type="dxa"/>
            <w:vAlign w:val="bottom"/>
          </w:tcPr>
          <w:p>
            <w:pPr>
              <w:ind w:left="20"/>
              <w:spacing w:after="0"/>
              <w:rPr>
                <w:sz w:val="20"/>
                <w:szCs w:val="20"/>
                <w:color w:val="auto"/>
              </w:rPr>
            </w:pPr>
            <w:r>
              <w:rPr>
                <w:rFonts w:ascii="Arial" w:cs="Arial" w:eastAsia="Arial" w:hAnsi="Arial"/>
                <w:sz w:val="14"/>
                <w:szCs w:val="14"/>
                <w:color w:val="auto"/>
              </w:rPr>
              <w:t>Accrued interest excluded from total</w:t>
            </w: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1,058</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period gross charge-offs</w:t>
            </w: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1-4 family non-owner occupied</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040" w:type="dxa"/>
            <w:vAlign w:val="bottom"/>
          </w:tcPr>
          <w:p>
            <w:pPr>
              <w:ind w:left="320"/>
              <w:spacing w:after="0"/>
              <w:rPr>
                <w:sz w:val="20"/>
                <w:szCs w:val="20"/>
                <w:color w:val="auto"/>
              </w:rPr>
            </w:pPr>
            <w:r>
              <w:rPr>
                <w:rFonts w:ascii="Arial" w:cs="Arial" w:eastAsia="Arial" w:hAnsi="Arial"/>
                <w:sz w:val="14"/>
                <w:szCs w:val="14"/>
                <w:color w:val="auto"/>
              </w:rPr>
              <w:t>800 and above</w:t>
            </w: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2,566</w:t>
            </w:r>
          </w:p>
        </w:tc>
        <w:tc>
          <w:tcPr>
            <w:tcW w:w="80" w:type="dxa"/>
            <w:vAlign w:val="bottom"/>
          </w:tcPr>
          <w:p>
            <w:pPr>
              <w:spacing w:after="0"/>
              <w:rPr>
                <w:sz w:val="15"/>
                <w:szCs w:val="15"/>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2,888</w:t>
            </w:r>
          </w:p>
        </w:tc>
        <w:tc>
          <w:tcPr>
            <w:tcW w:w="80" w:type="dxa"/>
            <w:vAlign w:val="bottom"/>
          </w:tcPr>
          <w:p>
            <w:pPr>
              <w:spacing w:after="0"/>
              <w:rPr>
                <w:sz w:val="15"/>
                <w:szCs w:val="15"/>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11,981</w:t>
            </w:r>
          </w:p>
        </w:tc>
        <w:tc>
          <w:tcPr>
            <w:tcW w:w="80" w:type="dxa"/>
            <w:vAlign w:val="bottom"/>
          </w:tcPr>
          <w:p>
            <w:pPr>
              <w:spacing w:after="0"/>
              <w:rPr>
                <w:sz w:val="15"/>
                <w:szCs w:val="15"/>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2,837</w:t>
            </w:r>
          </w:p>
        </w:tc>
        <w:tc>
          <w:tcPr>
            <w:tcW w:w="80" w:type="dxa"/>
            <w:vAlign w:val="bottom"/>
          </w:tcPr>
          <w:p>
            <w:pPr>
              <w:spacing w:after="0"/>
              <w:rPr>
                <w:sz w:val="15"/>
                <w:szCs w:val="15"/>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3,383</w:t>
            </w:r>
          </w:p>
        </w:tc>
        <w:tc>
          <w:tcPr>
            <w:tcW w:w="10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6,672</w:t>
            </w:r>
          </w:p>
        </w:tc>
        <w:tc>
          <w:tcPr>
            <w:tcW w:w="100" w:type="dxa"/>
            <w:vAlign w:val="bottom"/>
          </w:tcPr>
          <w:p>
            <w:pPr>
              <w:spacing w:after="0"/>
              <w:rPr>
                <w:sz w:val="15"/>
                <w:szCs w:val="15"/>
                <w:color w:val="auto"/>
              </w:rPr>
            </w:pP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1,557</w:t>
            </w:r>
          </w:p>
        </w:tc>
        <w:tc>
          <w:tcPr>
            <w:tcW w:w="8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31,884</w:t>
            </w: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750-799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10,860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20,388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32,253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12,347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13,679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98,183</w:t>
            </w:r>
          </w:p>
        </w:tc>
        <w:tc>
          <w:tcPr>
            <w:tcW w:w="0" w:type="dxa"/>
            <w:vAlign w:val="bottom"/>
          </w:tcPr>
          <w:p>
            <w:pPr>
              <w:spacing w:after="0"/>
              <w:rPr>
                <w:sz w:val="1"/>
                <w:szCs w:val="1"/>
                <w:color w:val="auto"/>
              </w:rPr>
            </w:pPr>
          </w:p>
        </w:tc>
      </w:tr>
      <w:tr>
        <w:trPr>
          <w:trHeight w:val="184"/>
        </w:trPr>
        <w:tc>
          <w:tcPr>
            <w:tcW w:w="3040" w:type="dxa"/>
            <w:vAlign w:val="bottom"/>
          </w:tcPr>
          <w:p>
            <w:pPr>
              <w:ind w:left="320"/>
              <w:spacing w:after="0"/>
              <w:rPr>
                <w:sz w:val="20"/>
                <w:szCs w:val="20"/>
                <w:color w:val="auto"/>
              </w:rPr>
            </w:pPr>
            <w:r>
              <w:rPr>
                <w:rFonts w:ascii="Arial" w:cs="Arial" w:eastAsia="Arial" w:hAnsi="Arial"/>
                <w:sz w:val="14"/>
                <w:szCs w:val="14"/>
                <w:color w:val="auto"/>
              </w:rPr>
              <w:t>700-749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3,265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7,066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8,859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5,446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1,558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6,484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2,131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34,809</w:t>
            </w: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650-699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11,328</w:t>
            </w:r>
          </w:p>
        </w:tc>
        <w:tc>
          <w:tcPr>
            <w:tcW w:w="0" w:type="dxa"/>
            <w:vAlign w:val="bottom"/>
          </w:tcPr>
          <w:p>
            <w:pPr>
              <w:spacing w:after="0"/>
              <w:rPr>
                <w:sz w:val="1"/>
                <w:szCs w:val="1"/>
                <w:color w:val="auto"/>
              </w:rPr>
            </w:pPr>
          </w:p>
        </w:tc>
      </w:tr>
      <w:tr>
        <w:trPr>
          <w:trHeight w:val="184"/>
        </w:trPr>
        <w:tc>
          <w:tcPr>
            <w:tcW w:w="3040" w:type="dxa"/>
            <w:vAlign w:val="bottom"/>
          </w:tcPr>
          <w:p>
            <w:pPr>
              <w:ind w:left="320"/>
              <w:spacing w:after="0"/>
              <w:rPr>
                <w:sz w:val="20"/>
                <w:szCs w:val="20"/>
                <w:color w:val="auto"/>
              </w:rPr>
            </w:pPr>
            <w:r>
              <w:rPr>
                <w:rFonts w:ascii="Arial" w:cs="Arial" w:eastAsia="Arial" w:hAnsi="Arial"/>
                <w:sz w:val="14"/>
                <w:szCs w:val="14"/>
                <w:color w:val="auto"/>
              </w:rPr>
              <w:t>600-649</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1,692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2,336</w:t>
            </w: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550-599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1,728</w:t>
            </w:r>
          </w:p>
        </w:tc>
        <w:tc>
          <w:tcPr>
            <w:tcW w:w="0" w:type="dxa"/>
            <w:vAlign w:val="bottom"/>
          </w:tcPr>
          <w:p>
            <w:pPr>
              <w:spacing w:after="0"/>
              <w:rPr>
                <w:sz w:val="1"/>
                <w:szCs w:val="1"/>
                <w:color w:val="auto"/>
              </w:rPr>
            </w:pPr>
          </w:p>
        </w:tc>
      </w:tr>
      <w:tr>
        <w:trPr>
          <w:trHeight w:val="184"/>
        </w:trPr>
        <w:tc>
          <w:tcPr>
            <w:tcW w:w="3040" w:type="dxa"/>
            <w:vAlign w:val="bottom"/>
          </w:tcPr>
          <w:p>
            <w:pPr>
              <w:ind w:left="320"/>
              <w:spacing w:after="0"/>
              <w:rPr>
                <w:sz w:val="20"/>
                <w:szCs w:val="20"/>
                <w:color w:val="auto"/>
              </w:rPr>
            </w:pPr>
            <w:r>
              <w:rPr>
                <w:rFonts w:ascii="Arial" w:cs="Arial" w:eastAsia="Arial" w:hAnsi="Arial"/>
                <w:sz w:val="14"/>
                <w:szCs w:val="14"/>
                <w:color w:val="auto"/>
              </w:rPr>
              <w:t>500-549</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Under 500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86"/>
        </w:trPr>
        <w:tc>
          <w:tcPr>
            <w:tcW w:w="3040" w:type="dxa"/>
            <w:vAlign w:val="bottom"/>
          </w:tcPr>
          <w:p>
            <w:pPr>
              <w:ind w:left="320"/>
              <w:spacing w:after="0"/>
              <w:rPr>
                <w:sz w:val="20"/>
                <w:szCs w:val="20"/>
                <w:color w:val="auto"/>
              </w:rPr>
            </w:pPr>
            <w:r>
              <w:rPr>
                <w:rFonts w:ascii="Arial" w:cs="Arial" w:eastAsia="Arial" w:hAnsi="Arial"/>
                <w:sz w:val="14"/>
                <w:szCs w:val="14"/>
                <w:color w:val="auto"/>
              </w:rPr>
              <w:t>Unknown</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04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16,982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32,079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56,267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23,442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7,319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180,678</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40" w:type="dxa"/>
            <w:vAlign w:val="bottom"/>
          </w:tcPr>
          <w:p>
            <w:pPr>
              <w:ind w:left="20"/>
              <w:spacing w:after="0"/>
              <w:rPr>
                <w:sz w:val="20"/>
                <w:szCs w:val="20"/>
                <w:color w:val="auto"/>
              </w:rPr>
            </w:pPr>
            <w:r>
              <w:rPr>
                <w:rFonts w:ascii="Arial" w:cs="Arial" w:eastAsia="Arial" w:hAnsi="Arial"/>
                <w:sz w:val="14"/>
                <w:szCs w:val="14"/>
                <w:color w:val="auto"/>
              </w:rPr>
              <w:t>Accrued interest excluded from total</w:t>
            </w: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626</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period gross charge-offs</w:t>
            </w: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1-4 family - 2nd lien</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040" w:type="dxa"/>
            <w:vAlign w:val="bottom"/>
          </w:tcPr>
          <w:p>
            <w:pPr>
              <w:ind w:left="320"/>
              <w:spacing w:after="0"/>
              <w:rPr>
                <w:sz w:val="20"/>
                <w:szCs w:val="20"/>
                <w:color w:val="auto"/>
              </w:rPr>
            </w:pPr>
            <w:r>
              <w:rPr>
                <w:rFonts w:ascii="Arial" w:cs="Arial" w:eastAsia="Arial" w:hAnsi="Arial"/>
                <w:sz w:val="14"/>
                <w:szCs w:val="14"/>
                <w:color w:val="auto"/>
              </w:rPr>
              <w:t>800 and above</w:t>
            </w: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187</w:t>
            </w:r>
          </w:p>
        </w:tc>
        <w:tc>
          <w:tcPr>
            <w:tcW w:w="80" w:type="dxa"/>
            <w:vAlign w:val="bottom"/>
          </w:tcPr>
          <w:p>
            <w:pPr>
              <w:spacing w:after="0"/>
              <w:rPr>
                <w:sz w:val="15"/>
                <w:szCs w:val="15"/>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912</w:t>
            </w:r>
          </w:p>
        </w:tc>
        <w:tc>
          <w:tcPr>
            <w:tcW w:w="80" w:type="dxa"/>
            <w:vAlign w:val="bottom"/>
          </w:tcPr>
          <w:p>
            <w:pPr>
              <w:spacing w:after="0"/>
              <w:rPr>
                <w:sz w:val="15"/>
                <w:szCs w:val="15"/>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539</w:t>
            </w:r>
          </w:p>
        </w:tc>
        <w:tc>
          <w:tcPr>
            <w:tcW w:w="80" w:type="dxa"/>
            <w:vAlign w:val="bottom"/>
          </w:tcPr>
          <w:p>
            <w:pPr>
              <w:spacing w:after="0"/>
              <w:rPr>
                <w:sz w:val="15"/>
                <w:szCs w:val="15"/>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617</w:t>
            </w:r>
          </w:p>
        </w:tc>
        <w:tc>
          <w:tcPr>
            <w:tcW w:w="80" w:type="dxa"/>
            <w:vAlign w:val="bottom"/>
          </w:tcPr>
          <w:p>
            <w:pPr>
              <w:spacing w:after="0"/>
              <w:rPr>
                <w:sz w:val="15"/>
                <w:szCs w:val="15"/>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1,375</w:t>
            </w:r>
          </w:p>
        </w:tc>
        <w:tc>
          <w:tcPr>
            <w:tcW w:w="100" w:type="dxa"/>
            <w:vAlign w:val="bottom"/>
          </w:tcPr>
          <w:p>
            <w:pPr>
              <w:spacing w:after="0"/>
              <w:rPr>
                <w:sz w:val="15"/>
                <w:szCs w:val="15"/>
                <w:color w:val="auto"/>
              </w:rPr>
            </w:pP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9,794</w:t>
            </w:r>
          </w:p>
        </w:tc>
        <w:tc>
          <w:tcPr>
            <w:tcW w:w="8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13,607</w:t>
            </w: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750-799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35,805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50,351</w:t>
            </w:r>
          </w:p>
        </w:tc>
        <w:tc>
          <w:tcPr>
            <w:tcW w:w="0" w:type="dxa"/>
            <w:vAlign w:val="bottom"/>
          </w:tcPr>
          <w:p>
            <w:pPr>
              <w:spacing w:after="0"/>
              <w:rPr>
                <w:sz w:val="1"/>
                <w:szCs w:val="1"/>
                <w:color w:val="auto"/>
              </w:rPr>
            </w:pPr>
          </w:p>
        </w:tc>
      </w:tr>
      <w:tr>
        <w:trPr>
          <w:trHeight w:val="184"/>
        </w:trPr>
        <w:tc>
          <w:tcPr>
            <w:tcW w:w="3040" w:type="dxa"/>
            <w:vAlign w:val="bottom"/>
          </w:tcPr>
          <w:p>
            <w:pPr>
              <w:ind w:left="320"/>
              <w:spacing w:after="0"/>
              <w:rPr>
                <w:sz w:val="20"/>
                <w:szCs w:val="20"/>
                <w:color w:val="auto"/>
              </w:rPr>
            </w:pPr>
            <w:r>
              <w:rPr>
                <w:rFonts w:ascii="Arial" w:cs="Arial" w:eastAsia="Arial" w:hAnsi="Arial"/>
                <w:sz w:val="14"/>
                <w:szCs w:val="14"/>
                <w:color w:val="auto"/>
              </w:rPr>
              <w:t>700-749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1,450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2,186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1,656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618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567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2,469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24,817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33,763</w:t>
            </w: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650-699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10,891</w:t>
            </w:r>
          </w:p>
        </w:tc>
        <w:tc>
          <w:tcPr>
            <w:tcW w:w="0" w:type="dxa"/>
            <w:vAlign w:val="bottom"/>
          </w:tcPr>
          <w:p>
            <w:pPr>
              <w:spacing w:after="0"/>
              <w:rPr>
                <w:sz w:val="1"/>
                <w:szCs w:val="1"/>
                <w:color w:val="auto"/>
              </w:rPr>
            </w:pPr>
          </w:p>
        </w:tc>
      </w:tr>
      <w:tr>
        <w:trPr>
          <w:trHeight w:val="184"/>
        </w:trPr>
        <w:tc>
          <w:tcPr>
            <w:tcW w:w="3040" w:type="dxa"/>
            <w:vAlign w:val="bottom"/>
          </w:tcPr>
          <w:p>
            <w:pPr>
              <w:ind w:left="320"/>
              <w:spacing w:after="0"/>
              <w:rPr>
                <w:sz w:val="20"/>
                <w:szCs w:val="20"/>
                <w:color w:val="auto"/>
              </w:rPr>
            </w:pPr>
            <w:r>
              <w:rPr>
                <w:rFonts w:ascii="Arial" w:cs="Arial" w:eastAsia="Arial" w:hAnsi="Arial"/>
                <w:sz w:val="14"/>
                <w:szCs w:val="14"/>
                <w:color w:val="auto"/>
              </w:rPr>
              <w:t>600-649</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902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2,069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3,375</w:t>
            </w: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550-599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r>
        <w:trPr>
          <w:trHeight w:val="184"/>
        </w:trPr>
        <w:tc>
          <w:tcPr>
            <w:tcW w:w="3040" w:type="dxa"/>
            <w:vAlign w:val="bottom"/>
          </w:tcPr>
          <w:p>
            <w:pPr>
              <w:ind w:left="320"/>
              <w:spacing w:after="0"/>
              <w:rPr>
                <w:sz w:val="20"/>
                <w:szCs w:val="20"/>
                <w:color w:val="auto"/>
              </w:rPr>
            </w:pPr>
            <w:r>
              <w:rPr>
                <w:rFonts w:ascii="Arial" w:cs="Arial" w:eastAsia="Arial" w:hAnsi="Arial"/>
                <w:sz w:val="14"/>
                <w:szCs w:val="14"/>
                <w:color w:val="auto"/>
              </w:rPr>
              <w:t>500-549</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854</w:t>
            </w: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Under 500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86"/>
        </w:trPr>
        <w:tc>
          <w:tcPr>
            <w:tcW w:w="3040" w:type="dxa"/>
            <w:vAlign w:val="bottom"/>
          </w:tcPr>
          <w:p>
            <w:pPr>
              <w:ind w:left="320"/>
              <w:spacing w:after="0"/>
              <w:rPr>
                <w:sz w:val="20"/>
                <w:szCs w:val="20"/>
                <w:color w:val="auto"/>
              </w:rPr>
            </w:pPr>
            <w:r>
              <w:rPr>
                <w:rFonts w:ascii="Arial" w:cs="Arial" w:eastAsia="Arial" w:hAnsi="Arial"/>
                <w:sz w:val="14"/>
                <w:szCs w:val="14"/>
                <w:color w:val="auto"/>
              </w:rPr>
              <w:t>Unknown</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04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6,335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80,258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113,486</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40" w:type="dxa"/>
            <w:vAlign w:val="bottom"/>
          </w:tcPr>
          <w:p>
            <w:pPr>
              <w:ind w:left="20"/>
              <w:spacing w:after="0"/>
              <w:rPr>
                <w:sz w:val="20"/>
                <w:szCs w:val="20"/>
                <w:color w:val="auto"/>
              </w:rPr>
            </w:pPr>
            <w:r>
              <w:rPr>
                <w:rFonts w:ascii="Arial" w:cs="Arial" w:eastAsia="Arial" w:hAnsi="Arial"/>
                <w:sz w:val="14"/>
                <w:szCs w:val="14"/>
                <w:color w:val="auto"/>
              </w:rPr>
              <w:t>Accrued interest excluded from total</w:t>
            </w: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653</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773</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period gross charge-offs</w:t>
            </w: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ind w:left="280"/>
              <w:spacing w:after="0"/>
              <w:rPr>
                <w:sz w:val="20"/>
                <w:szCs w:val="20"/>
                <w:color w:val="auto"/>
              </w:rPr>
            </w:pPr>
            <w:r>
              <w:rPr>
                <w:rFonts w:ascii="Arial" w:cs="Arial" w:eastAsia="Arial" w:hAnsi="Arial"/>
                <w:sz w:val="14"/>
                <w:szCs w:val="14"/>
                <w:color w:val="auto"/>
                <w:w w:val="96"/>
              </w:rPr>
              <w:t>Mortgage - continued (1)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280"/>
              <w:spacing w:after="0" w:line="129" w:lineRule="exact"/>
              <w:rPr>
                <w:sz w:val="20"/>
                <w:szCs w:val="20"/>
                <w:color w:val="auto"/>
              </w:rPr>
            </w:pPr>
            <w:r>
              <w:rPr>
                <w:rFonts w:ascii="Arial" w:cs="Arial" w:eastAsia="Arial" w:hAnsi="Arial"/>
                <w:sz w:val="14"/>
                <w:szCs w:val="14"/>
                <w:color w:val="auto"/>
                <w:w w:val="94"/>
              </w:rPr>
              <w:t>Revolving</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60" w:type="dxa"/>
            <w:vAlign w:val="bottom"/>
            <w:gridSpan w:val="11"/>
            <w:vMerge w:val="restart"/>
          </w:tcPr>
          <w:p>
            <w:pPr>
              <w:ind w:left="220"/>
              <w:spacing w:after="0"/>
              <w:rPr>
                <w:sz w:val="20"/>
                <w:szCs w:val="20"/>
                <w:color w:val="auto"/>
              </w:rPr>
            </w:pPr>
            <w:r>
              <w:rPr>
                <w:rFonts w:ascii="Arial" w:cs="Arial" w:eastAsia="Arial" w:hAnsi="Arial"/>
                <w:sz w:val="14"/>
                <w:szCs w:val="14"/>
                <w:color w:val="auto"/>
              </w:rPr>
              <w:t>Term Loans Amortized Cost Basis by Origination Year</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80"/>
              <w:spacing w:after="0" w:line="142" w:lineRule="exact"/>
              <w:rPr>
                <w:sz w:val="20"/>
                <w:szCs w:val="20"/>
                <w:color w:val="auto"/>
              </w:rPr>
            </w:pPr>
            <w:r>
              <w:rPr>
                <w:rFonts w:ascii="Arial" w:cs="Arial" w:eastAsia="Arial" w:hAnsi="Arial"/>
                <w:sz w:val="14"/>
                <w:szCs w:val="14"/>
                <w:color w:val="auto"/>
                <w:w w:val="89"/>
              </w:rPr>
              <w:t>Loans</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760" w:type="dxa"/>
            <w:vAlign w:val="bottom"/>
            <w:gridSpan w:val="11"/>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2"/>
            <w:vMerge w:val="restart"/>
          </w:tcPr>
          <w:p>
            <w:pPr>
              <w:jc w:val="center"/>
              <w:ind w:right="280"/>
              <w:spacing w:after="0" w:line="114" w:lineRule="exact"/>
              <w:rPr>
                <w:sz w:val="20"/>
                <w:szCs w:val="20"/>
                <w:color w:val="auto"/>
              </w:rPr>
            </w:pPr>
            <w:r>
              <w:rPr>
                <w:rFonts w:ascii="Arial" w:cs="Arial" w:eastAsia="Arial" w:hAnsi="Arial"/>
                <w:sz w:val="13"/>
                <w:szCs w:val="13"/>
                <w:color w:val="auto"/>
                <w:w w:val="99"/>
              </w:rPr>
              <w:t>Amortized</w:t>
            </w: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2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vMerge w:val="restart"/>
          </w:tcPr>
          <w:p>
            <w:pPr>
              <w:jc w:val="right"/>
              <w:ind w:right="29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9"/>
        </w:trPr>
        <w:tc>
          <w:tcPr>
            <w:tcW w:w="29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2023</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2022</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2020</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Prior</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color w:val="auto"/>
                <w:w w:val="86"/>
              </w:rPr>
              <w:t>Cost Basis</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right"/>
              <w:ind w:right="4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980" w:type="dxa"/>
            <w:vAlign w:val="bottom"/>
          </w:tcPr>
          <w:p>
            <w:pPr>
              <w:ind w:left="20"/>
              <w:spacing w:after="0"/>
              <w:rPr>
                <w:sz w:val="20"/>
                <w:szCs w:val="20"/>
                <w:color w:val="auto"/>
              </w:rPr>
            </w:pPr>
            <w:r>
              <w:rPr>
                <w:rFonts w:ascii="Arial" w:cs="Arial" w:eastAsia="Arial" w:hAnsi="Arial"/>
                <w:sz w:val="14"/>
                <w:szCs w:val="14"/>
                <w:color w:val="auto"/>
              </w:rPr>
              <w:t>September 30, 2023 - continued</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980" w:type="dxa"/>
            <w:vAlign w:val="bottom"/>
          </w:tcPr>
          <w:p>
            <w:pPr>
              <w:ind w:left="180"/>
              <w:spacing w:after="0"/>
              <w:rPr>
                <w:sz w:val="20"/>
                <w:szCs w:val="20"/>
                <w:color w:val="auto"/>
              </w:rPr>
            </w:pPr>
            <w:r>
              <w:rPr>
                <w:rFonts w:ascii="Arial" w:cs="Arial" w:eastAsia="Arial" w:hAnsi="Arial"/>
                <w:sz w:val="14"/>
                <w:szCs w:val="14"/>
                <w:color w:val="auto"/>
              </w:rPr>
              <w:t>Resort lending</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800 and above</w:t>
            </w: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6,700</w:t>
            </w:r>
          </w:p>
        </w:tc>
        <w:tc>
          <w:tcPr>
            <w:tcW w:w="0" w:type="dxa"/>
            <w:vAlign w:val="bottom"/>
          </w:tcPr>
          <w:p>
            <w:pPr>
              <w:spacing w:after="0"/>
              <w:rPr>
                <w:sz w:val="1"/>
                <w:szCs w:val="1"/>
                <w:color w:val="auto"/>
              </w:rPr>
            </w:pPr>
          </w:p>
        </w:tc>
      </w:tr>
      <w:tr>
        <w:trPr>
          <w:trHeight w:val="184"/>
        </w:trPr>
        <w:tc>
          <w:tcPr>
            <w:tcW w:w="2980" w:type="dxa"/>
            <w:vAlign w:val="bottom"/>
          </w:tcPr>
          <w:p>
            <w:pPr>
              <w:ind w:left="320"/>
              <w:spacing w:after="0"/>
              <w:rPr>
                <w:sz w:val="20"/>
                <w:szCs w:val="20"/>
                <w:color w:val="auto"/>
              </w:rPr>
            </w:pPr>
            <w:r>
              <w:rPr>
                <w:rFonts w:ascii="Arial" w:cs="Arial" w:eastAsia="Arial" w:hAnsi="Arial"/>
                <w:sz w:val="14"/>
                <w:szCs w:val="14"/>
                <w:color w:val="auto"/>
              </w:rPr>
              <w:t>750-799</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821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960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1,046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14,492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17,499</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700-749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7,470</w:t>
            </w:r>
          </w:p>
        </w:tc>
        <w:tc>
          <w:tcPr>
            <w:tcW w:w="0" w:type="dxa"/>
            <w:vAlign w:val="bottom"/>
          </w:tcPr>
          <w:p>
            <w:pPr>
              <w:spacing w:after="0"/>
              <w:rPr>
                <w:sz w:val="1"/>
                <w:szCs w:val="1"/>
                <w:color w:val="auto"/>
              </w:rPr>
            </w:pPr>
          </w:p>
        </w:tc>
      </w:tr>
      <w:tr>
        <w:trPr>
          <w:trHeight w:val="184"/>
        </w:trPr>
        <w:tc>
          <w:tcPr>
            <w:tcW w:w="2980" w:type="dxa"/>
            <w:vAlign w:val="bottom"/>
          </w:tcPr>
          <w:p>
            <w:pPr>
              <w:ind w:left="320"/>
              <w:spacing w:after="0"/>
              <w:rPr>
                <w:sz w:val="20"/>
                <w:szCs w:val="20"/>
                <w:color w:val="auto"/>
              </w:rPr>
            </w:pPr>
            <w:r>
              <w:rPr>
                <w:rFonts w:ascii="Arial" w:cs="Arial" w:eastAsia="Arial" w:hAnsi="Arial"/>
                <w:sz w:val="14"/>
                <w:szCs w:val="14"/>
                <w:color w:val="auto"/>
              </w:rPr>
              <w:t>650-699</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4,134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4,184</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600-649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184"/>
        </w:trPr>
        <w:tc>
          <w:tcPr>
            <w:tcW w:w="2980" w:type="dxa"/>
            <w:vAlign w:val="bottom"/>
          </w:tcPr>
          <w:p>
            <w:pPr>
              <w:ind w:left="320"/>
              <w:spacing w:after="0"/>
              <w:rPr>
                <w:sz w:val="20"/>
                <w:szCs w:val="20"/>
                <w:color w:val="auto"/>
              </w:rPr>
            </w:pPr>
            <w:r>
              <w:rPr>
                <w:rFonts w:ascii="Arial" w:cs="Arial" w:eastAsia="Arial" w:hAnsi="Arial"/>
                <w:sz w:val="14"/>
                <w:szCs w:val="14"/>
                <w:color w:val="auto"/>
              </w:rPr>
              <w:t>550-599</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352</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500-549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84"/>
        </w:trPr>
        <w:tc>
          <w:tcPr>
            <w:tcW w:w="2980" w:type="dxa"/>
            <w:vAlign w:val="bottom"/>
          </w:tcPr>
          <w:p>
            <w:pPr>
              <w:ind w:left="320"/>
              <w:spacing w:after="0"/>
              <w:rPr>
                <w:sz w:val="20"/>
                <w:szCs w:val="20"/>
                <w:color w:val="auto"/>
              </w:rPr>
            </w:pPr>
            <w:r>
              <w:rPr>
                <w:rFonts w:ascii="Arial" w:cs="Arial" w:eastAsia="Arial" w:hAnsi="Arial"/>
                <w:sz w:val="14"/>
                <w:szCs w:val="14"/>
                <w:color w:val="auto"/>
              </w:rPr>
              <w:t>Under 500</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Unknown</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980" w:type="dxa"/>
            <w:vAlign w:val="bottom"/>
          </w:tcPr>
          <w:p>
            <w:pPr>
              <w:ind w:left="48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930</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2,075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1,346</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32,311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36,842</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80" w:type="dxa"/>
            <w:vAlign w:val="bottom"/>
          </w:tcPr>
          <w:p>
            <w:pPr>
              <w:ind w:left="20"/>
              <w:spacing w:after="0"/>
              <w:rPr>
                <w:sz w:val="20"/>
                <w:szCs w:val="20"/>
                <w:color w:val="auto"/>
              </w:rPr>
            </w:pPr>
            <w:r>
              <w:rPr>
                <w:rFonts w:ascii="Arial" w:cs="Arial" w:eastAsia="Arial" w:hAnsi="Arial"/>
                <w:sz w:val="14"/>
                <w:szCs w:val="14"/>
                <w:color w:val="auto"/>
              </w:rPr>
              <w:t>Current period gross charge-offs</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980" w:type="dxa"/>
            <w:vAlign w:val="bottom"/>
          </w:tcPr>
          <w:p>
            <w:pPr>
              <w:ind w:left="20"/>
              <w:spacing w:after="0"/>
              <w:rPr>
                <w:sz w:val="20"/>
                <w:szCs w:val="20"/>
                <w:color w:val="auto"/>
              </w:rPr>
            </w:pPr>
            <w:r>
              <w:rPr>
                <w:rFonts w:ascii="Arial" w:cs="Arial" w:eastAsia="Arial" w:hAnsi="Arial"/>
                <w:sz w:val="14"/>
                <w:szCs w:val="14"/>
                <w:color w:val="auto"/>
              </w:rPr>
              <w:t>Total Mortgage</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800 and above</w:t>
            </w: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10,728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37,823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78,378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26,025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11,028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28,683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15,978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208,643</w:t>
            </w:r>
          </w:p>
        </w:tc>
        <w:tc>
          <w:tcPr>
            <w:tcW w:w="0" w:type="dxa"/>
            <w:vAlign w:val="bottom"/>
          </w:tcPr>
          <w:p>
            <w:pPr>
              <w:spacing w:after="0"/>
              <w:rPr>
                <w:sz w:val="1"/>
                <w:szCs w:val="1"/>
                <w:color w:val="auto"/>
              </w:rPr>
            </w:pPr>
          </w:p>
        </w:tc>
      </w:tr>
      <w:tr>
        <w:trPr>
          <w:trHeight w:val="184"/>
        </w:trPr>
        <w:tc>
          <w:tcPr>
            <w:tcW w:w="2980" w:type="dxa"/>
            <w:vAlign w:val="bottom"/>
          </w:tcPr>
          <w:p>
            <w:pPr>
              <w:ind w:left="320"/>
              <w:spacing w:after="0"/>
              <w:rPr>
                <w:sz w:val="20"/>
                <w:szCs w:val="20"/>
                <w:color w:val="auto"/>
              </w:rPr>
            </w:pPr>
            <w:r>
              <w:rPr>
                <w:rFonts w:ascii="Arial" w:cs="Arial" w:eastAsia="Arial" w:hAnsi="Arial"/>
                <w:sz w:val="14"/>
                <w:szCs w:val="14"/>
                <w:color w:val="auto"/>
              </w:rPr>
              <w:t>750-799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61,228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186,530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262,512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94,504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31,982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68,722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47,625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753,103</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700-749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27,541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79,017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93,007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36,354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17,784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31,845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337,068</w:t>
            </w:r>
          </w:p>
        </w:tc>
        <w:tc>
          <w:tcPr>
            <w:tcW w:w="0" w:type="dxa"/>
            <w:vAlign w:val="bottom"/>
          </w:tcPr>
          <w:p>
            <w:pPr>
              <w:spacing w:after="0"/>
              <w:rPr>
                <w:sz w:val="1"/>
                <w:szCs w:val="1"/>
                <w:color w:val="auto"/>
              </w:rPr>
            </w:pPr>
          </w:p>
        </w:tc>
      </w:tr>
      <w:tr>
        <w:trPr>
          <w:trHeight w:val="184"/>
        </w:trPr>
        <w:tc>
          <w:tcPr>
            <w:tcW w:w="2980" w:type="dxa"/>
            <w:vAlign w:val="bottom"/>
          </w:tcPr>
          <w:p>
            <w:pPr>
              <w:ind w:left="320"/>
              <w:spacing w:after="0"/>
              <w:rPr>
                <w:sz w:val="20"/>
                <w:szCs w:val="20"/>
                <w:color w:val="auto"/>
              </w:rPr>
            </w:pPr>
            <w:r>
              <w:rPr>
                <w:rFonts w:ascii="Arial" w:cs="Arial" w:eastAsia="Arial" w:hAnsi="Arial"/>
                <w:sz w:val="14"/>
                <w:szCs w:val="14"/>
                <w:color w:val="auto"/>
              </w:rPr>
              <w:t>650-699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12,489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20,975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27,537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17,462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5,167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27,386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9,287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120,303</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600-649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14,866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32,757</w:t>
            </w:r>
          </w:p>
        </w:tc>
        <w:tc>
          <w:tcPr>
            <w:tcW w:w="0" w:type="dxa"/>
            <w:vAlign w:val="bottom"/>
          </w:tcPr>
          <w:p>
            <w:pPr>
              <w:spacing w:after="0"/>
              <w:rPr>
                <w:sz w:val="1"/>
                <w:szCs w:val="1"/>
                <w:color w:val="auto"/>
              </w:rPr>
            </w:pPr>
          </w:p>
        </w:tc>
      </w:tr>
      <w:tr>
        <w:trPr>
          <w:trHeight w:val="184"/>
        </w:trPr>
        <w:tc>
          <w:tcPr>
            <w:tcW w:w="2980" w:type="dxa"/>
            <w:vAlign w:val="bottom"/>
          </w:tcPr>
          <w:p>
            <w:pPr>
              <w:ind w:left="320"/>
              <w:spacing w:after="0"/>
              <w:rPr>
                <w:sz w:val="20"/>
                <w:szCs w:val="20"/>
                <w:color w:val="auto"/>
              </w:rPr>
            </w:pPr>
            <w:r>
              <w:rPr>
                <w:rFonts w:ascii="Arial" w:cs="Arial" w:eastAsia="Arial" w:hAnsi="Arial"/>
                <w:sz w:val="14"/>
                <w:szCs w:val="14"/>
                <w:color w:val="auto"/>
              </w:rPr>
              <w:t>550-599</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1,319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2,101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721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813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6,710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11,987</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500-549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9,182</w:t>
            </w:r>
          </w:p>
        </w:tc>
        <w:tc>
          <w:tcPr>
            <w:tcW w:w="0" w:type="dxa"/>
            <w:vAlign w:val="bottom"/>
          </w:tcPr>
          <w:p>
            <w:pPr>
              <w:spacing w:after="0"/>
              <w:rPr>
                <w:sz w:val="1"/>
                <w:szCs w:val="1"/>
                <w:color w:val="auto"/>
              </w:rPr>
            </w:pPr>
          </w:p>
        </w:tc>
      </w:tr>
      <w:tr>
        <w:trPr>
          <w:trHeight w:val="184"/>
        </w:trPr>
        <w:tc>
          <w:tcPr>
            <w:tcW w:w="2980" w:type="dxa"/>
            <w:vAlign w:val="bottom"/>
          </w:tcPr>
          <w:p>
            <w:pPr>
              <w:ind w:left="320"/>
              <w:spacing w:after="0"/>
              <w:rPr>
                <w:sz w:val="20"/>
                <w:szCs w:val="20"/>
                <w:color w:val="auto"/>
              </w:rPr>
            </w:pPr>
            <w:r>
              <w:rPr>
                <w:rFonts w:ascii="Arial" w:cs="Arial" w:eastAsia="Arial" w:hAnsi="Arial"/>
                <w:sz w:val="14"/>
                <w:szCs w:val="14"/>
                <w:color w:val="auto"/>
              </w:rPr>
              <w:t>Under 500</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816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1,804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2,865</w:t>
            </w:r>
          </w:p>
        </w:tc>
        <w:tc>
          <w:tcPr>
            <w:tcW w:w="0" w:type="dxa"/>
            <w:vAlign w:val="bottom"/>
          </w:tcPr>
          <w:p>
            <w:pPr>
              <w:spacing w:after="0"/>
              <w:rPr>
                <w:sz w:val="1"/>
                <w:szCs w:val="1"/>
                <w:color w:val="auto"/>
              </w:rPr>
            </w:pPr>
          </w:p>
        </w:tc>
      </w:tr>
      <w:tr>
        <w:trPr>
          <w:trHeight w:val="196"/>
        </w:trPr>
        <w:tc>
          <w:tcPr>
            <w:tcW w:w="2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Unknown</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2980" w:type="dxa"/>
            <w:vAlign w:val="bottom"/>
          </w:tcPr>
          <w:p>
            <w:pPr>
              <w:ind w:left="48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111,986</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331,003</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467,263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183,674</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70,474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204,049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107,459</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1,475,908</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1,078</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866</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4,876</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80" w:type="dxa"/>
            <w:vAlign w:val="bottom"/>
          </w:tcPr>
          <w:p>
            <w:pPr>
              <w:ind w:left="20"/>
              <w:spacing w:after="0"/>
              <w:rPr>
                <w:sz w:val="20"/>
                <w:szCs w:val="20"/>
                <w:color w:val="auto"/>
              </w:rPr>
            </w:pPr>
            <w:r>
              <w:rPr>
                <w:rFonts w:ascii="Arial" w:cs="Arial" w:eastAsia="Arial" w:hAnsi="Arial"/>
                <w:sz w:val="14"/>
                <w:szCs w:val="14"/>
                <w:color w:val="auto"/>
              </w:rPr>
              <w:t>Current period gross charge-offs</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Revolving</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60" w:type="dxa"/>
            <w:vAlign w:val="bottom"/>
            <w:gridSpan w:val="11"/>
            <w:vMerge w:val="restart"/>
          </w:tcPr>
          <w:p>
            <w:pPr>
              <w:ind w:left="220"/>
              <w:spacing w:after="0"/>
              <w:rPr>
                <w:sz w:val="20"/>
                <w:szCs w:val="20"/>
                <w:color w:val="auto"/>
              </w:rPr>
            </w:pPr>
            <w:r>
              <w:rPr>
                <w:rFonts w:ascii="Arial" w:cs="Arial" w:eastAsia="Arial" w:hAnsi="Arial"/>
                <w:sz w:val="14"/>
                <w:szCs w:val="14"/>
                <w:color w:val="auto"/>
              </w:rPr>
              <w:t>Term Loans Amortized Cost Basis by Origination Year</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80"/>
              <w:spacing w:after="0" w:line="142" w:lineRule="exact"/>
              <w:rPr>
                <w:sz w:val="20"/>
                <w:szCs w:val="20"/>
                <w:color w:val="auto"/>
              </w:rPr>
            </w:pPr>
            <w:r>
              <w:rPr>
                <w:rFonts w:ascii="Arial" w:cs="Arial" w:eastAsia="Arial" w:hAnsi="Arial"/>
                <w:sz w:val="14"/>
                <w:szCs w:val="14"/>
                <w:color w:val="auto"/>
                <w:w w:val="89"/>
              </w:rPr>
              <w:t>Loans</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760" w:type="dxa"/>
            <w:vAlign w:val="bottom"/>
            <w:gridSpan w:val="11"/>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2"/>
            <w:vMerge w:val="restart"/>
          </w:tcPr>
          <w:p>
            <w:pPr>
              <w:jc w:val="center"/>
              <w:ind w:right="280"/>
              <w:spacing w:after="0" w:line="114" w:lineRule="exact"/>
              <w:rPr>
                <w:sz w:val="20"/>
                <w:szCs w:val="20"/>
                <w:color w:val="auto"/>
              </w:rPr>
            </w:pPr>
            <w:r>
              <w:rPr>
                <w:rFonts w:ascii="Arial" w:cs="Arial" w:eastAsia="Arial" w:hAnsi="Arial"/>
                <w:sz w:val="13"/>
                <w:szCs w:val="13"/>
                <w:color w:val="auto"/>
                <w:w w:val="99"/>
              </w:rPr>
              <w:t>Amortized</w:t>
            </w: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2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vMerge w:val="restart"/>
          </w:tcPr>
          <w:p>
            <w:pPr>
              <w:jc w:val="right"/>
              <w:ind w:right="29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9"/>
        </w:trPr>
        <w:tc>
          <w:tcPr>
            <w:tcW w:w="29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2022</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2020</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2019</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Prior</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color w:val="auto"/>
                <w:w w:val="86"/>
              </w:rPr>
              <w:t>Cost Basis</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right"/>
              <w:ind w:right="4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980" w:type="dxa"/>
            <w:vAlign w:val="bottom"/>
          </w:tcPr>
          <w:p>
            <w:pPr>
              <w:ind w:left="20"/>
              <w:spacing w:after="0"/>
              <w:rPr>
                <w:sz w:val="20"/>
                <w:szCs w:val="20"/>
                <w:color w:val="auto"/>
              </w:rPr>
            </w:pPr>
            <w:r>
              <w:rPr>
                <w:rFonts w:ascii="Arial" w:cs="Arial" w:eastAsia="Arial" w:hAnsi="Arial"/>
                <w:sz w:val="14"/>
                <w:szCs w:val="14"/>
                <w:color w:val="auto"/>
              </w:rPr>
              <w:t>December 31, 2022</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980" w:type="dxa"/>
            <w:vAlign w:val="bottom"/>
          </w:tcPr>
          <w:p>
            <w:pPr>
              <w:ind w:left="180"/>
              <w:spacing w:after="0"/>
              <w:rPr>
                <w:sz w:val="20"/>
                <w:szCs w:val="20"/>
                <w:color w:val="auto"/>
              </w:rPr>
            </w:pPr>
            <w:r>
              <w:rPr>
                <w:rFonts w:ascii="Arial" w:cs="Arial" w:eastAsia="Arial" w:hAnsi="Arial"/>
                <w:sz w:val="14"/>
                <w:szCs w:val="14"/>
                <w:color w:val="auto"/>
              </w:rPr>
              <w:t>1-4 family owner occupied - jumbo</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800 and above</w:t>
            </w: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23,764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54,637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16,848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115,033</w:t>
            </w:r>
          </w:p>
        </w:tc>
        <w:tc>
          <w:tcPr>
            <w:tcW w:w="0" w:type="dxa"/>
            <w:vAlign w:val="bottom"/>
          </w:tcPr>
          <w:p>
            <w:pPr>
              <w:spacing w:after="0"/>
              <w:rPr>
                <w:sz w:val="1"/>
                <w:szCs w:val="1"/>
                <w:color w:val="auto"/>
              </w:rPr>
            </w:pPr>
          </w:p>
        </w:tc>
      </w:tr>
      <w:tr>
        <w:trPr>
          <w:trHeight w:val="184"/>
        </w:trPr>
        <w:tc>
          <w:tcPr>
            <w:tcW w:w="2980" w:type="dxa"/>
            <w:vAlign w:val="bottom"/>
          </w:tcPr>
          <w:p>
            <w:pPr>
              <w:ind w:left="320"/>
              <w:spacing w:after="0"/>
              <w:rPr>
                <w:sz w:val="20"/>
                <w:szCs w:val="20"/>
                <w:color w:val="auto"/>
              </w:rPr>
            </w:pPr>
            <w:r>
              <w:rPr>
                <w:rFonts w:ascii="Arial" w:cs="Arial" w:eastAsia="Arial" w:hAnsi="Arial"/>
                <w:sz w:val="14"/>
                <w:szCs w:val="14"/>
                <w:color w:val="auto"/>
              </w:rPr>
              <w:t>750-799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97,269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189,653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71,555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16,091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1,828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16,140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683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393,219</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700-749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34,158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91,189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28,701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12,666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179,877</w:t>
            </w:r>
          </w:p>
        </w:tc>
        <w:tc>
          <w:tcPr>
            <w:tcW w:w="0" w:type="dxa"/>
            <w:vAlign w:val="bottom"/>
          </w:tcPr>
          <w:p>
            <w:pPr>
              <w:spacing w:after="0"/>
              <w:rPr>
                <w:sz w:val="1"/>
                <w:szCs w:val="1"/>
                <w:color w:val="auto"/>
              </w:rPr>
            </w:pPr>
          </w:p>
        </w:tc>
      </w:tr>
      <w:tr>
        <w:trPr>
          <w:trHeight w:val="184"/>
        </w:trPr>
        <w:tc>
          <w:tcPr>
            <w:tcW w:w="2980" w:type="dxa"/>
            <w:vAlign w:val="bottom"/>
          </w:tcPr>
          <w:p>
            <w:pPr>
              <w:ind w:left="320"/>
              <w:spacing w:after="0"/>
              <w:rPr>
                <w:sz w:val="20"/>
                <w:szCs w:val="20"/>
                <w:color w:val="auto"/>
              </w:rPr>
            </w:pPr>
            <w:r>
              <w:rPr>
                <w:rFonts w:ascii="Arial" w:cs="Arial" w:eastAsia="Arial" w:hAnsi="Arial"/>
                <w:sz w:val="14"/>
                <w:szCs w:val="14"/>
                <w:color w:val="auto"/>
              </w:rPr>
              <w:t>650-699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10,905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20,743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7,216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2,554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4,250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827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50,515</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600-649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10,135</w:t>
            </w:r>
          </w:p>
        </w:tc>
        <w:tc>
          <w:tcPr>
            <w:tcW w:w="0" w:type="dxa"/>
            <w:vAlign w:val="bottom"/>
          </w:tcPr>
          <w:p>
            <w:pPr>
              <w:spacing w:after="0"/>
              <w:rPr>
                <w:sz w:val="1"/>
                <w:szCs w:val="1"/>
                <w:color w:val="auto"/>
              </w:rPr>
            </w:pPr>
          </w:p>
        </w:tc>
      </w:tr>
      <w:tr>
        <w:trPr>
          <w:trHeight w:val="184"/>
        </w:trPr>
        <w:tc>
          <w:tcPr>
            <w:tcW w:w="2980" w:type="dxa"/>
            <w:vAlign w:val="bottom"/>
          </w:tcPr>
          <w:p>
            <w:pPr>
              <w:ind w:left="320"/>
              <w:spacing w:after="0"/>
              <w:rPr>
                <w:sz w:val="20"/>
                <w:szCs w:val="20"/>
                <w:color w:val="auto"/>
              </w:rPr>
            </w:pPr>
            <w:r>
              <w:rPr>
                <w:rFonts w:ascii="Arial" w:cs="Arial" w:eastAsia="Arial" w:hAnsi="Arial"/>
                <w:sz w:val="14"/>
                <w:szCs w:val="14"/>
                <w:color w:val="auto"/>
              </w:rPr>
              <w:t>550-599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1,516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2,534</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500-549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0" w:type="dxa"/>
            <w:vAlign w:val="bottom"/>
          </w:tcPr>
          <w:p>
            <w:pPr>
              <w:spacing w:after="0"/>
              <w:rPr>
                <w:sz w:val="1"/>
                <w:szCs w:val="1"/>
                <w:color w:val="auto"/>
              </w:rPr>
            </w:pPr>
          </w:p>
        </w:tc>
      </w:tr>
      <w:tr>
        <w:trPr>
          <w:trHeight w:val="184"/>
        </w:trPr>
        <w:tc>
          <w:tcPr>
            <w:tcW w:w="2980" w:type="dxa"/>
            <w:vAlign w:val="bottom"/>
          </w:tcPr>
          <w:p>
            <w:pPr>
              <w:ind w:left="320"/>
              <w:spacing w:after="0"/>
              <w:rPr>
                <w:sz w:val="20"/>
                <w:szCs w:val="20"/>
                <w:color w:val="auto"/>
              </w:rPr>
            </w:pPr>
            <w:r>
              <w:rPr>
                <w:rFonts w:ascii="Arial" w:cs="Arial" w:eastAsia="Arial" w:hAnsi="Arial"/>
                <w:sz w:val="14"/>
                <w:szCs w:val="14"/>
                <w:color w:val="auto"/>
              </w:rPr>
              <w:t>Under 500</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Unknown</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2980" w:type="dxa"/>
            <w:vAlign w:val="bottom"/>
          </w:tcPr>
          <w:p>
            <w:pPr>
              <w:ind w:left="48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168,357</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359,013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129,415</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40,986</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12,310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38,797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3,685</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752,563</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1,892</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1-4 family owner occupied - non-jumbo</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980" w:type="dxa"/>
            <w:vAlign w:val="bottom"/>
          </w:tcPr>
          <w:p>
            <w:pPr>
              <w:ind w:left="320"/>
              <w:spacing w:after="0"/>
              <w:rPr>
                <w:sz w:val="20"/>
                <w:szCs w:val="20"/>
                <w:color w:val="auto"/>
              </w:rPr>
            </w:pPr>
            <w:r>
              <w:rPr>
                <w:rFonts w:ascii="Arial" w:cs="Arial" w:eastAsia="Arial" w:hAnsi="Arial"/>
                <w:sz w:val="14"/>
                <w:szCs w:val="14"/>
                <w:color w:val="auto"/>
              </w:rPr>
              <w:t>800 and above</w:t>
            </w: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8,894</w:t>
            </w:r>
          </w:p>
        </w:tc>
        <w:tc>
          <w:tcPr>
            <w:tcW w:w="8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10,498</w:t>
            </w:r>
          </w:p>
        </w:tc>
        <w:tc>
          <w:tcPr>
            <w:tcW w:w="10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5,558</w:t>
            </w:r>
          </w:p>
        </w:tc>
        <w:tc>
          <w:tcPr>
            <w:tcW w:w="80" w:type="dxa"/>
            <w:vAlign w:val="bottom"/>
          </w:tcPr>
          <w:p>
            <w:pPr>
              <w:spacing w:after="0"/>
              <w:rPr>
                <w:sz w:val="15"/>
                <w:szCs w:val="15"/>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3,220</w:t>
            </w:r>
          </w:p>
        </w:tc>
        <w:tc>
          <w:tcPr>
            <w:tcW w:w="80" w:type="dxa"/>
            <w:vAlign w:val="bottom"/>
          </w:tcPr>
          <w:p>
            <w:pPr>
              <w:spacing w:after="0"/>
              <w:rPr>
                <w:sz w:val="15"/>
                <w:szCs w:val="15"/>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2,074</w:t>
            </w:r>
          </w:p>
        </w:tc>
        <w:tc>
          <w:tcPr>
            <w:tcW w:w="10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6,074</w:t>
            </w:r>
          </w:p>
        </w:tc>
        <w:tc>
          <w:tcPr>
            <w:tcW w:w="10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1,680</w:t>
            </w:r>
          </w:p>
        </w:tc>
        <w:tc>
          <w:tcPr>
            <w:tcW w:w="80" w:type="dxa"/>
            <w:vAlign w:val="bottom"/>
          </w:tcPr>
          <w:p>
            <w:pPr>
              <w:spacing w:after="0"/>
              <w:rPr>
                <w:sz w:val="15"/>
                <w:szCs w:val="15"/>
                <w:color w:val="auto"/>
              </w:rPr>
            </w:pP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37,998</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750-799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33,833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26,239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13,956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112,492</w:t>
            </w:r>
          </w:p>
        </w:tc>
        <w:tc>
          <w:tcPr>
            <w:tcW w:w="0" w:type="dxa"/>
            <w:vAlign w:val="bottom"/>
          </w:tcPr>
          <w:p>
            <w:pPr>
              <w:spacing w:after="0"/>
              <w:rPr>
                <w:sz w:val="1"/>
                <w:szCs w:val="1"/>
                <w:color w:val="auto"/>
              </w:rPr>
            </w:pPr>
          </w:p>
        </w:tc>
      </w:tr>
      <w:tr>
        <w:trPr>
          <w:trHeight w:val="184"/>
        </w:trPr>
        <w:tc>
          <w:tcPr>
            <w:tcW w:w="2980" w:type="dxa"/>
            <w:vAlign w:val="bottom"/>
          </w:tcPr>
          <w:p>
            <w:pPr>
              <w:ind w:left="320"/>
              <w:spacing w:after="0"/>
              <w:rPr>
                <w:sz w:val="20"/>
                <w:szCs w:val="20"/>
                <w:color w:val="auto"/>
              </w:rPr>
            </w:pPr>
            <w:r>
              <w:rPr>
                <w:rFonts w:ascii="Arial" w:cs="Arial" w:eastAsia="Arial" w:hAnsi="Arial"/>
                <w:sz w:val="14"/>
                <w:szCs w:val="14"/>
                <w:color w:val="auto"/>
              </w:rPr>
              <w:t>700-749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17,629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13,526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7,626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3,938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3,263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22,506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3,509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71,997</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650-699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10,893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32,924</w:t>
            </w:r>
          </w:p>
        </w:tc>
        <w:tc>
          <w:tcPr>
            <w:tcW w:w="0" w:type="dxa"/>
            <w:vAlign w:val="bottom"/>
          </w:tcPr>
          <w:p>
            <w:pPr>
              <w:spacing w:after="0"/>
              <w:rPr>
                <w:sz w:val="1"/>
                <w:szCs w:val="1"/>
                <w:color w:val="auto"/>
              </w:rPr>
            </w:pPr>
          </w:p>
        </w:tc>
      </w:tr>
      <w:tr>
        <w:trPr>
          <w:trHeight w:val="184"/>
        </w:trPr>
        <w:tc>
          <w:tcPr>
            <w:tcW w:w="2980" w:type="dxa"/>
            <w:vAlign w:val="bottom"/>
          </w:tcPr>
          <w:p>
            <w:pPr>
              <w:ind w:left="320"/>
              <w:spacing w:after="0"/>
              <w:rPr>
                <w:sz w:val="20"/>
                <w:szCs w:val="20"/>
                <w:color w:val="auto"/>
              </w:rPr>
            </w:pPr>
            <w:r>
              <w:rPr>
                <w:rFonts w:ascii="Arial" w:cs="Arial" w:eastAsia="Arial" w:hAnsi="Arial"/>
                <w:sz w:val="14"/>
                <w:szCs w:val="14"/>
                <w:color w:val="auto"/>
              </w:rPr>
              <w:t>600-649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1,539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1,226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1,836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1,035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7,044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13,202</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550-599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8,079</w:t>
            </w:r>
          </w:p>
        </w:tc>
        <w:tc>
          <w:tcPr>
            <w:tcW w:w="0" w:type="dxa"/>
            <w:vAlign w:val="bottom"/>
          </w:tcPr>
          <w:p>
            <w:pPr>
              <w:spacing w:after="0"/>
              <w:rPr>
                <w:sz w:val="1"/>
                <w:szCs w:val="1"/>
                <w:color w:val="auto"/>
              </w:rPr>
            </w:pPr>
          </w:p>
        </w:tc>
      </w:tr>
      <w:tr>
        <w:trPr>
          <w:trHeight w:val="184"/>
        </w:trPr>
        <w:tc>
          <w:tcPr>
            <w:tcW w:w="2980" w:type="dxa"/>
            <w:vAlign w:val="bottom"/>
          </w:tcPr>
          <w:p>
            <w:pPr>
              <w:ind w:left="320"/>
              <w:spacing w:after="0"/>
              <w:rPr>
                <w:sz w:val="20"/>
                <w:szCs w:val="20"/>
                <w:color w:val="auto"/>
              </w:rPr>
            </w:pPr>
            <w:r>
              <w:rPr>
                <w:rFonts w:ascii="Arial" w:cs="Arial" w:eastAsia="Arial" w:hAnsi="Arial"/>
                <w:sz w:val="14"/>
                <w:szCs w:val="14"/>
                <w:color w:val="auto"/>
              </w:rPr>
              <w:t>500-549</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850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570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4,142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6,094</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Under 500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2,846</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Arial" w:cs="Arial" w:eastAsia="Arial" w:hAnsi="Arial"/>
                <w:sz w:val="14"/>
                <w:szCs w:val="14"/>
                <w:color w:val="auto"/>
              </w:rPr>
              <w:t>Unknown</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29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69,878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56,896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33,325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19,157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75,264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16,454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285,632</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80" w:type="dxa"/>
            <w:vAlign w:val="bottom"/>
          </w:tcPr>
          <w:p>
            <w:pPr>
              <w:ind w:left="20"/>
              <w:spacing w:after="0"/>
              <w:rPr>
                <w:sz w:val="20"/>
                <w:szCs w:val="20"/>
                <w:color w:val="auto"/>
              </w:rPr>
            </w:pPr>
            <w:r>
              <w:rPr>
                <w:rFonts w:ascii="Arial" w:cs="Arial" w:eastAsia="Arial" w:hAnsi="Arial"/>
                <w:sz w:val="14"/>
                <w:szCs w:val="14"/>
                <w:color w:val="auto"/>
              </w:rPr>
              <w:t>Accrued interest excluded from total</w:t>
            </w: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953</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ind w:left="280"/>
              <w:spacing w:after="0"/>
              <w:rPr>
                <w:sz w:val="20"/>
                <w:szCs w:val="20"/>
                <w:color w:val="auto"/>
              </w:rPr>
            </w:pPr>
            <w:r>
              <w:rPr>
                <w:rFonts w:ascii="Arial" w:cs="Arial" w:eastAsia="Arial" w:hAnsi="Arial"/>
                <w:sz w:val="14"/>
                <w:szCs w:val="14"/>
                <w:color w:val="auto"/>
                <w:w w:val="96"/>
              </w:rPr>
              <w:t>Mortgage - continued (1)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280"/>
              <w:spacing w:after="0" w:line="129" w:lineRule="exact"/>
              <w:rPr>
                <w:sz w:val="20"/>
                <w:szCs w:val="20"/>
                <w:color w:val="auto"/>
              </w:rPr>
            </w:pPr>
            <w:r>
              <w:rPr>
                <w:rFonts w:ascii="Arial" w:cs="Arial" w:eastAsia="Arial" w:hAnsi="Arial"/>
                <w:sz w:val="14"/>
                <w:szCs w:val="14"/>
                <w:color w:val="auto"/>
                <w:w w:val="94"/>
              </w:rPr>
              <w:t>Revolving</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60" w:type="dxa"/>
            <w:vAlign w:val="bottom"/>
            <w:gridSpan w:val="11"/>
            <w:vMerge w:val="restart"/>
          </w:tcPr>
          <w:p>
            <w:pPr>
              <w:ind w:left="220"/>
              <w:spacing w:after="0"/>
              <w:rPr>
                <w:sz w:val="20"/>
                <w:szCs w:val="20"/>
                <w:color w:val="auto"/>
              </w:rPr>
            </w:pPr>
            <w:r>
              <w:rPr>
                <w:rFonts w:ascii="Arial" w:cs="Arial" w:eastAsia="Arial" w:hAnsi="Arial"/>
                <w:sz w:val="14"/>
                <w:szCs w:val="14"/>
                <w:color w:val="auto"/>
              </w:rPr>
              <w:t>Term Loans Amortized Cost Basis by Origination Year</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80"/>
              <w:spacing w:after="0" w:line="142" w:lineRule="exact"/>
              <w:rPr>
                <w:sz w:val="20"/>
                <w:szCs w:val="20"/>
                <w:color w:val="auto"/>
              </w:rPr>
            </w:pPr>
            <w:r>
              <w:rPr>
                <w:rFonts w:ascii="Arial" w:cs="Arial" w:eastAsia="Arial" w:hAnsi="Arial"/>
                <w:sz w:val="14"/>
                <w:szCs w:val="14"/>
                <w:color w:val="auto"/>
                <w:w w:val="89"/>
              </w:rPr>
              <w:t>Loans</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760" w:type="dxa"/>
            <w:vAlign w:val="bottom"/>
            <w:gridSpan w:val="11"/>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2"/>
            <w:vMerge w:val="restart"/>
          </w:tcPr>
          <w:p>
            <w:pPr>
              <w:jc w:val="center"/>
              <w:ind w:right="280"/>
              <w:spacing w:after="0" w:line="114" w:lineRule="exact"/>
              <w:rPr>
                <w:sz w:val="20"/>
                <w:szCs w:val="20"/>
                <w:color w:val="auto"/>
              </w:rPr>
            </w:pPr>
            <w:r>
              <w:rPr>
                <w:rFonts w:ascii="Arial" w:cs="Arial" w:eastAsia="Arial" w:hAnsi="Arial"/>
                <w:sz w:val="13"/>
                <w:szCs w:val="13"/>
                <w:color w:val="auto"/>
                <w:w w:val="99"/>
              </w:rPr>
              <w:t>Amortized</w:t>
            </w: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2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vMerge w:val="restart"/>
          </w:tcPr>
          <w:p>
            <w:pPr>
              <w:jc w:val="right"/>
              <w:ind w:right="29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9"/>
        </w:trPr>
        <w:tc>
          <w:tcPr>
            <w:tcW w:w="29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2022</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2020</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2019</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Prior</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color w:val="auto"/>
                <w:w w:val="86"/>
              </w:rPr>
              <w:t>Cost Basis</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right"/>
              <w:ind w:right="4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980" w:type="dxa"/>
            <w:vAlign w:val="bottom"/>
          </w:tcPr>
          <w:p>
            <w:pPr>
              <w:ind w:left="20"/>
              <w:spacing w:after="0"/>
              <w:rPr>
                <w:sz w:val="20"/>
                <w:szCs w:val="20"/>
                <w:color w:val="auto"/>
              </w:rPr>
            </w:pPr>
            <w:r>
              <w:rPr>
                <w:rFonts w:ascii="Arial" w:cs="Arial" w:eastAsia="Arial" w:hAnsi="Arial"/>
                <w:sz w:val="14"/>
                <w:szCs w:val="14"/>
                <w:color w:val="auto"/>
              </w:rPr>
              <w:t>December 31, 2022 - (continued)</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980" w:type="dxa"/>
            <w:vAlign w:val="bottom"/>
          </w:tcPr>
          <w:p>
            <w:pPr>
              <w:ind w:left="180"/>
              <w:spacing w:after="0"/>
              <w:rPr>
                <w:sz w:val="20"/>
                <w:szCs w:val="20"/>
                <w:color w:val="auto"/>
              </w:rPr>
            </w:pPr>
            <w:r>
              <w:rPr>
                <w:rFonts w:ascii="Arial" w:cs="Arial" w:eastAsia="Arial" w:hAnsi="Arial"/>
                <w:sz w:val="14"/>
                <w:szCs w:val="14"/>
                <w:color w:val="auto"/>
              </w:rPr>
              <w:t>1-4 family non-owner occupied</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800 and above</w:t>
            </w: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31,239</w:t>
            </w:r>
          </w:p>
        </w:tc>
        <w:tc>
          <w:tcPr>
            <w:tcW w:w="0" w:type="dxa"/>
            <w:vAlign w:val="bottom"/>
          </w:tcPr>
          <w:p>
            <w:pPr>
              <w:spacing w:after="0"/>
              <w:rPr>
                <w:sz w:val="1"/>
                <w:szCs w:val="1"/>
                <w:color w:val="auto"/>
              </w:rPr>
            </w:pPr>
          </w:p>
        </w:tc>
      </w:tr>
      <w:tr>
        <w:trPr>
          <w:trHeight w:val="184"/>
        </w:trPr>
        <w:tc>
          <w:tcPr>
            <w:tcW w:w="2980" w:type="dxa"/>
            <w:vAlign w:val="bottom"/>
          </w:tcPr>
          <w:p>
            <w:pPr>
              <w:ind w:left="320"/>
              <w:spacing w:after="0"/>
              <w:rPr>
                <w:sz w:val="20"/>
                <w:szCs w:val="20"/>
                <w:color w:val="auto"/>
              </w:rPr>
            </w:pPr>
            <w:r>
              <w:rPr>
                <w:rFonts w:ascii="Arial" w:cs="Arial" w:eastAsia="Arial" w:hAnsi="Arial"/>
                <w:sz w:val="14"/>
                <w:szCs w:val="14"/>
                <w:color w:val="auto"/>
              </w:rPr>
              <w:t>750-799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22,171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36,363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12,242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6,103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2,549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12,257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4,132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95,817</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700-749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8,739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37,957</w:t>
            </w:r>
          </w:p>
        </w:tc>
        <w:tc>
          <w:tcPr>
            <w:tcW w:w="0" w:type="dxa"/>
            <w:vAlign w:val="bottom"/>
          </w:tcPr>
          <w:p>
            <w:pPr>
              <w:spacing w:after="0"/>
              <w:rPr>
                <w:sz w:val="1"/>
                <w:szCs w:val="1"/>
                <w:color w:val="auto"/>
              </w:rPr>
            </w:pPr>
          </w:p>
        </w:tc>
      </w:tr>
      <w:tr>
        <w:trPr>
          <w:trHeight w:val="184"/>
        </w:trPr>
        <w:tc>
          <w:tcPr>
            <w:tcW w:w="2980" w:type="dxa"/>
            <w:vAlign w:val="bottom"/>
          </w:tcPr>
          <w:p>
            <w:pPr>
              <w:ind w:left="320"/>
              <w:spacing w:after="0"/>
              <w:rPr>
                <w:sz w:val="20"/>
                <w:szCs w:val="20"/>
                <w:color w:val="auto"/>
              </w:rPr>
            </w:pPr>
            <w:r>
              <w:rPr>
                <w:rFonts w:ascii="Arial" w:cs="Arial" w:eastAsia="Arial" w:hAnsi="Arial"/>
                <w:sz w:val="14"/>
                <w:szCs w:val="14"/>
                <w:color w:val="auto"/>
              </w:rPr>
              <w:t>650-699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1,476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2,489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3,798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4,350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550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13,145</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600-649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3,369</w:t>
            </w:r>
          </w:p>
        </w:tc>
        <w:tc>
          <w:tcPr>
            <w:tcW w:w="0" w:type="dxa"/>
            <w:vAlign w:val="bottom"/>
          </w:tcPr>
          <w:p>
            <w:pPr>
              <w:spacing w:after="0"/>
              <w:rPr>
                <w:sz w:val="1"/>
                <w:szCs w:val="1"/>
                <w:color w:val="auto"/>
              </w:rPr>
            </w:pPr>
          </w:p>
        </w:tc>
      </w:tr>
      <w:tr>
        <w:trPr>
          <w:trHeight w:val="184"/>
        </w:trPr>
        <w:tc>
          <w:tcPr>
            <w:tcW w:w="2980" w:type="dxa"/>
            <w:vAlign w:val="bottom"/>
          </w:tcPr>
          <w:p>
            <w:pPr>
              <w:ind w:left="320"/>
              <w:spacing w:after="0"/>
              <w:rPr>
                <w:sz w:val="20"/>
                <w:szCs w:val="20"/>
                <w:color w:val="auto"/>
              </w:rPr>
            </w:pPr>
            <w:r>
              <w:rPr>
                <w:rFonts w:ascii="Arial" w:cs="Arial" w:eastAsia="Arial" w:hAnsi="Arial"/>
                <w:sz w:val="14"/>
                <w:szCs w:val="14"/>
                <w:color w:val="auto"/>
              </w:rPr>
              <w:t>550-599</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914</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500-549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184"/>
        </w:trPr>
        <w:tc>
          <w:tcPr>
            <w:tcW w:w="2980" w:type="dxa"/>
            <w:vAlign w:val="bottom"/>
          </w:tcPr>
          <w:p>
            <w:pPr>
              <w:ind w:left="320"/>
              <w:spacing w:after="0"/>
              <w:rPr>
                <w:sz w:val="20"/>
                <w:szCs w:val="20"/>
                <w:color w:val="auto"/>
              </w:rPr>
            </w:pPr>
            <w:r>
              <w:rPr>
                <w:rFonts w:ascii="Arial" w:cs="Arial" w:eastAsia="Arial" w:hAnsi="Arial"/>
                <w:sz w:val="14"/>
                <w:szCs w:val="14"/>
                <w:color w:val="auto"/>
              </w:rPr>
              <w:t>Under 500</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96"/>
        </w:trPr>
        <w:tc>
          <w:tcPr>
            <w:tcW w:w="2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Unknown</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2980" w:type="dxa"/>
            <w:vAlign w:val="bottom"/>
          </w:tcPr>
          <w:p>
            <w:pPr>
              <w:ind w:left="48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37,669</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60,722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26,725</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12,003</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5,336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31,752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8,893</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183,100</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558</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1-4 family - 2nd lien</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980" w:type="dxa"/>
            <w:vAlign w:val="bottom"/>
          </w:tcPr>
          <w:p>
            <w:pPr>
              <w:ind w:left="320"/>
              <w:spacing w:after="0"/>
              <w:rPr>
                <w:sz w:val="20"/>
                <w:szCs w:val="20"/>
                <w:color w:val="auto"/>
              </w:rPr>
            </w:pPr>
            <w:r>
              <w:rPr>
                <w:rFonts w:ascii="Arial" w:cs="Arial" w:eastAsia="Arial" w:hAnsi="Arial"/>
                <w:sz w:val="14"/>
                <w:szCs w:val="14"/>
                <w:color w:val="auto"/>
              </w:rPr>
              <w:t>800 and above</w:t>
            </w: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238</w:t>
            </w:r>
          </w:p>
        </w:tc>
        <w:tc>
          <w:tcPr>
            <w:tcW w:w="8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454</w:t>
            </w:r>
          </w:p>
        </w:tc>
        <w:tc>
          <w:tcPr>
            <w:tcW w:w="80" w:type="dxa"/>
            <w:vAlign w:val="bottom"/>
          </w:tcPr>
          <w:p>
            <w:pPr>
              <w:spacing w:after="0"/>
              <w:rPr>
                <w:sz w:val="15"/>
                <w:szCs w:val="15"/>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267</w:t>
            </w:r>
          </w:p>
        </w:tc>
        <w:tc>
          <w:tcPr>
            <w:tcW w:w="80" w:type="dxa"/>
            <w:vAlign w:val="bottom"/>
          </w:tcPr>
          <w:p>
            <w:pPr>
              <w:spacing w:after="0"/>
              <w:rPr>
                <w:sz w:val="15"/>
                <w:szCs w:val="15"/>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8,000</w:t>
            </w:r>
          </w:p>
        </w:tc>
        <w:tc>
          <w:tcPr>
            <w:tcW w:w="80" w:type="dxa"/>
            <w:vAlign w:val="bottom"/>
          </w:tcPr>
          <w:p>
            <w:pPr>
              <w:spacing w:after="0"/>
              <w:rPr>
                <w:sz w:val="15"/>
                <w:szCs w:val="15"/>
                <w:color w:val="auto"/>
              </w:rPr>
            </w:pP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9,944</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750-799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38,346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50,133</w:t>
            </w:r>
          </w:p>
        </w:tc>
        <w:tc>
          <w:tcPr>
            <w:tcW w:w="0" w:type="dxa"/>
            <w:vAlign w:val="bottom"/>
          </w:tcPr>
          <w:p>
            <w:pPr>
              <w:spacing w:after="0"/>
              <w:rPr>
                <w:sz w:val="1"/>
                <w:szCs w:val="1"/>
                <w:color w:val="auto"/>
              </w:rPr>
            </w:pPr>
          </w:p>
        </w:tc>
      </w:tr>
      <w:tr>
        <w:trPr>
          <w:trHeight w:val="184"/>
        </w:trPr>
        <w:tc>
          <w:tcPr>
            <w:tcW w:w="2980" w:type="dxa"/>
            <w:vAlign w:val="bottom"/>
          </w:tcPr>
          <w:p>
            <w:pPr>
              <w:ind w:left="320"/>
              <w:spacing w:after="0"/>
              <w:rPr>
                <w:sz w:val="20"/>
                <w:szCs w:val="20"/>
                <w:color w:val="auto"/>
              </w:rPr>
            </w:pPr>
            <w:r>
              <w:rPr>
                <w:rFonts w:ascii="Arial" w:cs="Arial" w:eastAsia="Arial" w:hAnsi="Arial"/>
                <w:sz w:val="14"/>
                <w:szCs w:val="14"/>
                <w:color w:val="auto"/>
              </w:rPr>
              <w:t>700-749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1,495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931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759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459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2,649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20,981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29,094</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650-699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10,770</w:t>
            </w:r>
          </w:p>
        </w:tc>
        <w:tc>
          <w:tcPr>
            <w:tcW w:w="0" w:type="dxa"/>
            <w:vAlign w:val="bottom"/>
          </w:tcPr>
          <w:p>
            <w:pPr>
              <w:spacing w:after="0"/>
              <w:rPr>
                <w:sz w:val="1"/>
                <w:szCs w:val="1"/>
                <w:color w:val="auto"/>
              </w:rPr>
            </w:pPr>
          </w:p>
        </w:tc>
      </w:tr>
      <w:tr>
        <w:trPr>
          <w:trHeight w:val="184"/>
        </w:trPr>
        <w:tc>
          <w:tcPr>
            <w:tcW w:w="2980" w:type="dxa"/>
            <w:vAlign w:val="bottom"/>
          </w:tcPr>
          <w:p>
            <w:pPr>
              <w:ind w:left="320"/>
              <w:spacing w:after="0"/>
              <w:rPr>
                <w:sz w:val="20"/>
                <w:szCs w:val="20"/>
                <w:color w:val="auto"/>
              </w:rPr>
            </w:pPr>
            <w:r>
              <w:rPr>
                <w:rFonts w:ascii="Arial" w:cs="Arial" w:eastAsia="Arial" w:hAnsi="Arial"/>
                <w:sz w:val="14"/>
                <w:szCs w:val="14"/>
                <w:color w:val="auto"/>
              </w:rPr>
              <w:t>600-649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974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2,040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3,606</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550-599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w:t>
            </w:r>
          </w:p>
        </w:tc>
        <w:tc>
          <w:tcPr>
            <w:tcW w:w="0" w:type="dxa"/>
            <w:vAlign w:val="bottom"/>
          </w:tcPr>
          <w:p>
            <w:pPr>
              <w:spacing w:after="0"/>
              <w:rPr>
                <w:sz w:val="1"/>
                <w:szCs w:val="1"/>
                <w:color w:val="auto"/>
              </w:rPr>
            </w:pPr>
          </w:p>
        </w:tc>
      </w:tr>
      <w:tr>
        <w:trPr>
          <w:trHeight w:val="184"/>
        </w:trPr>
        <w:tc>
          <w:tcPr>
            <w:tcW w:w="2980" w:type="dxa"/>
            <w:vAlign w:val="bottom"/>
          </w:tcPr>
          <w:p>
            <w:pPr>
              <w:ind w:left="320"/>
              <w:spacing w:after="0"/>
              <w:rPr>
                <w:sz w:val="20"/>
                <w:szCs w:val="20"/>
                <w:color w:val="auto"/>
              </w:rPr>
            </w:pPr>
            <w:r>
              <w:rPr>
                <w:rFonts w:ascii="Arial" w:cs="Arial" w:eastAsia="Arial" w:hAnsi="Arial"/>
                <w:sz w:val="14"/>
                <w:szCs w:val="14"/>
                <w:color w:val="auto"/>
              </w:rPr>
              <w:t>500-549</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558</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Under 500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Arial" w:cs="Arial" w:eastAsia="Arial" w:hAnsi="Arial"/>
                <w:sz w:val="14"/>
                <w:szCs w:val="14"/>
                <w:color w:val="auto"/>
              </w:rPr>
              <w:t>Unknown</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29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78,005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105,277</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80" w:type="dxa"/>
            <w:vAlign w:val="bottom"/>
          </w:tcPr>
          <w:p>
            <w:pPr>
              <w:ind w:left="20"/>
              <w:spacing w:after="0"/>
              <w:rPr>
                <w:sz w:val="20"/>
                <w:szCs w:val="20"/>
                <w:color w:val="auto"/>
              </w:rPr>
            </w:pPr>
            <w:r>
              <w:rPr>
                <w:rFonts w:ascii="Arial" w:cs="Arial" w:eastAsia="Arial" w:hAnsi="Arial"/>
                <w:sz w:val="14"/>
                <w:szCs w:val="14"/>
                <w:color w:val="auto"/>
              </w:rPr>
              <w:t>Accrued interest excluded from total</w:t>
            </w: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511</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980" w:type="dxa"/>
            <w:vAlign w:val="bottom"/>
          </w:tcPr>
          <w:p>
            <w:pPr>
              <w:ind w:left="180"/>
              <w:spacing w:after="0"/>
              <w:rPr>
                <w:sz w:val="20"/>
                <w:szCs w:val="20"/>
                <w:color w:val="auto"/>
              </w:rPr>
            </w:pPr>
            <w:r>
              <w:rPr>
                <w:rFonts w:ascii="Arial" w:cs="Arial" w:eastAsia="Arial" w:hAnsi="Arial"/>
                <w:sz w:val="14"/>
                <w:szCs w:val="14"/>
                <w:color w:val="auto"/>
              </w:rPr>
              <w:t>Resort lending</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800 and above</w:t>
            </w: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7,728</w:t>
            </w:r>
          </w:p>
        </w:tc>
        <w:tc>
          <w:tcPr>
            <w:tcW w:w="0" w:type="dxa"/>
            <w:vAlign w:val="bottom"/>
          </w:tcPr>
          <w:p>
            <w:pPr>
              <w:spacing w:after="0"/>
              <w:rPr>
                <w:sz w:val="1"/>
                <w:szCs w:val="1"/>
                <w:color w:val="auto"/>
              </w:rPr>
            </w:pPr>
          </w:p>
        </w:tc>
      </w:tr>
      <w:tr>
        <w:trPr>
          <w:trHeight w:val="184"/>
        </w:trPr>
        <w:tc>
          <w:tcPr>
            <w:tcW w:w="2980" w:type="dxa"/>
            <w:vAlign w:val="bottom"/>
          </w:tcPr>
          <w:p>
            <w:pPr>
              <w:ind w:left="320"/>
              <w:spacing w:after="0"/>
              <w:rPr>
                <w:sz w:val="20"/>
                <w:szCs w:val="20"/>
                <w:color w:val="auto"/>
              </w:rPr>
            </w:pPr>
            <w:r>
              <w:rPr>
                <w:rFonts w:ascii="Arial" w:cs="Arial" w:eastAsia="Arial" w:hAnsi="Arial"/>
                <w:sz w:val="14"/>
                <w:szCs w:val="14"/>
                <w:color w:val="auto"/>
              </w:rPr>
              <w:t>750-799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1,045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1,272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1,211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616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15,815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20,142</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700-749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7,181</w:t>
            </w:r>
          </w:p>
        </w:tc>
        <w:tc>
          <w:tcPr>
            <w:tcW w:w="0" w:type="dxa"/>
            <w:vAlign w:val="bottom"/>
          </w:tcPr>
          <w:p>
            <w:pPr>
              <w:spacing w:after="0"/>
              <w:rPr>
                <w:sz w:val="1"/>
                <w:szCs w:val="1"/>
                <w:color w:val="auto"/>
              </w:rPr>
            </w:pPr>
          </w:p>
        </w:tc>
      </w:tr>
      <w:tr>
        <w:trPr>
          <w:trHeight w:val="184"/>
        </w:trPr>
        <w:tc>
          <w:tcPr>
            <w:tcW w:w="2980" w:type="dxa"/>
            <w:vAlign w:val="bottom"/>
          </w:tcPr>
          <w:p>
            <w:pPr>
              <w:ind w:left="320"/>
              <w:spacing w:after="0"/>
              <w:rPr>
                <w:sz w:val="20"/>
                <w:szCs w:val="20"/>
                <w:color w:val="auto"/>
              </w:rPr>
            </w:pPr>
            <w:r>
              <w:rPr>
                <w:rFonts w:ascii="Arial" w:cs="Arial" w:eastAsia="Arial" w:hAnsi="Arial"/>
                <w:sz w:val="14"/>
                <w:szCs w:val="14"/>
                <w:color w:val="auto"/>
              </w:rPr>
              <w:t>650-699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5,413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5,573</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600-649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w:t>
            </w:r>
          </w:p>
        </w:tc>
        <w:tc>
          <w:tcPr>
            <w:tcW w:w="0" w:type="dxa"/>
            <w:vAlign w:val="bottom"/>
          </w:tcPr>
          <w:p>
            <w:pPr>
              <w:spacing w:after="0"/>
              <w:rPr>
                <w:sz w:val="1"/>
                <w:szCs w:val="1"/>
                <w:color w:val="auto"/>
              </w:rPr>
            </w:pPr>
          </w:p>
        </w:tc>
      </w:tr>
      <w:tr>
        <w:trPr>
          <w:trHeight w:val="184"/>
        </w:trPr>
        <w:tc>
          <w:tcPr>
            <w:tcW w:w="2980" w:type="dxa"/>
            <w:vAlign w:val="bottom"/>
          </w:tcPr>
          <w:p>
            <w:pPr>
              <w:ind w:left="320"/>
              <w:spacing w:after="0"/>
              <w:rPr>
                <w:sz w:val="20"/>
                <w:szCs w:val="20"/>
                <w:color w:val="auto"/>
              </w:rPr>
            </w:pPr>
            <w:r>
              <w:rPr>
                <w:rFonts w:ascii="Arial" w:cs="Arial" w:eastAsia="Arial" w:hAnsi="Arial"/>
                <w:sz w:val="14"/>
                <w:szCs w:val="14"/>
                <w:color w:val="auto"/>
              </w:rPr>
              <w:t>550-599</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500-549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84"/>
        </w:trPr>
        <w:tc>
          <w:tcPr>
            <w:tcW w:w="2980" w:type="dxa"/>
            <w:vAlign w:val="bottom"/>
          </w:tcPr>
          <w:p>
            <w:pPr>
              <w:ind w:left="320"/>
              <w:spacing w:after="0"/>
              <w:rPr>
                <w:sz w:val="20"/>
                <w:szCs w:val="20"/>
                <w:color w:val="auto"/>
              </w:rPr>
            </w:pPr>
            <w:r>
              <w:rPr>
                <w:rFonts w:ascii="Arial" w:cs="Arial" w:eastAsia="Arial" w:hAnsi="Arial"/>
                <w:sz w:val="14"/>
                <w:szCs w:val="14"/>
                <w:color w:val="auto"/>
              </w:rPr>
              <w:t>Under 500</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Unknown</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980" w:type="dxa"/>
            <w:vAlign w:val="bottom"/>
          </w:tcPr>
          <w:p>
            <w:pPr>
              <w:ind w:left="48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1,237</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2,352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1,378</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183</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35,803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41,837</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Mortgage</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980" w:type="dxa"/>
            <w:vAlign w:val="bottom"/>
          </w:tcPr>
          <w:p>
            <w:pPr>
              <w:ind w:left="320"/>
              <w:spacing w:after="0"/>
              <w:rPr>
                <w:sz w:val="20"/>
                <w:szCs w:val="20"/>
                <w:color w:val="auto"/>
              </w:rPr>
            </w:pPr>
            <w:r>
              <w:rPr>
                <w:rFonts w:ascii="Arial" w:cs="Arial" w:eastAsia="Arial" w:hAnsi="Arial"/>
                <w:sz w:val="14"/>
                <w:szCs w:val="14"/>
                <w:color w:val="auto"/>
              </w:rPr>
              <w:t>800 and above</w:t>
            </w: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37,225</w:t>
            </w:r>
          </w:p>
        </w:tc>
        <w:tc>
          <w:tcPr>
            <w:tcW w:w="8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75,154</w:t>
            </w:r>
          </w:p>
        </w:tc>
        <w:tc>
          <w:tcPr>
            <w:tcW w:w="10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28,038</w:t>
            </w:r>
          </w:p>
        </w:tc>
        <w:tc>
          <w:tcPr>
            <w:tcW w:w="80" w:type="dxa"/>
            <w:vAlign w:val="bottom"/>
          </w:tcPr>
          <w:p>
            <w:pPr>
              <w:spacing w:after="0"/>
              <w:rPr>
                <w:sz w:val="15"/>
                <w:szCs w:val="15"/>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16,845</w:t>
            </w:r>
          </w:p>
        </w:tc>
        <w:tc>
          <w:tcPr>
            <w:tcW w:w="80" w:type="dxa"/>
            <w:vAlign w:val="bottom"/>
          </w:tcPr>
          <w:p>
            <w:pPr>
              <w:spacing w:after="0"/>
              <w:rPr>
                <w:sz w:val="15"/>
                <w:szCs w:val="15"/>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6,282</w:t>
            </w:r>
          </w:p>
        </w:tc>
        <w:tc>
          <w:tcPr>
            <w:tcW w:w="10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26,396</w:t>
            </w:r>
          </w:p>
        </w:tc>
        <w:tc>
          <w:tcPr>
            <w:tcW w:w="10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12,002</w:t>
            </w:r>
          </w:p>
        </w:tc>
        <w:tc>
          <w:tcPr>
            <w:tcW w:w="80" w:type="dxa"/>
            <w:vAlign w:val="bottom"/>
          </w:tcPr>
          <w:p>
            <w:pPr>
              <w:spacing w:after="0"/>
              <w:rPr>
                <w:sz w:val="15"/>
                <w:szCs w:val="15"/>
                <w:color w:val="auto"/>
              </w:rPr>
            </w:pP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201,942</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750-799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156,427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256,276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101,298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29,060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65,818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53,097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671,803</w:t>
            </w:r>
          </w:p>
        </w:tc>
        <w:tc>
          <w:tcPr>
            <w:tcW w:w="0" w:type="dxa"/>
            <w:vAlign w:val="bottom"/>
          </w:tcPr>
          <w:p>
            <w:pPr>
              <w:spacing w:after="0"/>
              <w:rPr>
                <w:sz w:val="1"/>
                <w:szCs w:val="1"/>
                <w:color w:val="auto"/>
              </w:rPr>
            </w:pPr>
          </w:p>
        </w:tc>
      </w:tr>
      <w:tr>
        <w:trPr>
          <w:trHeight w:val="184"/>
        </w:trPr>
        <w:tc>
          <w:tcPr>
            <w:tcW w:w="2980" w:type="dxa"/>
            <w:vAlign w:val="bottom"/>
          </w:tcPr>
          <w:p>
            <w:pPr>
              <w:ind w:left="320"/>
              <w:spacing w:after="0"/>
              <w:rPr>
                <w:sz w:val="20"/>
                <w:szCs w:val="20"/>
                <w:color w:val="auto"/>
              </w:rPr>
            </w:pPr>
            <w:r>
              <w:rPr>
                <w:rFonts w:ascii="Arial" w:cs="Arial" w:eastAsia="Arial" w:hAnsi="Arial"/>
                <w:sz w:val="14"/>
                <w:szCs w:val="14"/>
                <w:color w:val="auto"/>
              </w:rPr>
              <w:t>700-749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62,106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119,609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42,879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18,698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7,695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47,163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27,956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326,106</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650-699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20,663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28,648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13,836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26,172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10,548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112,927</w:t>
            </w:r>
          </w:p>
        </w:tc>
        <w:tc>
          <w:tcPr>
            <w:tcW w:w="0" w:type="dxa"/>
            <w:vAlign w:val="bottom"/>
          </w:tcPr>
          <w:p>
            <w:pPr>
              <w:spacing w:after="0"/>
              <w:rPr>
                <w:sz w:val="1"/>
                <w:szCs w:val="1"/>
                <w:color w:val="auto"/>
              </w:rPr>
            </w:pPr>
          </w:p>
        </w:tc>
      </w:tr>
      <w:tr>
        <w:trPr>
          <w:trHeight w:val="184"/>
        </w:trPr>
        <w:tc>
          <w:tcPr>
            <w:tcW w:w="2980" w:type="dxa"/>
            <w:vAlign w:val="bottom"/>
          </w:tcPr>
          <w:p>
            <w:pPr>
              <w:ind w:left="320"/>
              <w:spacing w:after="0"/>
              <w:rPr>
                <w:sz w:val="20"/>
                <w:szCs w:val="20"/>
                <w:color w:val="auto"/>
              </w:rPr>
            </w:pPr>
            <w:r>
              <w:rPr>
                <w:rFonts w:ascii="Arial" w:cs="Arial" w:eastAsia="Arial" w:hAnsi="Arial"/>
                <w:sz w:val="14"/>
                <w:szCs w:val="14"/>
                <w:color w:val="auto"/>
              </w:rPr>
              <w:t>600-649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4,225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2,739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6,628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1,186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1,549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12,538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2,342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31,207</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550-599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12,480</w:t>
            </w:r>
          </w:p>
        </w:tc>
        <w:tc>
          <w:tcPr>
            <w:tcW w:w="0" w:type="dxa"/>
            <w:vAlign w:val="bottom"/>
          </w:tcPr>
          <w:p>
            <w:pPr>
              <w:spacing w:after="0"/>
              <w:rPr>
                <w:sz w:val="1"/>
                <w:szCs w:val="1"/>
                <w:color w:val="auto"/>
              </w:rPr>
            </w:pPr>
          </w:p>
        </w:tc>
      </w:tr>
      <w:tr>
        <w:trPr>
          <w:trHeight w:val="184"/>
        </w:trPr>
        <w:tc>
          <w:tcPr>
            <w:tcW w:w="2980" w:type="dxa"/>
            <w:vAlign w:val="bottom"/>
          </w:tcPr>
          <w:p>
            <w:pPr>
              <w:ind w:left="320"/>
              <w:spacing w:after="0"/>
              <w:rPr>
                <w:sz w:val="20"/>
                <w:szCs w:val="20"/>
                <w:color w:val="auto"/>
              </w:rPr>
            </w:pPr>
            <w:r>
              <w:rPr>
                <w:rFonts w:ascii="Arial" w:cs="Arial" w:eastAsia="Arial" w:hAnsi="Arial"/>
                <w:sz w:val="14"/>
                <w:szCs w:val="14"/>
                <w:color w:val="auto"/>
              </w:rPr>
              <w:t>500-549</w:t>
            </w:r>
          </w:p>
        </w:tc>
        <w:tc>
          <w:tcPr>
            <w:tcW w:w="2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1,411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570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5,791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8,504</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Under 500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3,440</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Arial" w:cs="Arial" w:eastAsia="Arial" w:hAnsi="Arial"/>
                <w:sz w:val="14"/>
                <w:szCs w:val="14"/>
                <w:color w:val="auto"/>
              </w:rPr>
              <w:t>Unknown</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29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281,325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484,225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194,910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74,596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191,703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107,037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1,368,409</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80" w:type="dxa"/>
            <w:vAlign w:val="bottom"/>
          </w:tcPr>
          <w:p>
            <w:pPr>
              <w:ind w:left="20"/>
              <w:spacing w:after="0"/>
              <w:rPr>
                <w:sz w:val="20"/>
                <w:szCs w:val="20"/>
                <w:color w:val="auto"/>
              </w:rPr>
            </w:pPr>
            <w:r>
              <w:rPr>
                <w:rFonts w:ascii="Arial" w:cs="Arial" w:eastAsia="Arial" w:hAnsi="Arial"/>
                <w:sz w:val="14"/>
                <w:szCs w:val="14"/>
                <w:color w:val="auto"/>
              </w:rPr>
              <w:t>Accrued interest excluded from total</w:t>
            </w: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910</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1,072</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624</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698</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4,116</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(1) Credit scores have been updated within the last twelve months.</w:t>
      </w:r>
    </w:p>
    <w:p>
      <w:pPr>
        <w:sectPr>
          <w:pgSz w:w="11900" w:h="16838" w:orient="portrait"/>
          <w:cols w:equalWidth="0" w:num="1">
            <w:col w:w="11240"/>
          </w:cols>
          <w:pgMar w:left="320" w:top="127" w:right="3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color w:val="auto"/>
                <w:w w:val="90"/>
              </w:rPr>
              <w:t>Installment (1)</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
        </w:trPr>
        <w:tc>
          <w:tcPr>
            <w:tcW w:w="2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gridSpan w:val="8"/>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79"/>
        </w:trPr>
        <w:tc>
          <w:tcPr>
            <w:tcW w:w="2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4"/>
                <w:szCs w:val="14"/>
                <w:color w:val="auto"/>
                <w:w w:val="89"/>
              </w:rPr>
              <w:t>Term Loans Amortized Cost Basis by Origination Year</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86"/>
        </w:trPr>
        <w:tc>
          <w:tcPr>
            <w:tcW w:w="2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2022</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2020</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2019</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Prior</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Total</w:t>
            </w:r>
          </w:p>
        </w:tc>
      </w:tr>
      <w:tr>
        <w:trPr>
          <w:trHeight w:val="174"/>
        </w:trPr>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color w:val="auto"/>
                <w:w w:val="89"/>
              </w:rPr>
              <w:t>(In thousands)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8"/>
        </w:trPr>
        <w:tc>
          <w:tcPr>
            <w:tcW w:w="2800" w:type="dxa"/>
            <w:vAlign w:val="bottom"/>
          </w:tcPr>
          <w:p>
            <w:pPr>
              <w:ind w:left="20"/>
              <w:spacing w:after="0"/>
              <w:rPr>
                <w:sz w:val="20"/>
                <w:szCs w:val="20"/>
                <w:color w:val="auto"/>
              </w:rPr>
            </w:pPr>
            <w:r>
              <w:rPr>
                <w:rFonts w:ascii="Arial" w:cs="Arial" w:eastAsia="Arial" w:hAnsi="Arial"/>
                <w:sz w:val="14"/>
                <w:szCs w:val="14"/>
                <w:color w:val="auto"/>
              </w:rPr>
              <w:t>September 30, 2023</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3"/>
        </w:trPr>
        <w:tc>
          <w:tcPr>
            <w:tcW w:w="2800" w:type="dxa"/>
            <w:vAlign w:val="bottom"/>
          </w:tcPr>
          <w:p>
            <w:pPr>
              <w:ind w:left="180"/>
              <w:spacing w:after="0"/>
              <w:rPr>
                <w:sz w:val="20"/>
                <w:szCs w:val="20"/>
                <w:color w:val="auto"/>
              </w:rPr>
            </w:pPr>
            <w:r>
              <w:rPr>
                <w:rFonts w:ascii="Arial" w:cs="Arial" w:eastAsia="Arial" w:hAnsi="Arial"/>
                <w:sz w:val="14"/>
                <w:szCs w:val="14"/>
                <w:color w:val="auto"/>
              </w:rPr>
              <w:t>Boat lending</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4"/>
        </w:trPr>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3"/>
        </w:trPr>
        <w:tc>
          <w:tcPr>
            <w:tcW w:w="2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9,045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3,798</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40,320</w:t>
            </w:r>
          </w:p>
        </w:tc>
      </w:tr>
      <w:tr>
        <w:trPr>
          <w:trHeight w:val="184"/>
        </w:trPr>
        <w:tc>
          <w:tcPr>
            <w:tcW w:w="2800" w:type="dxa"/>
            <w:vAlign w:val="bottom"/>
          </w:tcPr>
          <w:p>
            <w:pPr>
              <w:ind w:left="320"/>
              <w:spacing w:after="0"/>
              <w:rPr>
                <w:sz w:val="20"/>
                <w:szCs w:val="20"/>
                <w:color w:val="auto"/>
              </w:rPr>
            </w:pPr>
            <w:r>
              <w:rPr>
                <w:rFonts w:ascii="Arial" w:cs="Arial" w:eastAsia="Arial" w:hAnsi="Arial"/>
                <w:sz w:val="14"/>
                <w:szCs w:val="14"/>
                <w:color w:val="auto"/>
              </w:rPr>
              <w:t>750-799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31,098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38,514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31,549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16,162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13,243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22,875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153,441</w:t>
            </w:r>
          </w:p>
        </w:tc>
      </w:tr>
      <w:tr>
        <w:trPr>
          <w:trHeight w:val="203"/>
        </w:trPr>
        <w:tc>
          <w:tcPr>
            <w:tcW w:w="2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14,711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15,631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61,834</w:t>
            </w:r>
          </w:p>
        </w:tc>
      </w:tr>
      <w:tr>
        <w:trPr>
          <w:trHeight w:val="184"/>
        </w:trPr>
        <w:tc>
          <w:tcPr>
            <w:tcW w:w="2800" w:type="dxa"/>
            <w:vAlign w:val="bottom"/>
          </w:tcPr>
          <w:p>
            <w:pPr>
              <w:ind w:left="320"/>
              <w:spacing w:after="0"/>
              <w:rPr>
                <w:sz w:val="20"/>
                <w:szCs w:val="20"/>
                <w:color w:val="auto"/>
              </w:rPr>
            </w:pPr>
            <w:r>
              <w:rPr>
                <w:rFonts w:ascii="Arial" w:cs="Arial" w:eastAsia="Arial" w:hAnsi="Arial"/>
                <w:sz w:val="14"/>
                <w:szCs w:val="14"/>
                <w:color w:val="auto"/>
              </w:rPr>
              <w:t>650-699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2,317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3,141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4,040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1,309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1,303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1,954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14,064</w:t>
            </w:r>
          </w:p>
        </w:tc>
      </w:tr>
      <w:tr>
        <w:trPr>
          <w:trHeight w:val="203"/>
        </w:trPr>
        <w:tc>
          <w:tcPr>
            <w:tcW w:w="2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3,047</w:t>
            </w:r>
          </w:p>
        </w:tc>
      </w:tr>
      <w:tr>
        <w:trPr>
          <w:trHeight w:val="184"/>
        </w:trPr>
        <w:tc>
          <w:tcPr>
            <w:tcW w:w="2800" w:type="dxa"/>
            <w:vAlign w:val="bottom"/>
          </w:tcPr>
          <w:p>
            <w:pPr>
              <w:ind w:left="320"/>
              <w:spacing w:after="0"/>
              <w:rPr>
                <w:sz w:val="20"/>
                <w:szCs w:val="20"/>
                <w:color w:val="auto"/>
              </w:rPr>
            </w:pPr>
            <w:r>
              <w:rPr>
                <w:rFonts w:ascii="Arial" w:cs="Arial" w:eastAsia="Arial" w:hAnsi="Arial"/>
                <w:sz w:val="14"/>
                <w:szCs w:val="14"/>
                <w:color w:val="auto"/>
              </w:rPr>
              <w:t>550-599</w:t>
            </w:r>
          </w:p>
        </w:tc>
        <w:tc>
          <w:tcPr>
            <w:tcW w:w="2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1,029</w:t>
            </w:r>
          </w:p>
        </w:tc>
      </w:tr>
      <w:tr>
        <w:trPr>
          <w:trHeight w:val="203"/>
        </w:trPr>
        <w:tc>
          <w:tcPr>
            <w:tcW w:w="2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500-549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w:t>
            </w:r>
          </w:p>
        </w:tc>
      </w:tr>
      <w:tr>
        <w:trPr>
          <w:trHeight w:val="184"/>
        </w:trPr>
        <w:tc>
          <w:tcPr>
            <w:tcW w:w="2800" w:type="dxa"/>
            <w:vAlign w:val="bottom"/>
          </w:tcPr>
          <w:p>
            <w:pPr>
              <w:ind w:left="320"/>
              <w:spacing w:after="0"/>
              <w:rPr>
                <w:sz w:val="20"/>
                <w:szCs w:val="20"/>
                <w:color w:val="auto"/>
              </w:rPr>
            </w:pPr>
            <w:r>
              <w:rPr>
                <w:rFonts w:ascii="Arial" w:cs="Arial" w:eastAsia="Arial" w:hAnsi="Arial"/>
                <w:sz w:val="14"/>
                <w:szCs w:val="14"/>
                <w:color w:val="auto"/>
              </w:rPr>
              <w:t>Under 500</w:t>
            </w:r>
          </w:p>
        </w:tc>
        <w:tc>
          <w:tcPr>
            <w:tcW w:w="2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155</w:t>
            </w:r>
          </w:p>
        </w:tc>
      </w:tr>
      <w:tr>
        <w:trPr>
          <w:trHeight w:val="196"/>
        </w:trPr>
        <w:tc>
          <w:tcPr>
            <w:tcW w:w="2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Unknown</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3"/>
        </w:trPr>
        <w:tc>
          <w:tcPr>
            <w:tcW w:w="2800" w:type="dxa"/>
            <w:vAlign w:val="bottom"/>
          </w:tcPr>
          <w:p>
            <w:pPr>
              <w:ind w:left="480"/>
              <w:spacing w:after="0"/>
              <w:rPr>
                <w:sz w:val="20"/>
                <w:szCs w:val="20"/>
                <w:color w:val="auto"/>
              </w:rPr>
            </w:pPr>
            <w:r>
              <w:rPr>
                <w:rFonts w:ascii="Arial" w:cs="Arial" w:eastAsia="Arial" w:hAnsi="Arial"/>
                <w:sz w:val="14"/>
                <w:szCs w:val="14"/>
                <w:color w:val="auto"/>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57,621</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64,913</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56,957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27,722</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24,388</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42,583</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274,184</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700</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Arial" w:cs="Arial" w:eastAsia="Arial" w:hAnsi="Arial"/>
                <w:sz w:val="14"/>
                <w:szCs w:val="14"/>
                <w:color w:val="auto"/>
              </w:rPr>
              <w:t>Current period gross charge-offs</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2"/>
        </w:trPr>
        <w:tc>
          <w:tcPr>
            <w:tcW w:w="2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4"/>
        </w:trPr>
        <w:tc>
          <w:tcPr>
            <w:tcW w:w="2800" w:type="dxa"/>
            <w:vAlign w:val="bottom"/>
          </w:tcPr>
          <w:p>
            <w:pPr>
              <w:ind w:left="180"/>
              <w:spacing w:after="0"/>
              <w:rPr>
                <w:sz w:val="20"/>
                <w:szCs w:val="20"/>
                <w:color w:val="auto"/>
              </w:rPr>
            </w:pPr>
            <w:r>
              <w:rPr>
                <w:rFonts w:ascii="Arial" w:cs="Arial" w:eastAsia="Arial" w:hAnsi="Arial"/>
                <w:sz w:val="14"/>
                <w:szCs w:val="14"/>
                <w:color w:val="auto"/>
              </w:rPr>
              <w:t>Recreational vehicle lending</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3"/>
        </w:trPr>
        <w:tc>
          <w:tcPr>
            <w:tcW w:w="2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9,133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11,354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37,385</w:t>
            </w:r>
          </w:p>
        </w:tc>
      </w:tr>
      <w:tr>
        <w:trPr>
          <w:trHeight w:val="184"/>
        </w:trPr>
        <w:tc>
          <w:tcPr>
            <w:tcW w:w="2800" w:type="dxa"/>
            <w:vAlign w:val="bottom"/>
          </w:tcPr>
          <w:p>
            <w:pPr>
              <w:ind w:left="320"/>
              <w:spacing w:after="0"/>
              <w:rPr>
                <w:sz w:val="20"/>
                <w:szCs w:val="20"/>
                <w:color w:val="auto"/>
              </w:rPr>
            </w:pPr>
            <w:r>
              <w:rPr>
                <w:rFonts w:ascii="Arial" w:cs="Arial" w:eastAsia="Arial" w:hAnsi="Arial"/>
                <w:sz w:val="14"/>
                <w:szCs w:val="14"/>
                <w:color w:val="auto"/>
              </w:rPr>
              <w:t>750-799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16,444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44,914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40,915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13,082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9,322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12,950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137,627</w:t>
            </w:r>
          </w:p>
        </w:tc>
      </w:tr>
      <w:tr>
        <w:trPr>
          <w:trHeight w:val="203"/>
        </w:trPr>
        <w:tc>
          <w:tcPr>
            <w:tcW w:w="2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19,854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63,389</w:t>
            </w:r>
          </w:p>
        </w:tc>
      </w:tr>
      <w:tr>
        <w:trPr>
          <w:trHeight w:val="184"/>
        </w:trPr>
        <w:tc>
          <w:tcPr>
            <w:tcW w:w="2800" w:type="dxa"/>
            <w:vAlign w:val="bottom"/>
          </w:tcPr>
          <w:p>
            <w:pPr>
              <w:ind w:left="320"/>
              <w:spacing w:after="0"/>
              <w:rPr>
                <w:sz w:val="20"/>
                <w:szCs w:val="20"/>
                <w:color w:val="auto"/>
              </w:rPr>
            </w:pPr>
            <w:r>
              <w:rPr>
                <w:rFonts w:ascii="Arial" w:cs="Arial" w:eastAsia="Arial" w:hAnsi="Arial"/>
                <w:sz w:val="14"/>
                <w:szCs w:val="14"/>
                <w:color w:val="auto"/>
              </w:rPr>
              <w:t>650-699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1,613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4,399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1,369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1,042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1,472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15,306</w:t>
            </w:r>
          </w:p>
        </w:tc>
      </w:tr>
      <w:tr>
        <w:trPr>
          <w:trHeight w:val="203"/>
        </w:trPr>
        <w:tc>
          <w:tcPr>
            <w:tcW w:w="2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3,321</w:t>
            </w:r>
          </w:p>
        </w:tc>
      </w:tr>
      <w:tr>
        <w:trPr>
          <w:trHeight w:val="184"/>
        </w:trPr>
        <w:tc>
          <w:tcPr>
            <w:tcW w:w="2800" w:type="dxa"/>
            <w:vAlign w:val="bottom"/>
          </w:tcPr>
          <w:p>
            <w:pPr>
              <w:ind w:left="320"/>
              <w:spacing w:after="0"/>
              <w:rPr>
                <w:sz w:val="20"/>
                <w:szCs w:val="20"/>
                <w:color w:val="auto"/>
              </w:rPr>
            </w:pPr>
            <w:r>
              <w:rPr>
                <w:rFonts w:ascii="Arial" w:cs="Arial" w:eastAsia="Arial" w:hAnsi="Arial"/>
                <w:sz w:val="14"/>
                <w:szCs w:val="14"/>
                <w:color w:val="auto"/>
              </w:rPr>
              <w:t>550-599</w:t>
            </w:r>
          </w:p>
        </w:tc>
        <w:tc>
          <w:tcPr>
            <w:tcW w:w="2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1,210</w:t>
            </w:r>
          </w:p>
        </w:tc>
      </w:tr>
      <w:tr>
        <w:trPr>
          <w:trHeight w:val="203"/>
        </w:trPr>
        <w:tc>
          <w:tcPr>
            <w:tcW w:w="2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500-549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1,122</w:t>
            </w:r>
          </w:p>
        </w:tc>
      </w:tr>
      <w:tr>
        <w:trPr>
          <w:trHeight w:val="184"/>
        </w:trPr>
        <w:tc>
          <w:tcPr>
            <w:tcW w:w="2800" w:type="dxa"/>
            <w:vAlign w:val="bottom"/>
          </w:tcPr>
          <w:p>
            <w:pPr>
              <w:ind w:left="320"/>
              <w:spacing w:after="0"/>
              <w:rPr>
                <w:sz w:val="20"/>
                <w:szCs w:val="20"/>
                <w:color w:val="auto"/>
              </w:rPr>
            </w:pPr>
            <w:r>
              <w:rPr>
                <w:rFonts w:ascii="Arial" w:cs="Arial" w:eastAsia="Arial" w:hAnsi="Arial"/>
                <w:sz w:val="14"/>
                <w:szCs w:val="14"/>
                <w:color w:val="auto"/>
              </w:rPr>
              <w:t>Under 500</w:t>
            </w:r>
          </w:p>
        </w:tc>
        <w:tc>
          <w:tcPr>
            <w:tcW w:w="2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185</w:t>
            </w:r>
          </w:p>
        </w:tc>
      </w:tr>
      <w:tr>
        <w:trPr>
          <w:trHeight w:val="196"/>
        </w:trPr>
        <w:tc>
          <w:tcPr>
            <w:tcW w:w="2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Unknown</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3"/>
        </w:trPr>
        <w:tc>
          <w:tcPr>
            <w:tcW w:w="2800" w:type="dxa"/>
            <w:vAlign w:val="bottom"/>
          </w:tcPr>
          <w:p>
            <w:pPr>
              <w:ind w:left="480"/>
              <w:spacing w:after="0"/>
              <w:rPr>
                <w:sz w:val="20"/>
                <w:szCs w:val="20"/>
                <w:color w:val="auto"/>
              </w:rPr>
            </w:pPr>
            <w:r>
              <w:rPr>
                <w:rFonts w:ascii="Arial" w:cs="Arial" w:eastAsia="Arial" w:hAnsi="Arial"/>
                <w:sz w:val="14"/>
                <w:szCs w:val="14"/>
                <w:color w:val="auto"/>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28,164</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79,647</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82,384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25,178</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18,786</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25,386</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259,545</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653</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Arial" w:cs="Arial" w:eastAsia="Arial" w:hAnsi="Arial"/>
                <w:sz w:val="14"/>
                <w:szCs w:val="14"/>
                <w:color w:val="auto"/>
              </w:rPr>
              <w:t>Current period gross charge-offs</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289</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2"/>
        </w:trPr>
        <w:tc>
          <w:tcPr>
            <w:tcW w:w="2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4"/>
        </w:trPr>
        <w:tc>
          <w:tcPr>
            <w:tcW w:w="2800" w:type="dxa"/>
            <w:vAlign w:val="bottom"/>
          </w:tcPr>
          <w:p>
            <w:pPr>
              <w:ind w:left="180"/>
              <w:spacing w:after="0"/>
              <w:rPr>
                <w:sz w:val="20"/>
                <w:szCs w:val="20"/>
                <w:color w:val="auto"/>
              </w:rPr>
            </w:pPr>
            <w:r>
              <w:rPr>
                <w:rFonts w:ascii="Arial" w:cs="Arial" w:eastAsia="Arial" w:hAnsi="Arial"/>
                <w:sz w:val="14"/>
                <w:szCs w:val="14"/>
                <w:color w:val="auto"/>
              </w:rPr>
              <w:t>Other</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3"/>
        </w:trPr>
        <w:tc>
          <w:tcPr>
            <w:tcW w:w="2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7,916</w:t>
            </w:r>
          </w:p>
        </w:tc>
      </w:tr>
      <w:tr>
        <w:trPr>
          <w:trHeight w:val="184"/>
        </w:trPr>
        <w:tc>
          <w:tcPr>
            <w:tcW w:w="2800" w:type="dxa"/>
            <w:vAlign w:val="bottom"/>
          </w:tcPr>
          <w:p>
            <w:pPr>
              <w:ind w:left="320"/>
              <w:spacing w:after="0"/>
              <w:rPr>
                <w:sz w:val="20"/>
                <w:szCs w:val="20"/>
                <w:color w:val="auto"/>
              </w:rPr>
            </w:pPr>
            <w:r>
              <w:rPr>
                <w:rFonts w:ascii="Arial" w:cs="Arial" w:eastAsia="Arial" w:hAnsi="Arial"/>
                <w:sz w:val="14"/>
                <w:szCs w:val="14"/>
                <w:color w:val="auto"/>
              </w:rPr>
              <w:t>750-799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10,627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11,883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7,785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3,923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1,973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4,686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40,877</w:t>
            </w:r>
          </w:p>
        </w:tc>
      </w:tr>
      <w:tr>
        <w:trPr>
          <w:trHeight w:val="203"/>
        </w:trPr>
        <w:tc>
          <w:tcPr>
            <w:tcW w:w="2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24,288</w:t>
            </w:r>
          </w:p>
        </w:tc>
      </w:tr>
      <w:tr>
        <w:trPr>
          <w:trHeight w:val="184"/>
        </w:trPr>
        <w:tc>
          <w:tcPr>
            <w:tcW w:w="2800" w:type="dxa"/>
            <w:vAlign w:val="bottom"/>
          </w:tcPr>
          <w:p>
            <w:pPr>
              <w:ind w:left="320"/>
              <w:spacing w:after="0"/>
              <w:rPr>
                <w:sz w:val="20"/>
                <w:szCs w:val="20"/>
                <w:color w:val="auto"/>
              </w:rPr>
            </w:pPr>
            <w:r>
              <w:rPr>
                <w:rFonts w:ascii="Arial" w:cs="Arial" w:eastAsia="Arial" w:hAnsi="Arial"/>
                <w:sz w:val="14"/>
                <w:szCs w:val="14"/>
                <w:color w:val="auto"/>
              </w:rPr>
              <w:t>650-699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21,037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3,411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2,114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1,346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28,904</w:t>
            </w:r>
          </w:p>
        </w:tc>
      </w:tr>
      <w:tr>
        <w:trPr>
          <w:trHeight w:val="203"/>
        </w:trPr>
        <w:tc>
          <w:tcPr>
            <w:tcW w:w="2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1,794</w:t>
            </w:r>
          </w:p>
        </w:tc>
      </w:tr>
      <w:tr>
        <w:trPr>
          <w:trHeight w:val="184"/>
        </w:trPr>
        <w:tc>
          <w:tcPr>
            <w:tcW w:w="2800" w:type="dxa"/>
            <w:vAlign w:val="bottom"/>
          </w:tcPr>
          <w:p>
            <w:pPr>
              <w:ind w:left="320"/>
              <w:spacing w:after="0"/>
              <w:rPr>
                <w:sz w:val="20"/>
                <w:szCs w:val="20"/>
                <w:color w:val="auto"/>
              </w:rPr>
            </w:pPr>
            <w:r>
              <w:rPr>
                <w:rFonts w:ascii="Arial" w:cs="Arial" w:eastAsia="Arial" w:hAnsi="Arial"/>
                <w:sz w:val="14"/>
                <w:szCs w:val="14"/>
                <w:color w:val="auto"/>
              </w:rPr>
              <w:t>550-599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645</w:t>
            </w:r>
          </w:p>
        </w:tc>
      </w:tr>
      <w:tr>
        <w:trPr>
          <w:trHeight w:val="203"/>
        </w:trPr>
        <w:tc>
          <w:tcPr>
            <w:tcW w:w="2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500-549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w:t>
            </w:r>
          </w:p>
        </w:tc>
      </w:tr>
      <w:tr>
        <w:trPr>
          <w:trHeight w:val="184"/>
        </w:trPr>
        <w:tc>
          <w:tcPr>
            <w:tcW w:w="2800" w:type="dxa"/>
            <w:vAlign w:val="bottom"/>
          </w:tcPr>
          <w:p>
            <w:pPr>
              <w:ind w:left="320"/>
              <w:spacing w:after="0"/>
              <w:rPr>
                <w:sz w:val="20"/>
                <w:szCs w:val="20"/>
                <w:color w:val="auto"/>
              </w:rPr>
            </w:pPr>
            <w:r>
              <w:rPr>
                <w:rFonts w:ascii="Arial" w:cs="Arial" w:eastAsia="Arial" w:hAnsi="Arial"/>
                <w:sz w:val="14"/>
                <w:szCs w:val="14"/>
                <w:color w:val="auto"/>
              </w:rPr>
              <w:t>Under 500</w:t>
            </w:r>
          </w:p>
        </w:tc>
        <w:tc>
          <w:tcPr>
            <w:tcW w:w="2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155</w:t>
            </w:r>
          </w:p>
        </w:tc>
      </w:tr>
      <w:tr>
        <w:trPr>
          <w:trHeight w:val="196"/>
        </w:trPr>
        <w:tc>
          <w:tcPr>
            <w:tcW w:w="2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Unknown</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w:t>
            </w:r>
          </w:p>
        </w:tc>
      </w:tr>
      <w:tr>
        <w:trPr>
          <w:trHeight w:val="193"/>
        </w:trPr>
        <w:tc>
          <w:tcPr>
            <w:tcW w:w="2800" w:type="dxa"/>
            <w:vAlign w:val="bottom"/>
          </w:tcPr>
          <w:p>
            <w:pPr>
              <w:ind w:left="480"/>
              <w:spacing w:after="0"/>
              <w:rPr>
                <w:sz w:val="20"/>
                <w:szCs w:val="20"/>
                <w:color w:val="auto"/>
              </w:rPr>
            </w:pPr>
            <w:r>
              <w:rPr>
                <w:rFonts w:ascii="Arial" w:cs="Arial" w:eastAsia="Arial" w:hAnsi="Arial"/>
                <w:sz w:val="14"/>
                <w:szCs w:val="14"/>
                <w:color w:val="auto"/>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39,314</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25,520</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17,326</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8,458</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4,390</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10,719</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105,727</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Arial" w:cs="Arial" w:eastAsia="Arial" w:hAnsi="Arial"/>
                <w:sz w:val="14"/>
                <w:szCs w:val="14"/>
                <w:color w:val="auto"/>
              </w:rPr>
              <w:t>Current period gross charge-offs</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1,189</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1,422</w:t>
            </w:r>
          </w:p>
        </w:tc>
      </w:tr>
      <w:tr>
        <w:trPr>
          <w:trHeight w:val="20"/>
        </w:trPr>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color w:val="auto"/>
                <w:w w:val="90"/>
              </w:rPr>
              <w:t>Installment (1)</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
        </w:trPr>
        <w:tc>
          <w:tcPr>
            <w:tcW w:w="2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gridSpan w:val="8"/>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79"/>
        </w:trPr>
        <w:tc>
          <w:tcPr>
            <w:tcW w:w="2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4"/>
                <w:szCs w:val="14"/>
                <w:color w:val="auto"/>
                <w:w w:val="89"/>
              </w:rPr>
              <w:t>Term Loans Amortized Cost Basis by Origination Year</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86"/>
        </w:trPr>
        <w:tc>
          <w:tcPr>
            <w:tcW w:w="2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2022</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2020</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2019</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Prior</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Total</w:t>
            </w:r>
          </w:p>
        </w:tc>
      </w:tr>
      <w:tr>
        <w:trPr>
          <w:trHeight w:val="174"/>
        </w:trPr>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color w:val="auto"/>
                <w:w w:val="89"/>
              </w:rPr>
              <w:t>(In thousands)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8"/>
        </w:trPr>
        <w:tc>
          <w:tcPr>
            <w:tcW w:w="2800" w:type="dxa"/>
            <w:vAlign w:val="bottom"/>
          </w:tcPr>
          <w:p>
            <w:pPr>
              <w:ind w:left="20"/>
              <w:spacing w:after="0"/>
              <w:rPr>
                <w:sz w:val="20"/>
                <w:szCs w:val="20"/>
                <w:color w:val="auto"/>
              </w:rPr>
            </w:pPr>
            <w:r>
              <w:rPr>
                <w:rFonts w:ascii="Arial" w:cs="Arial" w:eastAsia="Arial" w:hAnsi="Arial"/>
                <w:sz w:val="14"/>
                <w:szCs w:val="14"/>
                <w:color w:val="auto"/>
              </w:rPr>
              <w:t>September 30, 2023 - continued</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4"/>
        </w:trPr>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3"/>
        </w:trPr>
        <w:tc>
          <w:tcPr>
            <w:tcW w:w="2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installment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4"/>
        </w:trPr>
        <w:tc>
          <w:tcPr>
            <w:tcW w:w="2800" w:type="dxa"/>
            <w:vAlign w:val="bottom"/>
          </w:tcPr>
          <w:p>
            <w:pPr>
              <w:ind w:left="320"/>
              <w:spacing w:after="0"/>
              <w:rPr>
                <w:sz w:val="20"/>
                <w:szCs w:val="20"/>
                <w:color w:val="auto"/>
              </w:rPr>
            </w:pPr>
            <w:r>
              <w:rPr>
                <w:rFonts w:ascii="Arial" w:cs="Arial" w:eastAsia="Arial" w:hAnsi="Arial"/>
                <w:sz w:val="14"/>
                <w:szCs w:val="14"/>
                <w:color w:val="auto"/>
              </w:rPr>
              <w:t>800 and above</w:t>
            </w: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14,774</w:t>
            </w:r>
          </w:p>
        </w:tc>
        <w:tc>
          <w:tcPr>
            <w:tcW w:w="10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17,439</w:t>
            </w:r>
          </w:p>
        </w:tc>
        <w:tc>
          <w:tcPr>
            <w:tcW w:w="80" w:type="dxa"/>
            <w:vAlign w:val="bottom"/>
          </w:tcPr>
          <w:p>
            <w:pPr>
              <w:spacing w:after="0"/>
              <w:rPr>
                <w:sz w:val="15"/>
                <w:szCs w:val="15"/>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21,108</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8,766</w:t>
            </w:r>
          </w:p>
        </w:tc>
        <w:tc>
          <w:tcPr>
            <w:tcW w:w="80" w:type="dxa"/>
            <w:vAlign w:val="bottom"/>
          </w:tcPr>
          <w:p>
            <w:pPr>
              <w:spacing w:after="0"/>
              <w:rPr>
                <w:sz w:val="15"/>
                <w:szCs w:val="15"/>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9,135</w:t>
            </w:r>
          </w:p>
        </w:tc>
        <w:tc>
          <w:tcPr>
            <w:tcW w:w="80" w:type="dxa"/>
            <w:vAlign w:val="bottom"/>
          </w:tcPr>
          <w:p>
            <w:pPr>
              <w:spacing w:after="0"/>
              <w:rPr>
                <w:sz w:val="15"/>
                <w:szCs w:val="15"/>
                <w:color w:val="auto"/>
              </w:rPr>
            </w:pP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14,399</w:t>
            </w:r>
          </w:p>
        </w:tc>
        <w:tc>
          <w:tcPr>
            <w:tcW w:w="10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85,621</w:t>
            </w:r>
          </w:p>
        </w:tc>
      </w:tr>
      <w:tr>
        <w:trPr>
          <w:trHeight w:val="203"/>
        </w:trPr>
        <w:tc>
          <w:tcPr>
            <w:tcW w:w="2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750-799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58,169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95,311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80,249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33,167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24,538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40,511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331,945</w:t>
            </w:r>
          </w:p>
        </w:tc>
      </w:tr>
      <w:tr>
        <w:trPr>
          <w:trHeight w:val="184"/>
        </w:trPr>
        <w:tc>
          <w:tcPr>
            <w:tcW w:w="2800" w:type="dxa"/>
            <w:vAlign w:val="bottom"/>
          </w:tcPr>
          <w:p>
            <w:pPr>
              <w:ind w:left="320"/>
              <w:spacing w:after="0"/>
              <w:rPr>
                <w:sz w:val="20"/>
                <w:szCs w:val="20"/>
                <w:color w:val="auto"/>
              </w:rPr>
            </w:pPr>
            <w:r>
              <w:rPr>
                <w:rFonts w:ascii="Arial" w:cs="Arial" w:eastAsia="Arial" w:hAnsi="Arial"/>
                <w:sz w:val="14"/>
                <w:szCs w:val="14"/>
                <w:color w:val="auto"/>
              </w:rPr>
              <w:t>700-749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25,923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43,434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38,945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14,852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10,183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16,174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149,511</w:t>
            </w:r>
          </w:p>
        </w:tc>
      </w:tr>
      <w:tr>
        <w:trPr>
          <w:trHeight w:val="203"/>
        </w:trPr>
        <w:tc>
          <w:tcPr>
            <w:tcW w:w="2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650-699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24,967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10,951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11,565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58,274</w:t>
            </w:r>
          </w:p>
        </w:tc>
      </w:tr>
      <w:tr>
        <w:trPr>
          <w:trHeight w:val="184"/>
        </w:trPr>
        <w:tc>
          <w:tcPr>
            <w:tcW w:w="2800" w:type="dxa"/>
            <w:vAlign w:val="bottom"/>
          </w:tcPr>
          <w:p>
            <w:pPr>
              <w:ind w:left="320"/>
              <w:spacing w:after="0"/>
              <w:rPr>
                <w:sz w:val="20"/>
                <w:szCs w:val="20"/>
                <w:color w:val="auto"/>
              </w:rPr>
            </w:pPr>
            <w:r>
              <w:rPr>
                <w:rFonts w:ascii="Arial" w:cs="Arial" w:eastAsia="Arial" w:hAnsi="Arial"/>
                <w:sz w:val="14"/>
                <w:szCs w:val="14"/>
                <w:color w:val="auto"/>
              </w:rPr>
              <w:t>600-649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636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1,639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2,964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806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1,657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8,162</w:t>
            </w:r>
          </w:p>
        </w:tc>
      </w:tr>
      <w:tr>
        <w:trPr>
          <w:trHeight w:val="203"/>
        </w:trPr>
        <w:tc>
          <w:tcPr>
            <w:tcW w:w="2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550-599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2,884</w:t>
            </w:r>
          </w:p>
        </w:tc>
      </w:tr>
      <w:tr>
        <w:trPr>
          <w:trHeight w:val="184"/>
        </w:trPr>
        <w:tc>
          <w:tcPr>
            <w:tcW w:w="2800" w:type="dxa"/>
            <w:vAlign w:val="bottom"/>
          </w:tcPr>
          <w:p>
            <w:pPr>
              <w:ind w:left="320"/>
              <w:spacing w:after="0"/>
              <w:rPr>
                <w:sz w:val="20"/>
                <w:szCs w:val="20"/>
                <w:color w:val="auto"/>
              </w:rPr>
            </w:pPr>
            <w:r>
              <w:rPr>
                <w:rFonts w:ascii="Arial" w:cs="Arial" w:eastAsia="Arial" w:hAnsi="Arial"/>
                <w:sz w:val="14"/>
                <w:szCs w:val="14"/>
                <w:color w:val="auto"/>
              </w:rPr>
              <w:t>500-549</w:t>
            </w:r>
          </w:p>
        </w:tc>
        <w:tc>
          <w:tcPr>
            <w:tcW w:w="2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544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1,940</w:t>
            </w:r>
          </w:p>
        </w:tc>
      </w:tr>
      <w:tr>
        <w:trPr>
          <w:trHeight w:val="203"/>
        </w:trPr>
        <w:tc>
          <w:tcPr>
            <w:tcW w:w="2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Under 500</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w:t>
            </w:r>
          </w:p>
        </w:tc>
      </w:tr>
      <w:tr>
        <w:trPr>
          <w:trHeight w:val="186"/>
        </w:trPr>
        <w:tc>
          <w:tcPr>
            <w:tcW w:w="2800" w:type="dxa"/>
            <w:vAlign w:val="bottom"/>
          </w:tcPr>
          <w:p>
            <w:pPr>
              <w:ind w:left="320"/>
              <w:spacing w:after="0"/>
              <w:rPr>
                <w:sz w:val="20"/>
                <w:szCs w:val="20"/>
                <w:color w:val="auto"/>
              </w:rPr>
            </w:pPr>
            <w:r>
              <w:rPr>
                <w:rFonts w:ascii="Arial" w:cs="Arial" w:eastAsia="Arial" w:hAnsi="Arial"/>
                <w:sz w:val="14"/>
                <w:szCs w:val="14"/>
                <w:color w:val="auto"/>
              </w:rPr>
              <w:t>Unknown</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624</w:t>
            </w:r>
          </w:p>
        </w:tc>
      </w:tr>
      <w:tr>
        <w:trPr>
          <w:trHeight w:val="218"/>
        </w:trPr>
        <w:tc>
          <w:tcPr>
            <w:tcW w:w="28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w:t>
            </w:r>
          </w:p>
        </w:tc>
        <w:tc>
          <w:tcPr>
            <w:tcW w:w="26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125,099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170,080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156,667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61,358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47,564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78,688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639,456</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Arial" w:cs="Arial" w:eastAsia="Arial" w:hAnsi="Arial"/>
                <w:sz w:val="14"/>
                <w:szCs w:val="14"/>
                <w:color w:val="auto"/>
              </w:rPr>
              <w:t>Accrued interest excluded from total</w:t>
            </w:r>
          </w:p>
        </w:tc>
        <w:tc>
          <w:tcPr>
            <w:tcW w:w="2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354</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1,625</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period gross charge-offs</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1,778</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40" w:type="dxa"/>
            <w:vAlign w:val="bottom"/>
            <w:gridSpan w:val="6"/>
          </w:tcPr>
          <w:p>
            <w:pPr>
              <w:jc w:val="center"/>
              <w:ind w:right="91"/>
              <w:spacing w:after="0"/>
              <w:rPr>
                <w:sz w:val="20"/>
                <w:szCs w:val="20"/>
                <w:color w:val="auto"/>
              </w:rPr>
            </w:pPr>
            <w:r>
              <w:rPr>
                <w:rFonts w:ascii="Arial" w:cs="Arial" w:eastAsia="Arial" w:hAnsi="Arial"/>
                <w:sz w:val="14"/>
                <w:szCs w:val="14"/>
                <w:color w:val="auto"/>
                <w:w w:val="91"/>
              </w:rPr>
              <w:t>Installment - continued (1)</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
        </w:trPr>
        <w:tc>
          <w:tcPr>
            <w:tcW w:w="2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gridSpan w:val="9"/>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79"/>
        </w:trPr>
        <w:tc>
          <w:tcPr>
            <w:tcW w:w="2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9"/>
          </w:tcPr>
          <w:p>
            <w:pPr>
              <w:jc w:val="center"/>
              <w:ind w:right="240"/>
              <w:spacing w:after="0"/>
              <w:rPr>
                <w:sz w:val="20"/>
                <w:szCs w:val="20"/>
                <w:color w:val="auto"/>
              </w:rPr>
            </w:pPr>
            <w:r>
              <w:rPr>
                <w:rFonts w:ascii="Arial" w:cs="Arial" w:eastAsia="Arial" w:hAnsi="Arial"/>
                <w:sz w:val="14"/>
                <w:szCs w:val="14"/>
                <w:color w:val="auto"/>
                <w:w w:val="89"/>
              </w:rPr>
              <w:t>Term Loans Amortized Cost Basis by Origination Year</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86"/>
        </w:trPr>
        <w:tc>
          <w:tcPr>
            <w:tcW w:w="2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2021</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2020</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2019</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2018</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Prior</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Total</w:t>
            </w:r>
          </w:p>
        </w:tc>
      </w:tr>
      <w:tr>
        <w:trPr>
          <w:trHeight w:val="174"/>
        </w:trPr>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(In thousands)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8"/>
        </w:trPr>
        <w:tc>
          <w:tcPr>
            <w:tcW w:w="2800" w:type="dxa"/>
            <w:vAlign w:val="bottom"/>
          </w:tcPr>
          <w:p>
            <w:pPr>
              <w:ind w:left="20"/>
              <w:spacing w:after="0"/>
              <w:rPr>
                <w:sz w:val="20"/>
                <w:szCs w:val="20"/>
                <w:color w:val="auto"/>
              </w:rPr>
            </w:pPr>
            <w:r>
              <w:rPr>
                <w:rFonts w:ascii="Arial" w:cs="Arial" w:eastAsia="Arial" w:hAnsi="Arial"/>
                <w:sz w:val="14"/>
                <w:szCs w:val="14"/>
                <w:color w:val="auto"/>
              </w:rPr>
              <w:t>December 31, 2022</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3"/>
        </w:trPr>
        <w:tc>
          <w:tcPr>
            <w:tcW w:w="2800" w:type="dxa"/>
            <w:vAlign w:val="bottom"/>
          </w:tcPr>
          <w:p>
            <w:pPr>
              <w:ind w:left="180"/>
              <w:spacing w:after="0"/>
              <w:rPr>
                <w:sz w:val="20"/>
                <w:szCs w:val="20"/>
                <w:color w:val="auto"/>
              </w:rPr>
            </w:pPr>
            <w:r>
              <w:rPr>
                <w:rFonts w:ascii="Arial" w:cs="Arial" w:eastAsia="Arial" w:hAnsi="Arial"/>
                <w:sz w:val="14"/>
                <w:szCs w:val="14"/>
                <w:color w:val="auto"/>
              </w:rPr>
              <w:t>Boat lending</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4"/>
        </w:trPr>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3"/>
        </w:trPr>
        <w:tc>
          <w:tcPr>
            <w:tcW w:w="2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4,391</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35,724</w:t>
            </w:r>
          </w:p>
        </w:tc>
      </w:tr>
      <w:tr>
        <w:trPr>
          <w:trHeight w:val="184"/>
        </w:trPr>
        <w:tc>
          <w:tcPr>
            <w:tcW w:w="2800" w:type="dxa"/>
            <w:vAlign w:val="bottom"/>
          </w:tcPr>
          <w:p>
            <w:pPr>
              <w:ind w:left="320"/>
              <w:spacing w:after="0"/>
              <w:rPr>
                <w:sz w:val="20"/>
                <w:szCs w:val="20"/>
                <w:color w:val="auto"/>
              </w:rPr>
            </w:pPr>
            <w:r>
              <w:rPr>
                <w:rFonts w:ascii="Arial" w:cs="Arial" w:eastAsia="Arial" w:hAnsi="Arial"/>
                <w:sz w:val="14"/>
                <w:szCs w:val="14"/>
                <w:color w:val="auto"/>
              </w:rPr>
              <w:t>750-799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44,498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37,531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20,179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16,506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12,814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14,504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146,032</w:t>
            </w:r>
          </w:p>
        </w:tc>
      </w:tr>
      <w:tr>
        <w:trPr>
          <w:trHeight w:val="203"/>
        </w:trPr>
        <w:tc>
          <w:tcPr>
            <w:tcW w:w="2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15,390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52,712</w:t>
            </w:r>
          </w:p>
        </w:tc>
      </w:tr>
      <w:tr>
        <w:trPr>
          <w:trHeight w:val="184"/>
        </w:trPr>
        <w:tc>
          <w:tcPr>
            <w:tcW w:w="2800" w:type="dxa"/>
            <w:vAlign w:val="bottom"/>
          </w:tcPr>
          <w:p>
            <w:pPr>
              <w:ind w:left="320"/>
              <w:spacing w:after="0"/>
              <w:rPr>
                <w:sz w:val="20"/>
                <w:szCs w:val="20"/>
                <w:color w:val="auto"/>
              </w:rPr>
            </w:pPr>
            <w:r>
              <w:rPr>
                <w:rFonts w:ascii="Arial" w:cs="Arial" w:eastAsia="Arial" w:hAnsi="Arial"/>
                <w:sz w:val="14"/>
                <w:szCs w:val="14"/>
                <w:color w:val="auto"/>
              </w:rPr>
              <w:t>650-699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3,933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4,135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1,498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1,290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1,032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2,213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14,101</w:t>
            </w:r>
          </w:p>
        </w:tc>
      </w:tr>
      <w:tr>
        <w:trPr>
          <w:trHeight w:val="203"/>
        </w:trPr>
        <w:tc>
          <w:tcPr>
            <w:tcW w:w="2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3,009</w:t>
            </w:r>
          </w:p>
        </w:tc>
      </w:tr>
      <w:tr>
        <w:trPr>
          <w:trHeight w:val="184"/>
        </w:trPr>
        <w:tc>
          <w:tcPr>
            <w:tcW w:w="2800" w:type="dxa"/>
            <w:vAlign w:val="bottom"/>
          </w:tcPr>
          <w:p>
            <w:pPr>
              <w:ind w:left="320"/>
              <w:spacing w:after="0"/>
              <w:rPr>
                <w:sz w:val="20"/>
                <w:szCs w:val="20"/>
                <w:color w:val="auto"/>
              </w:rPr>
            </w:pPr>
            <w:r>
              <w:rPr>
                <w:rFonts w:ascii="Arial" w:cs="Arial" w:eastAsia="Arial" w:hAnsi="Arial"/>
                <w:sz w:val="14"/>
                <w:szCs w:val="14"/>
                <w:color w:val="auto"/>
              </w:rPr>
              <w:t>550-599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763</w:t>
            </w:r>
          </w:p>
        </w:tc>
      </w:tr>
      <w:tr>
        <w:trPr>
          <w:trHeight w:val="203"/>
        </w:trPr>
        <w:tc>
          <w:tcPr>
            <w:tcW w:w="2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500-549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w:t>
            </w:r>
          </w:p>
        </w:tc>
      </w:tr>
      <w:tr>
        <w:trPr>
          <w:trHeight w:val="184"/>
        </w:trPr>
        <w:tc>
          <w:tcPr>
            <w:tcW w:w="2800" w:type="dxa"/>
            <w:vAlign w:val="bottom"/>
          </w:tcPr>
          <w:p>
            <w:pPr>
              <w:ind w:left="320"/>
              <w:spacing w:after="0"/>
              <w:rPr>
                <w:sz w:val="20"/>
                <w:szCs w:val="20"/>
                <w:color w:val="auto"/>
              </w:rPr>
            </w:pPr>
            <w:r>
              <w:rPr>
                <w:rFonts w:ascii="Arial" w:cs="Arial" w:eastAsia="Arial" w:hAnsi="Arial"/>
                <w:sz w:val="14"/>
                <w:szCs w:val="14"/>
                <w:color w:val="auto"/>
              </w:rPr>
              <w:t>Under 500</w:t>
            </w:r>
          </w:p>
        </w:tc>
        <w:tc>
          <w:tcPr>
            <w:tcW w:w="2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203"/>
        </w:trPr>
        <w:tc>
          <w:tcPr>
            <w:tcW w:w="2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Unknown</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2800" w:type="dxa"/>
            <w:vAlign w:val="bottom"/>
          </w:tcPr>
          <w:p>
            <w:pPr>
              <w:jc w:val="center"/>
              <w:ind w:right="1491"/>
              <w:spacing w:after="0"/>
              <w:rPr>
                <w:sz w:val="20"/>
                <w:szCs w:val="20"/>
                <w:color w:val="auto"/>
              </w:rPr>
            </w:pPr>
            <w:r>
              <w:rPr>
                <w:rFonts w:ascii="Arial" w:cs="Arial" w:eastAsia="Arial" w:hAnsi="Arial"/>
                <w:sz w:val="14"/>
                <w:szCs w:val="14"/>
                <w:color w:val="auto"/>
                <w:w w:val="89"/>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72,682</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65,428</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33,576</w:t>
            </w: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29,128</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22,350</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29,801</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252,965</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601</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39"/>
        </w:trPr>
        <w:tc>
          <w:tcPr>
            <w:tcW w:w="2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93"/>
        </w:trPr>
        <w:tc>
          <w:tcPr>
            <w:tcW w:w="2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Recreational vehicle lending</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4"/>
        </w:trPr>
        <w:tc>
          <w:tcPr>
            <w:tcW w:w="2800" w:type="dxa"/>
            <w:vAlign w:val="bottom"/>
          </w:tcPr>
          <w:p>
            <w:pPr>
              <w:ind w:left="320"/>
              <w:spacing w:after="0"/>
              <w:rPr>
                <w:sz w:val="20"/>
                <w:szCs w:val="20"/>
                <w:color w:val="auto"/>
              </w:rPr>
            </w:pPr>
            <w:r>
              <w:rPr>
                <w:rFonts w:ascii="Arial" w:cs="Arial" w:eastAsia="Arial" w:hAnsi="Arial"/>
                <w:sz w:val="14"/>
                <w:szCs w:val="14"/>
                <w:color w:val="auto"/>
              </w:rPr>
              <w:t>800 and above</w:t>
            </w: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9,327</w:t>
            </w:r>
          </w:p>
        </w:tc>
        <w:tc>
          <w:tcPr>
            <w:tcW w:w="10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10,752</w:t>
            </w:r>
          </w:p>
        </w:tc>
        <w:tc>
          <w:tcPr>
            <w:tcW w:w="80" w:type="dxa"/>
            <w:vAlign w:val="bottom"/>
          </w:tcPr>
          <w:p>
            <w:pPr>
              <w:spacing w:after="0"/>
              <w:rPr>
                <w:sz w:val="15"/>
                <w:szCs w:val="15"/>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4,524</w:t>
            </w:r>
          </w:p>
        </w:tc>
        <w:tc>
          <w:tcPr>
            <w:tcW w:w="3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4,834</w:t>
            </w:r>
          </w:p>
        </w:tc>
        <w:tc>
          <w:tcPr>
            <w:tcW w:w="80" w:type="dxa"/>
            <w:vAlign w:val="bottom"/>
          </w:tcPr>
          <w:p>
            <w:pPr>
              <w:spacing w:after="0"/>
              <w:rPr>
                <w:sz w:val="15"/>
                <w:szCs w:val="15"/>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3,416</w:t>
            </w:r>
          </w:p>
        </w:tc>
        <w:tc>
          <w:tcPr>
            <w:tcW w:w="80" w:type="dxa"/>
            <w:vAlign w:val="bottom"/>
          </w:tcPr>
          <w:p>
            <w:pPr>
              <w:spacing w:after="0"/>
              <w:rPr>
                <w:sz w:val="15"/>
                <w:szCs w:val="15"/>
                <w:color w:val="auto"/>
              </w:rPr>
            </w:pP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4,319</w:t>
            </w:r>
          </w:p>
        </w:tc>
        <w:tc>
          <w:tcPr>
            <w:tcW w:w="10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37,172</w:t>
            </w:r>
          </w:p>
        </w:tc>
      </w:tr>
      <w:tr>
        <w:trPr>
          <w:trHeight w:val="203"/>
        </w:trPr>
        <w:tc>
          <w:tcPr>
            <w:tcW w:w="2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750-799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51,555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49,949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16,175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146,407</w:t>
            </w:r>
          </w:p>
        </w:tc>
      </w:tr>
      <w:tr>
        <w:trPr>
          <w:trHeight w:val="184"/>
        </w:trPr>
        <w:tc>
          <w:tcPr>
            <w:tcW w:w="2800" w:type="dxa"/>
            <w:vAlign w:val="bottom"/>
          </w:tcPr>
          <w:p>
            <w:pPr>
              <w:ind w:left="320"/>
              <w:spacing w:after="0"/>
              <w:rPr>
                <w:sz w:val="20"/>
                <w:szCs w:val="20"/>
                <w:color w:val="auto"/>
              </w:rPr>
            </w:pPr>
            <w:r>
              <w:rPr>
                <w:rFonts w:ascii="Arial" w:cs="Arial" w:eastAsia="Arial" w:hAnsi="Arial"/>
                <w:sz w:val="14"/>
                <w:szCs w:val="14"/>
                <w:color w:val="auto"/>
              </w:rPr>
              <w:t>700-749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23,143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24,945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7,680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4,459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2,279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2,939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65,445</w:t>
            </w:r>
          </w:p>
        </w:tc>
      </w:tr>
      <w:tr>
        <w:trPr>
          <w:trHeight w:val="203"/>
        </w:trPr>
        <w:tc>
          <w:tcPr>
            <w:tcW w:w="2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650-699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16,119</w:t>
            </w:r>
          </w:p>
        </w:tc>
      </w:tr>
      <w:tr>
        <w:trPr>
          <w:trHeight w:val="184"/>
        </w:trPr>
        <w:tc>
          <w:tcPr>
            <w:tcW w:w="2800" w:type="dxa"/>
            <w:vAlign w:val="bottom"/>
          </w:tcPr>
          <w:p>
            <w:pPr>
              <w:ind w:left="320"/>
              <w:spacing w:after="0"/>
              <w:rPr>
                <w:sz w:val="20"/>
                <w:szCs w:val="20"/>
                <w:color w:val="auto"/>
              </w:rPr>
            </w:pPr>
            <w:r>
              <w:rPr>
                <w:rFonts w:ascii="Arial" w:cs="Arial" w:eastAsia="Arial" w:hAnsi="Arial"/>
                <w:sz w:val="14"/>
                <w:szCs w:val="14"/>
                <w:color w:val="auto"/>
              </w:rPr>
              <w:t>600-649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793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1,608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3,721</w:t>
            </w:r>
          </w:p>
        </w:tc>
      </w:tr>
      <w:tr>
        <w:trPr>
          <w:trHeight w:val="203"/>
        </w:trPr>
        <w:tc>
          <w:tcPr>
            <w:tcW w:w="2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550-599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1,140</w:t>
            </w:r>
          </w:p>
        </w:tc>
      </w:tr>
      <w:tr>
        <w:trPr>
          <w:trHeight w:val="184"/>
        </w:trPr>
        <w:tc>
          <w:tcPr>
            <w:tcW w:w="2800" w:type="dxa"/>
            <w:vAlign w:val="bottom"/>
          </w:tcPr>
          <w:p>
            <w:pPr>
              <w:ind w:left="320"/>
              <w:spacing w:after="0"/>
              <w:rPr>
                <w:sz w:val="20"/>
                <w:szCs w:val="20"/>
                <w:color w:val="auto"/>
              </w:rPr>
            </w:pPr>
            <w:r>
              <w:rPr>
                <w:rFonts w:ascii="Arial" w:cs="Arial" w:eastAsia="Arial" w:hAnsi="Arial"/>
                <w:sz w:val="14"/>
                <w:szCs w:val="14"/>
                <w:color w:val="auto"/>
              </w:rPr>
              <w:t>500-549</w:t>
            </w:r>
          </w:p>
        </w:tc>
        <w:tc>
          <w:tcPr>
            <w:tcW w:w="26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539</w:t>
            </w:r>
          </w:p>
        </w:tc>
      </w:tr>
      <w:tr>
        <w:trPr>
          <w:trHeight w:val="203"/>
        </w:trPr>
        <w:tc>
          <w:tcPr>
            <w:tcW w:w="2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Under 500</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r>
      <w:tr>
        <w:trPr>
          <w:trHeight w:val="186"/>
        </w:trPr>
        <w:tc>
          <w:tcPr>
            <w:tcW w:w="2800" w:type="dxa"/>
            <w:vAlign w:val="bottom"/>
          </w:tcPr>
          <w:p>
            <w:pPr>
              <w:ind w:left="320"/>
              <w:spacing w:after="0"/>
              <w:rPr>
                <w:sz w:val="20"/>
                <w:szCs w:val="20"/>
                <w:color w:val="auto"/>
              </w:rPr>
            </w:pPr>
            <w:r>
              <w:rPr>
                <w:rFonts w:ascii="Arial" w:cs="Arial" w:eastAsia="Arial" w:hAnsi="Arial"/>
                <w:sz w:val="14"/>
                <w:szCs w:val="14"/>
                <w:color w:val="auto"/>
              </w:rPr>
              <w:t>Unknown</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8"/>
        </w:trPr>
        <w:tc>
          <w:tcPr>
            <w:tcW w:w="2800" w:type="dxa"/>
            <w:vAlign w:val="bottom"/>
            <w:tcBorders>
              <w:top w:val="single" w:sz="8" w:color="CCEEFF"/>
              <w:bottom w:val="single" w:sz="8" w:color="CCEEFF"/>
            </w:tcBorders>
            <w:shd w:val="clear" w:color="auto" w:fill="CCEEFF"/>
          </w:tcPr>
          <w:p>
            <w:pPr>
              <w:jc w:val="center"/>
              <w:ind w:right="1491"/>
              <w:spacing w:after="0"/>
              <w:rPr>
                <w:sz w:val="20"/>
                <w:szCs w:val="20"/>
                <w:color w:val="auto"/>
              </w:rPr>
            </w:pPr>
            <w:r>
              <w:rPr>
                <w:rFonts w:ascii="Arial" w:cs="Arial" w:eastAsia="Arial" w:hAnsi="Arial"/>
                <w:sz w:val="14"/>
                <w:szCs w:val="14"/>
                <w:color w:val="auto"/>
                <w:w w:val="89"/>
              </w:rPr>
              <w:t>Total</w:t>
            </w:r>
          </w:p>
        </w:tc>
        <w:tc>
          <w:tcPr>
            <w:tcW w:w="26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89,938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94,529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30,598</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23,305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15,937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270,673</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3"/>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Arial" w:cs="Arial" w:eastAsia="Arial" w:hAnsi="Arial"/>
                <w:sz w:val="14"/>
                <w:szCs w:val="14"/>
                <w:color w:val="auto"/>
              </w:rPr>
              <w:t>Accrued interest excluded from 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227</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648</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9"/>
        </w:trPr>
        <w:tc>
          <w:tcPr>
            <w:tcW w:w="2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4"/>
        </w:trPr>
        <w:tc>
          <w:tcPr>
            <w:tcW w:w="2800" w:type="dxa"/>
            <w:vAlign w:val="bottom"/>
          </w:tcPr>
          <w:p>
            <w:pPr>
              <w:ind w:left="180"/>
              <w:spacing w:after="0"/>
              <w:rPr>
                <w:sz w:val="20"/>
                <w:szCs w:val="20"/>
                <w:color w:val="auto"/>
              </w:rPr>
            </w:pPr>
            <w:r>
              <w:rPr>
                <w:rFonts w:ascii="Arial" w:cs="Arial" w:eastAsia="Arial" w:hAnsi="Arial"/>
                <w:sz w:val="14"/>
                <w:szCs w:val="14"/>
                <w:color w:val="auto"/>
              </w:rPr>
              <w:t>Other</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3"/>
        </w:trPr>
        <w:tc>
          <w:tcPr>
            <w:tcW w:w="2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1,449</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7,109</w:t>
            </w:r>
          </w:p>
        </w:tc>
      </w:tr>
      <w:tr>
        <w:trPr>
          <w:trHeight w:val="184"/>
        </w:trPr>
        <w:tc>
          <w:tcPr>
            <w:tcW w:w="2800" w:type="dxa"/>
            <w:vAlign w:val="bottom"/>
          </w:tcPr>
          <w:p>
            <w:pPr>
              <w:ind w:left="320"/>
              <w:spacing w:after="0"/>
              <w:rPr>
                <w:sz w:val="20"/>
                <w:szCs w:val="20"/>
                <w:color w:val="auto"/>
              </w:rPr>
            </w:pPr>
            <w:r>
              <w:rPr>
                <w:rFonts w:ascii="Arial" w:cs="Arial" w:eastAsia="Arial" w:hAnsi="Arial"/>
                <w:sz w:val="14"/>
                <w:szCs w:val="14"/>
                <w:color w:val="auto"/>
              </w:rPr>
              <w:t>750-799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15,692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9,973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5,521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3,393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1,678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3,612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39,869</w:t>
            </w:r>
          </w:p>
        </w:tc>
      </w:tr>
      <w:tr>
        <w:trPr>
          <w:trHeight w:val="203"/>
        </w:trPr>
        <w:tc>
          <w:tcPr>
            <w:tcW w:w="2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26,222</w:t>
            </w:r>
          </w:p>
        </w:tc>
      </w:tr>
      <w:tr>
        <w:trPr>
          <w:trHeight w:val="184"/>
        </w:trPr>
        <w:tc>
          <w:tcPr>
            <w:tcW w:w="2800" w:type="dxa"/>
            <w:vAlign w:val="bottom"/>
          </w:tcPr>
          <w:p>
            <w:pPr>
              <w:ind w:left="320"/>
              <w:spacing w:after="0"/>
              <w:rPr>
                <w:sz w:val="20"/>
                <w:szCs w:val="20"/>
                <w:color w:val="auto"/>
              </w:rPr>
            </w:pPr>
            <w:r>
              <w:rPr>
                <w:rFonts w:ascii="Arial" w:cs="Arial" w:eastAsia="Arial" w:hAnsi="Arial"/>
                <w:sz w:val="14"/>
                <w:szCs w:val="14"/>
                <w:color w:val="auto"/>
              </w:rPr>
              <w:t>650-699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22,740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2,851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1,051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593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1,286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28,926</w:t>
            </w:r>
          </w:p>
        </w:tc>
      </w:tr>
      <w:tr>
        <w:trPr>
          <w:trHeight w:val="203"/>
        </w:trPr>
        <w:tc>
          <w:tcPr>
            <w:tcW w:w="2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2,348</w:t>
            </w:r>
          </w:p>
        </w:tc>
      </w:tr>
      <w:tr>
        <w:trPr>
          <w:trHeight w:val="184"/>
        </w:trPr>
        <w:tc>
          <w:tcPr>
            <w:tcW w:w="2800" w:type="dxa"/>
            <w:vAlign w:val="bottom"/>
          </w:tcPr>
          <w:p>
            <w:pPr>
              <w:ind w:left="320"/>
              <w:spacing w:after="0"/>
              <w:rPr>
                <w:sz w:val="20"/>
                <w:szCs w:val="20"/>
                <w:color w:val="auto"/>
              </w:rPr>
            </w:pPr>
            <w:r>
              <w:rPr>
                <w:rFonts w:ascii="Arial" w:cs="Arial" w:eastAsia="Arial" w:hAnsi="Arial"/>
                <w:sz w:val="14"/>
                <w:szCs w:val="14"/>
                <w:color w:val="auto"/>
              </w:rPr>
              <w:t>550-599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642</w:t>
            </w:r>
          </w:p>
        </w:tc>
      </w:tr>
      <w:tr>
        <w:trPr>
          <w:trHeight w:val="203"/>
        </w:trPr>
        <w:tc>
          <w:tcPr>
            <w:tcW w:w="2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500-549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w:t>
            </w:r>
          </w:p>
        </w:tc>
      </w:tr>
      <w:tr>
        <w:trPr>
          <w:trHeight w:val="184"/>
        </w:trPr>
        <w:tc>
          <w:tcPr>
            <w:tcW w:w="2800" w:type="dxa"/>
            <w:vAlign w:val="bottom"/>
          </w:tcPr>
          <w:p>
            <w:pPr>
              <w:ind w:left="320"/>
              <w:spacing w:after="0"/>
              <w:rPr>
                <w:sz w:val="20"/>
                <w:szCs w:val="20"/>
                <w:color w:val="auto"/>
              </w:rPr>
            </w:pPr>
            <w:r>
              <w:rPr>
                <w:rFonts w:ascii="Arial" w:cs="Arial" w:eastAsia="Arial" w:hAnsi="Arial"/>
                <w:sz w:val="14"/>
                <w:szCs w:val="14"/>
                <w:color w:val="auto"/>
              </w:rPr>
              <w:t>Under 500</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203"/>
        </w:trPr>
        <w:tc>
          <w:tcPr>
            <w:tcW w:w="2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Unknown</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w:t>
            </w:r>
          </w:p>
        </w:tc>
      </w:tr>
      <w:tr>
        <w:trPr>
          <w:trHeight w:val="186"/>
        </w:trPr>
        <w:tc>
          <w:tcPr>
            <w:tcW w:w="2800" w:type="dxa"/>
            <w:vAlign w:val="bottom"/>
          </w:tcPr>
          <w:p>
            <w:pPr>
              <w:jc w:val="center"/>
              <w:ind w:right="1491"/>
              <w:spacing w:after="0"/>
              <w:rPr>
                <w:sz w:val="20"/>
                <w:szCs w:val="20"/>
                <w:color w:val="auto"/>
              </w:rPr>
            </w:pPr>
            <w:r>
              <w:rPr>
                <w:rFonts w:ascii="Arial" w:cs="Arial" w:eastAsia="Arial" w:hAnsi="Arial"/>
                <w:sz w:val="14"/>
                <w:szCs w:val="14"/>
                <w:color w:val="auto"/>
                <w:w w:val="89"/>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51,861</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22,954</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11,773</w:t>
            </w: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7,097</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3,742</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9,025</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106,452</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39"/>
        </w:trPr>
        <w:tc>
          <w:tcPr>
            <w:tcW w:w="2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93"/>
        </w:trPr>
        <w:tc>
          <w:tcPr>
            <w:tcW w:w="2800" w:type="dxa"/>
            <w:vAlign w:val="bottom"/>
            <w:shd w:val="clear" w:color="auto" w:fill="CCEEFF"/>
          </w:tcPr>
          <w:p>
            <w:pPr>
              <w:jc w:val="center"/>
              <w:ind w:right="1451"/>
              <w:spacing w:after="0"/>
              <w:rPr>
                <w:sz w:val="20"/>
                <w:szCs w:val="20"/>
                <w:color w:val="auto"/>
              </w:rPr>
            </w:pPr>
            <w:r>
              <w:rPr>
                <w:rFonts w:ascii="Arial" w:cs="Arial" w:eastAsia="Arial" w:hAnsi="Arial"/>
                <w:sz w:val="14"/>
                <w:szCs w:val="14"/>
                <w:color w:val="auto"/>
                <w:w w:val="90"/>
              </w:rPr>
              <w:t>Total installment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4"/>
        </w:trPr>
        <w:tc>
          <w:tcPr>
            <w:tcW w:w="2800" w:type="dxa"/>
            <w:vAlign w:val="bottom"/>
          </w:tcPr>
          <w:p>
            <w:pPr>
              <w:ind w:left="320"/>
              <w:spacing w:after="0"/>
              <w:rPr>
                <w:sz w:val="20"/>
                <w:szCs w:val="20"/>
                <w:color w:val="auto"/>
              </w:rPr>
            </w:pPr>
            <w:r>
              <w:rPr>
                <w:rFonts w:ascii="Arial" w:cs="Arial" w:eastAsia="Arial" w:hAnsi="Arial"/>
                <w:sz w:val="14"/>
                <w:szCs w:val="14"/>
                <w:color w:val="auto"/>
              </w:rPr>
              <w:t>800 and above</w:t>
            </w: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19,202</w:t>
            </w:r>
          </w:p>
        </w:tc>
        <w:tc>
          <w:tcPr>
            <w:tcW w:w="10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21,162</w:t>
            </w:r>
          </w:p>
        </w:tc>
        <w:tc>
          <w:tcPr>
            <w:tcW w:w="80" w:type="dxa"/>
            <w:vAlign w:val="bottom"/>
          </w:tcPr>
          <w:p>
            <w:pPr>
              <w:spacing w:after="0"/>
              <w:rPr>
                <w:sz w:val="15"/>
                <w:szCs w:val="15"/>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10,364</w:t>
            </w:r>
          </w:p>
        </w:tc>
        <w:tc>
          <w:tcPr>
            <w:tcW w:w="3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10,878</w:t>
            </w:r>
          </w:p>
        </w:tc>
        <w:tc>
          <w:tcPr>
            <w:tcW w:w="80" w:type="dxa"/>
            <w:vAlign w:val="bottom"/>
          </w:tcPr>
          <w:p>
            <w:pPr>
              <w:spacing w:after="0"/>
              <w:rPr>
                <w:sz w:val="15"/>
                <w:szCs w:val="15"/>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7,394</w:t>
            </w:r>
          </w:p>
        </w:tc>
        <w:tc>
          <w:tcPr>
            <w:tcW w:w="80" w:type="dxa"/>
            <w:vAlign w:val="bottom"/>
          </w:tcPr>
          <w:p>
            <w:pPr>
              <w:spacing w:after="0"/>
              <w:rPr>
                <w:sz w:val="15"/>
                <w:szCs w:val="15"/>
                <w:color w:val="auto"/>
              </w:rPr>
            </w:pP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11,005</w:t>
            </w:r>
          </w:p>
        </w:tc>
        <w:tc>
          <w:tcPr>
            <w:tcW w:w="10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80,005</w:t>
            </w:r>
          </w:p>
        </w:tc>
      </w:tr>
      <w:tr>
        <w:trPr>
          <w:trHeight w:val="203"/>
        </w:trPr>
        <w:tc>
          <w:tcPr>
            <w:tcW w:w="2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750-799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111,745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97,453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41,875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31,819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23,482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25,934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332,308</w:t>
            </w:r>
          </w:p>
        </w:tc>
      </w:tr>
      <w:tr>
        <w:trPr>
          <w:trHeight w:val="184"/>
        </w:trPr>
        <w:tc>
          <w:tcPr>
            <w:tcW w:w="2800" w:type="dxa"/>
            <w:vAlign w:val="bottom"/>
          </w:tcPr>
          <w:p>
            <w:pPr>
              <w:ind w:left="320"/>
              <w:spacing w:after="0"/>
              <w:rPr>
                <w:sz w:val="20"/>
                <w:szCs w:val="20"/>
                <w:color w:val="auto"/>
              </w:rPr>
            </w:pPr>
            <w:r>
              <w:rPr>
                <w:rFonts w:ascii="Arial" w:cs="Arial" w:eastAsia="Arial" w:hAnsi="Arial"/>
                <w:sz w:val="14"/>
                <w:szCs w:val="14"/>
                <w:color w:val="auto"/>
              </w:rPr>
              <w:t>700-749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48,381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46,166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18,365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12,108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7,635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11,724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144,379</w:t>
            </w:r>
          </w:p>
        </w:tc>
      </w:tr>
      <w:tr>
        <w:trPr>
          <w:trHeight w:val="203"/>
        </w:trPr>
        <w:tc>
          <w:tcPr>
            <w:tcW w:w="2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650-699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31,686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59,146</w:t>
            </w:r>
          </w:p>
        </w:tc>
      </w:tr>
      <w:tr>
        <w:trPr>
          <w:trHeight w:val="184"/>
        </w:trPr>
        <w:tc>
          <w:tcPr>
            <w:tcW w:w="2800" w:type="dxa"/>
            <w:vAlign w:val="bottom"/>
          </w:tcPr>
          <w:p>
            <w:pPr>
              <w:ind w:left="320"/>
              <w:spacing w:after="0"/>
              <w:rPr>
                <w:sz w:val="20"/>
                <w:szCs w:val="20"/>
                <w:color w:val="auto"/>
              </w:rPr>
            </w:pPr>
            <w:r>
              <w:rPr>
                <w:rFonts w:ascii="Arial" w:cs="Arial" w:eastAsia="Arial" w:hAnsi="Arial"/>
                <w:sz w:val="14"/>
                <w:szCs w:val="14"/>
                <w:color w:val="auto"/>
              </w:rPr>
              <w:t>600-649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2,165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3,285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650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954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579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1,445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9,078</w:t>
            </w:r>
          </w:p>
        </w:tc>
      </w:tr>
      <w:tr>
        <w:trPr>
          <w:trHeight w:val="203"/>
        </w:trPr>
        <w:tc>
          <w:tcPr>
            <w:tcW w:w="2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550-599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2,545</w:t>
            </w:r>
          </w:p>
        </w:tc>
      </w:tr>
      <w:tr>
        <w:trPr>
          <w:trHeight w:val="184"/>
        </w:trPr>
        <w:tc>
          <w:tcPr>
            <w:tcW w:w="2800" w:type="dxa"/>
            <w:vAlign w:val="bottom"/>
          </w:tcPr>
          <w:p>
            <w:pPr>
              <w:ind w:left="320"/>
              <w:spacing w:after="0"/>
              <w:rPr>
                <w:sz w:val="20"/>
                <w:szCs w:val="20"/>
                <w:color w:val="auto"/>
              </w:rPr>
            </w:pPr>
            <w:r>
              <w:rPr>
                <w:rFonts w:ascii="Arial" w:cs="Arial" w:eastAsia="Arial" w:hAnsi="Arial"/>
                <w:sz w:val="14"/>
                <w:szCs w:val="14"/>
                <w:color w:val="auto"/>
              </w:rPr>
              <w:t>500-549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1,600</w:t>
            </w:r>
          </w:p>
        </w:tc>
      </w:tr>
      <w:tr>
        <w:trPr>
          <w:trHeight w:val="203"/>
        </w:trPr>
        <w:tc>
          <w:tcPr>
            <w:tcW w:w="28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Under 500</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r>
      <w:tr>
        <w:trPr>
          <w:trHeight w:val="186"/>
        </w:trPr>
        <w:tc>
          <w:tcPr>
            <w:tcW w:w="2800" w:type="dxa"/>
            <w:vAlign w:val="bottom"/>
          </w:tcPr>
          <w:p>
            <w:pPr>
              <w:ind w:left="320"/>
              <w:spacing w:after="0"/>
              <w:rPr>
                <w:sz w:val="20"/>
                <w:szCs w:val="20"/>
                <w:color w:val="auto"/>
              </w:rPr>
            </w:pPr>
            <w:r>
              <w:rPr>
                <w:rFonts w:ascii="Arial" w:cs="Arial" w:eastAsia="Arial" w:hAnsi="Arial"/>
                <w:sz w:val="14"/>
                <w:szCs w:val="14"/>
                <w:color w:val="auto"/>
              </w:rPr>
              <w:t>Unknown</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701</w:t>
            </w:r>
          </w:p>
        </w:tc>
      </w:tr>
      <w:tr>
        <w:trPr>
          <w:trHeight w:val="218"/>
        </w:trPr>
        <w:tc>
          <w:tcPr>
            <w:tcW w:w="2800" w:type="dxa"/>
            <w:vAlign w:val="bottom"/>
            <w:tcBorders>
              <w:top w:val="single" w:sz="8" w:color="CCEEFF"/>
              <w:bottom w:val="single" w:sz="8" w:color="CCEEFF"/>
            </w:tcBorders>
            <w:shd w:val="clear" w:color="auto" w:fill="CCEEFF"/>
          </w:tcPr>
          <w:p>
            <w:pPr>
              <w:jc w:val="center"/>
              <w:ind w:right="1491"/>
              <w:spacing w:after="0"/>
              <w:rPr>
                <w:sz w:val="20"/>
                <w:szCs w:val="20"/>
                <w:color w:val="auto"/>
              </w:rPr>
            </w:pPr>
            <w:r>
              <w:rPr>
                <w:rFonts w:ascii="Arial" w:cs="Arial" w:eastAsia="Arial" w:hAnsi="Arial"/>
                <w:sz w:val="14"/>
                <w:szCs w:val="14"/>
                <w:color w:val="auto"/>
                <w:w w:val="89"/>
              </w:rPr>
              <w:t>Total</w:t>
            </w:r>
          </w:p>
        </w:tc>
        <w:tc>
          <w:tcPr>
            <w:tcW w:w="26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214,481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182,911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75,947</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59,530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42,029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55,192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630,090</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3"/>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Arial" w:cs="Arial" w:eastAsia="Arial" w:hAnsi="Arial"/>
                <w:sz w:val="14"/>
                <w:szCs w:val="14"/>
                <w:color w:val="auto"/>
              </w:rPr>
              <w:t>Accrued interest excluded from 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474</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423</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181</w:t>
            </w:r>
          </w:p>
        </w:tc>
        <w:tc>
          <w:tcPr>
            <w:tcW w:w="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155</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1,484</w:t>
            </w:r>
          </w:p>
        </w:tc>
      </w:tr>
      <w:tr>
        <w:trPr>
          <w:trHeight w:val="20"/>
        </w:trPr>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(1) Credit scores have been updated within the last twelve months.</w:t>
      </w:r>
    </w:p>
    <w:p>
      <w:pPr>
        <w:spacing w:after="0" w:line="19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Foreclosed residential real estate properties included in other real estate and repossessed assets on our Condensed Consolidated Statements of Financial Condition totaled $0.4 million and $0.4 million at September 30, 2023 and</w:t>
      </w:r>
    </w:p>
    <w:p>
      <w:pPr>
        <w:sectPr>
          <w:pgSz w:w="11900" w:h="16838" w:orient="portrait"/>
          <w:cols w:equalWidth="0" w:num="1">
            <w:col w:w="11240"/>
          </w:cols>
          <w:pgMar w:left="320" w:top="127" w:right="339" w:bottom="1440" w:gutter="0" w:footer="0" w:header="0"/>
        </w:sect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3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December 31, 2022, respectively. Retail mortgage loans secured by residential real estate properties for which formal foreclosure proceedings are in process according to local requirements totaled $0.3 million and $0.8 million at September 30, 2023 and December 31, 2022, respectively.</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During the nine month period ended September 30, 2023, we sold $51.5 million of portfolio residential mortgage loans servicing retained and recognized a gain (loss) on sale of $(0.15) million. No portfolio residential mortgage loans were sold during the three month period ended September 30, 2023. During the three and nine periods of 2022, we sold $22.7 million and $56.2 million, respectively, of portfolio residential mortgage loans servicing retained and recognized a gain (loss) on sale of $(0.15) million and $0.25 million respectively. These transactions were done primarily for asset/liability management purposes.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ind w:left="300" w:hanging="297"/>
        <w:spacing w:after="0"/>
        <w:tabs>
          <w:tab w:leader="none" w:pos="300"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Shareholders’ Equity and Earnings Per Common Share</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On December 20, 2022, our Board of Directors authorized a share repurchase plan (the “Repurchase Plan”) to buy back up to 1,100,000 shares of our outstanding common stock through December 31, 2023. Shares would be repurchased through open market transactions, though we could execute repurchases through other means, such as privately negotiated transactions. The timing and amount of any share repurchases will depend on a variety of factors, including, among others, securities law restrictions, the trading price of our common stock, regulatory requirements, potential alternative uses for capital, and our financial performance. During the nine month periods ended September 30, 2023 and 2022 repurchases were made totaling 288,401 shares and 181,586 shares of common stock, for an aggregate purchase price of $5.0 million and $4.0 million,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basic and diluted net income per common share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3140" w:type="dxa"/>
            <w:vAlign w:val="bottom"/>
            <w:gridSpan w:val="6"/>
          </w:tcPr>
          <w:p>
            <w:pPr>
              <w:ind w:left="800"/>
              <w:spacing w:after="0"/>
              <w:rPr>
                <w:sz w:val="20"/>
                <w:szCs w:val="20"/>
                <w:color w:val="auto"/>
              </w:rPr>
            </w:pPr>
            <w:r>
              <w:rPr>
                <w:rFonts w:ascii="Arial" w:cs="Arial" w:eastAsia="Arial" w:hAnsi="Arial"/>
                <w:sz w:val="17"/>
                <w:szCs w:val="17"/>
                <w:color w:val="auto"/>
              </w:rPr>
              <w:t>Three Months Ended</w:t>
            </w:r>
          </w:p>
        </w:tc>
        <w:tc>
          <w:tcPr>
            <w:tcW w:w="520" w:type="dxa"/>
            <w:vAlign w:val="bottom"/>
          </w:tcPr>
          <w:p>
            <w:pPr>
              <w:spacing w:after="0"/>
              <w:rPr>
                <w:sz w:val="16"/>
                <w:szCs w:val="16"/>
                <w:color w:val="auto"/>
              </w:rPr>
            </w:pPr>
          </w:p>
        </w:tc>
        <w:tc>
          <w:tcPr>
            <w:tcW w:w="2540" w:type="dxa"/>
            <w:vAlign w:val="bottom"/>
            <w:gridSpan w:val="4"/>
          </w:tcPr>
          <w:p>
            <w:pPr>
              <w:jc w:val="right"/>
              <w:ind w:right="754"/>
              <w:spacing w:after="0"/>
              <w:rPr>
                <w:sz w:val="20"/>
                <w:szCs w:val="20"/>
                <w:color w:val="auto"/>
              </w:rPr>
            </w:pPr>
            <w:r>
              <w:rPr>
                <w:rFonts w:ascii="Arial" w:cs="Arial" w:eastAsia="Arial" w:hAnsi="Arial"/>
                <w:sz w:val="17"/>
                <w:szCs w:val="17"/>
                <w:color w:val="auto"/>
              </w:rPr>
              <w:t>Nine Months Ended</w:t>
            </w:r>
          </w:p>
        </w:tc>
        <w:tc>
          <w:tcPr>
            <w:tcW w:w="0" w:type="dxa"/>
            <w:vAlign w:val="bottom"/>
          </w:tcPr>
          <w:p>
            <w:pPr>
              <w:spacing w:after="0"/>
              <w:rPr>
                <w:sz w:val="1"/>
                <w:szCs w:val="1"/>
                <w:color w:val="auto"/>
              </w:rPr>
            </w:pPr>
          </w:p>
        </w:tc>
      </w:tr>
      <w:tr>
        <w:trPr>
          <w:trHeight w:val="217"/>
        </w:trPr>
        <w:tc>
          <w:tcPr>
            <w:tcW w:w="5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7"/>
                <w:szCs w:val="17"/>
                <w:color w:val="auto"/>
                <w:w w:val="95"/>
              </w:rPr>
              <w:t>September 30,</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auto"/>
              </w:rPr>
              <w:t>September 30,</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2022</w:t>
            </w: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2023</w:t>
            </w: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40" w:type="dxa"/>
            <w:vAlign w:val="bottom"/>
            <w:gridSpan w:val="5"/>
          </w:tcPr>
          <w:p>
            <w:pPr>
              <w:ind w:left="300"/>
              <w:spacing w:after="0" w:line="175" w:lineRule="exact"/>
              <w:rPr>
                <w:sz w:val="20"/>
                <w:szCs w:val="20"/>
                <w:color w:val="auto"/>
              </w:rPr>
            </w:pPr>
            <w:r>
              <w:rPr>
                <w:rFonts w:ascii="Arial" w:cs="Arial" w:eastAsia="Arial" w:hAnsi="Arial"/>
                <w:sz w:val="17"/>
                <w:szCs w:val="17"/>
                <w:color w:val="auto"/>
              </w:rPr>
              <w:t>(In thousands, except</w:t>
            </w: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auto"/>
              </w:rPr>
              <w:t>per share data)</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17,543</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17,297</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45,324</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48,265</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shares outstanding (1)</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20,922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21,058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21,021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21,106</w:t>
            </w:r>
          </w:p>
        </w:tc>
        <w:tc>
          <w:tcPr>
            <w:tcW w:w="0" w:type="dxa"/>
            <w:vAlign w:val="bottom"/>
          </w:tcPr>
          <w:p>
            <w:pPr>
              <w:spacing w:after="0"/>
              <w:rPr>
                <w:sz w:val="1"/>
                <w:szCs w:val="1"/>
                <w:color w:val="auto"/>
              </w:rPr>
            </w:pPr>
          </w:p>
        </w:tc>
      </w:tr>
      <w:tr>
        <w:trPr>
          <w:trHeight w:val="181"/>
        </w:trPr>
        <w:tc>
          <w:tcPr>
            <w:tcW w:w="5040" w:type="dxa"/>
            <w:vAlign w:val="bottom"/>
          </w:tcPr>
          <w:p>
            <w:pPr>
              <w:ind w:left="180"/>
              <w:spacing w:after="0" w:line="181" w:lineRule="exact"/>
              <w:rPr>
                <w:sz w:val="20"/>
                <w:szCs w:val="20"/>
                <w:color w:val="auto"/>
              </w:rPr>
            </w:pPr>
            <w:r>
              <w:rPr>
                <w:rFonts w:ascii="Arial" w:cs="Arial" w:eastAsia="Arial" w:hAnsi="Arial"/>
                <w:sz w:val="17"/>
                <w:szCs w:val="17"/>
                <w:color w:val="auto"/>
              </w:rPr>
              <w:t>Stock units for deferred compensation plan for non-employee</w:t>
            </w: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040" w:type="dxa"/>
            <w:vAlign w:val="bottom"/>
          </w:tcPr>
          <w:p>
            <w:pPr>
              <w:ind w:left="320"/>
              <w:spacing w:after="0"/>
              <w:rPr>
                <w:sz w:val="20"/>
                <w:szCs w:val="20"/>
                <w:color w:val="auto"/>
              </w:rPr>
            </w:pPr>
            <w:r>
              <w:rPr>
                <w:rFonts w:ascii="Arial" w:cs="Arial" w:eastAsia="Arial" w:hAnsi="Arial"/>
                <w:sz w:val="17"/>
                <w:szCs w:val="17"/>
                <w:color w:val="auto"/>
              </w:rPr>
              <w:t>directors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163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139</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157</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Effect of stock options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18"/>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Performance share units</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162"/>
        </w:trPr>
        <w:tc>
          <w:tcPr>
            <w:tcW w:w="5040" w:type="dxa"/>
            <w:vAlign w:val="bottom"/>
            <w:shd w:val="clear" w:color="auto" w:fill="CCEEFF"/>
          </w:tcPr>
          <w:p>
            <w:pPr>
              <w:ind w:left="320"/>
              <w:spacing w:after="0" w:line="162" w:lineRule="exact"/>
              <w:rPr>
                <w:sz w:val="20"/>
                <w:szCs w:val="20"/>
                <w:color w:val="auto"/>
              </w:rPr>
            </w:pPr>
            <w:r>
              <w:rPr>
                <w:rFonts w:ascii="Arial" w:cs="Arial" w:eastAsia="Arial" w:hAnsi="Arial"/>
                <w:sz w:val="17"/>
                <w:szCs w:val="17"/>
                <w:color w:val="auto"/>
              </w:rPr>
              <w:t>Weighted average shares outstanding for calculation of diluted</w:t>
            </w:r>
          </w:p>
        </w:tc>
        <w:tc>
          <w:tcPr>
            <w:tcW w:w="94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8"/>
              </w:rPr>
              <w:t>21,114</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21,252</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21,207</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21,306</w:t>
            </w:r>
          </w:p>
        </w:tc>
        <w:tc>
          <w:tcPr>
            <w:tcW w:w="0" w:type="dxa"/>
            <w:vAlign w:val="bottom"/>
          </w:tcPr>
          <w:p>
            <w:pPr>
              <w:spacing w:after="0"/>
              <w:rPr>
                <w:sz w:val="1"/>
                <w:szCs w:val="1"/>
                <w:color w:val="auto"/>
              </w:rPr>
            </w:pPr>
          </w:p>
        </w:tc>
      </w:tr>
      <w:tr>
        <w:trPr>
          <w:trHeight w:val="213"/>
        </w:trPr>
        <w:tc>
          <w:tcPr>
            <w:tcW w:w="5040" w:type="dxa"/>
            <w:vAlign w:val="bottom"/>
            <w:tcBorders>
              <w:bottom w:val="single" w:sz="8" w:color="CCEEFF"/>
            </w:tcBorders>
            <w:shd w:val="clear" w:color="auto" w:fill="CCEEFF"/>
          </w:tcPr>
          <w:p>
            <w:pPr>
              <w:ind w:left="480"/>
              <w:spacing w:after="0" w:line="193" w:lineRule="exact"/>
              <w:rPr>
                <w:sz w:val="20"/>
                <w:szCs w:val="20"/>
                <w:color w:val="auto"/>
              </w:rPr>
            </w:pPr>
            <w:r>
              <w:rPr>
                <w:rFonts w:ascii="Arial" w:cs="Arial" w:eastAsia="Arial" w:hAnsi="Arial"/>
                <w:sz w:val="17"/>
                <w:szCs w:val="17"/>
                <w:color w:val="auto"/>
              </w:rPr>
              <w:t>earnings per share</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per common share</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Arial" w:cs="Arial" w:eastAsia="Arial" w:hAnsi="Arial"/>
                <w:sz w:val="17"/>
                <w:szCs w:val="17"/>
                <w:color w:val="auto"/>
              </w:rPr>
              <w:t>Basic (1)</w:t>
            </w:r>
          </w:p>
        </w:tc>
        <w:tc>
          <w:tcPr>
            <w:tcW w:w="940" w:type="dxa"/>
            <w:vAlign w:val="bottom"/>
            <w:tcBorders>
              <w:bottom w:val="single" w:sz="8" w:color="auto"/>
            </w:tcBorders>
          </w:tcPr>
          <w:p>
            <w:pPr>
              <w:jc w:val="right"/>
              <w:ind w:right="754"/>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0.84</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0.82</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0.83</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0.81</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(1) Basic net income per common share includes weighted average common shares outstanding during the period and participating share awards.</w:t>
      </w:r>
    </w:p>
    <w:p>
      <w:pPr>
        <w:spacing w:after="0" w:line="19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Weighted average stock options outstanding that were not considered in computing diluted net income per common share because they were anti-dilutive were zero for the three and nine month periods ended September 30, 2023 and 2022, respectively.</w:t>
      </w:r>
    </w:p>
    <w:p>
      <w:pPr>
        <w:spacing w:after="0" w:line="126" w:lineRule="exact"/>
        <w:rPr>
          <w:sz w:val="20"/>
          <w:szCs w:val="20"/>
          <w:color w:val="auto"/>
        </w:rPr>
      </w:pPr>
    </w:p>
    <w:p>
      <w:pPr>
        <w:ind w:left="300" w:hanging="297"/>
        <w:spacing w:after="0"/>
        <w:tabs>
          <w:tab w:leader="none" w:pos="300"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Derivative Financial Instruments</w:t>
      </w:r>
    </w:p>
    <w:p>
      <w:pPr>
        <w:spacing w:after="0" w:line="178" w:lineRule="exact"/>
        <w:rPr>
          <w:sz w:val="20"/>
          <w:szCs w:val="20"/>
          <w:color w:val="auto"/>
        </w:rPr>
      </w:pPr>
    </w:p>
    <w:p>
      <w:pPr>
        <w:spacing w:after="0" w:line="349" w:lineRule="auto"/>
        <w:rPr>
          <w:sz w:val="20"/>
          <w:szCs w:val="20"/>
          <w:color w:val="auto"/>
        </w:rPr>
      </w:pPr>
      <w:r>
        <w:rPr>
          <w:rFonts w:ascii="Arial" w:cs="Arial" w:eastAsia="Arial" w:hAnsi="Arial"/>
          <w:sz w:val="15"/>
          <w:szCs w:val="15"/>
          <w:color w:val="auto"/>
        </w:rPr>
        <w:t>We are required to record derivatives on our Condensed Consolidated Statements of Financial Condition as assets and liabilities measured at their fair value. The accounting for increases and decreases in the value of derivatives depends upon the use of derivatives and whether the derivatives qualify for hedge accounting.</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Our derivative financial instruments according to the type of hedge in which they are designated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September 30, 2023</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restart"/>
          </w:tcPr>
          <w:p>
            <w:pPr>
              <w:ind w:left="180"/>
              <w:spacing w:after="0"/>
              <w:rPr>
                <w:sz w:val="20"/>
                <w:szCs w:val="20"/>
                <w:color w:val="auto"/>
              </w:rPr>
            </w:pPr>
            <w:r>
              <w:rPr>
                <w:rFonts w:ascii="Arial" w:cs="Arial" w:eastAsia="Arial" w:hAnsi="Arial"/>
                <w:sz w:val="17"/>
                <w:szCs w:val="17"/>
                <w:color w:val="auto"/>
              </w:rPr>
              <w:t>Notional</w:t>
            </w:r>
          </w:p>
        </w:tc>
        <w:tc>
          <w:tcPr>
            <w:tcW w:w="1660" w:type="dxa"/>
            <w:vAlign w:val="bottom"/>
          </w:tcPr>
          <w:p>
            <w:pPr>
              <w:jc w:val="center"/>
              <w:spacing w:after="0" w:line="162" w:lineRule="exact"/>
              <w:rPr>
                <w:sz w:val="20"/>
                <w:szCs w:val="20"/>
                <w:color w:val="auto"/>
              </w:rPr>
            </w:pPr>
            <w:r>
              <w:rPr>
                <w:rFonts w:ascii="Arial" w:cs="Arial" w:eastAsia="Arial" w:hAnsi="Arial"/>
                <w:sz w:val="17"/>
                <w:szCs w:val="17"/>
                <w:color w:val="auto"/>
                <w:w w:val="91"/>
              </w:rPr>
              <w:t>Average</w:t>
            </w:r>
          </w:p>
        </w:tc>
        <w:tc>
          <w:tcPr>
            <w:tcW w:w="320" w:type="dxa"/>
            <w:vAlign w:val="bottom"/>
          </w:tcPr>
          <w:p>
            <w:pPr>
              <w:spacing w:after="0"/>
              <w:rPr>
                <w:sz w:val="14"/>
                <w:szCs w:val="14"/>
                <w:color w:val="auto"/>
              </w:rPr>
            </w:pPr>
          </w:p>
        </w:tc>
        <w:tc>
          <w:tcPr>
            <w:tcW w:w="1160" w:type="dxa"/>
            <w:vAlign w:val="bottom"/>
            <w:vMerge w:val="restart"/>
          </w:tcPr>
          <w:p>
            <w:pPr>
              <w:jc w:val="center"/>
              <w:ind w:right="234"/>
              <w:spacing w:after="0"/>
              <w:rPr>
                <w:sz w:val="20"/>
                <w:szCs w:val="20"/>
                <w:color w:val="auto"/>
              </w:rPr>
            </w:pPr>
            <w:r>
              <w:rPr>
                <w:rFonts w:ascii="Arial" w:cs="Arial" w:eastAsia="Arial" w:hAnsi="Arial"/>
                <w:sz w:val="17"/>
                <w:szCs w:val="17"/>
                <w:color w:val="auto"/>
                <w:w w:val="95"/>
              </w:rPr>
              <w:t>Fair</w:t>
            </w:r>
          </w:p>
        </w:tc>
        <w:tc>
          <w:tcPr>
            <w:tcW w:w="0" w:type="dxa"/>
            <w:vAlign w:val="bottom"/>
          </w:tcPr>
          <w:p>
            <w:pPr>
              <w:spacing w:after="0"/>
              <w:rPr>
                <w:sz w:val="1"/>
                <w:szCs w:val="1"/>
                <w:color w:val="auto"/>
              </w:rPr>
            </w:pPr>
          </w:p>
        </w:tc>
      </w:tr>
      <w:tr>
        <w:trPr>
          <w:trHeight w:val="168"/>
        </w:trPr>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660" w:type="dxa"/>
            <w:vAlign w:val="bottom"/>
          </w:tcPr>
          <w:p>
            <w:pPr>
              <w:jc w:val="center"/>
              <w:spacing w:after="0" w:line="167" w:lineRule="exact"/>
              <w:rPr>
                <w:sz w:val="20"/>
                <w:szCs w:val="20"/>
                <w:color w:val="auto"/>
              </w:rPr>
            </w:pPr>
            <w:r>
              <w:rPr>
                <w:rFonts w:ascii="Arial" w:cs="Arial" w:eastAsia="Arial" w:hAnsi="Arial"/>
                <w:sz w:val="17"/>
                <w:szCs w:val="17"/>
                <w:color w:val="auto"/>
                <w:w w:val="99"/>
              </w:rPr>
              <w:t>Maturity</w:t>
            </w: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Amount</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6"/>
              </w:rPr>
              <w:t>(years)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234"/>
              <w:spacing w:after="0"/>
              <w:rPr>
                <w:sz w:val="20"/>
                <w:szCs w:val="20"/>
                <w:color w:val="auto"/>
              </w:rPr>
            </w:pPr>
            <w:r>
              <w:rPr>
                <w:rFonts w:ascii="Arial" w:cs="Arial" w:eastAsia="Arial" w:hAnsi="Arial"/>
                <w:sz w:val="17"/>
                <w:szCs w:val="17"/>
                <w:color w:val="auto"/>
                <w:w w:val="91"/>
              </w:rPr>
              <w:t>Value</w:t>
            </w:r>
          </w:p>
        </w:tc>
        <w:tc>
          <w:tcPr>
            <w:tcW w:w="0" w:type="dxa"/>
            <w:vAlign w:val="bottom"/>
          </w:tcPr>
          <w:p>
            <w:pPr>
              <w:spacing w:after="0"/>
              <w:rPr>
                <w:sz w:val="1"/>
                <w:szCs w:val="1"/>
                <w:color w:val="auto"/>
              </w:rPr>
            </w:pPr>
          </w:p>
        </w:tc>
      </w:tr>
      <w:tr>
        <w:trPr>
          <w:trHeight w:val="218"/>
        </w:trPr>
        <w:tc>
          <w:tcPr>
            <w:tcW w:w="6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w w:val="93"/>
              </w:rPr>
              <w:t>(Dollars in thousands)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620" w:type="dxa"/>
            <w:vAlign w:val="bottom"/>
          </w:tcPr>
          <w:p>
            <w:pPr>
              <w:ind w:left="20"/>
              <w:spacing w:after="0"/>
              <w:rPr>
                <w:sz w:val="20"/>
                <w:szCs w:val="20"/>
                <w:color w:val="auto"/>
              </w:rPr>
            </w:pPr>
            <w:r>
              <w:rPr>
                <w:rFonts w:ascii="Arial" w:cs="Arial" w:eastAsia="Arial" w:hAnsi="Arial"/>
                <w:sz w:val="17"/>
                <w:szCs w:val="17"/>
                <w:color w:val="auto"/>
              </w:rPr>
              <w:t>Fair value hedge designation</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Pay-fixed interest rate swap agreement - commercial</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6,127</w:t>
            </w:r>
          </w:p>
        </w:tc>
        <w:tc>
          <w:tcPr>
            <w:tcW w:w="16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5.6</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w:t>
            </w:r>
          </w:p>
        </w:tc>
        <w:tc>
          <w:tcPr>
            <w:tcW w:w="0" w:type="dxa"/>
            <w:vAlign w:val="bottom"/>
          </w:tcPr>
          <w:p>
            <w:pPr>
              <w:spacing w:after="0"/>
              <w:rPr>
                <w:sz w:val="1"/>
                <w:szCs w:val="1"/>
                <w:color w:val="auto"/>
              </w:rPr>
            </w:pPr>
          </w:p>
        </w:tc>
      </w:tr>
      <w:tr>
        <w:trPr>
          <w:trHeight w:val="218"/>
        </w:trPr>
        <w:tc>
          <w:tcPr>
            <w:tcW w:w="6620" w:type="dxa"/>
            <w:vAlign w:val="bottom"/>
          </w:tcPr>
          <w:p>
            <w:pPr>
              <w:ind w:left="180"/>
              <w:spacing w:after="0"/>
              <w:rPr>
                <w:sz w:val="20"/>
                <w:szCs w:val="20"/>
                <w:color w:val="auto"/>
              </w:rPr>
            </w:pPr>
            <w:r>
              <w:rPr>
                <w:rFonts w:ascii="Arial" w:cs="Arial" w:eastAsia="Arial" w:hAnsi="Arial"/>
                <w:sz w:val="17"/>
                <w:szCs w:val="17"/>
                <w:color w:val="auto"/>
              </w:rPr>
              <w:t>Pay-fixed interest rate swap agreements - securities available for sale</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148,895</w:t>
            </w:r>
          </w:p>
        </w:tc>
        <w:tc>
          <w:tcPr>
            <w:tcW w:w="1660" w:type="dxa"/>
            <w:vAlign w:val="bottom"/>
          </w:tcPr>
          <w:p>
            <w:pPr>
              <w:jc w:val="right"/>
              <w:ind w:right="14"/>
              <w:spacing w:after="0"/>
              <w:rPr>
                <w:sz w:val="20"/>
                <w:szCs w:val="20"/>
                <w:color w:val="auto"/>
              </w:rPr>
            </w:pPr>
            <w:r>
              <w:rPr>
                <w:rFonts w:ascii="Arial" w:cs="Arial" w:eastAsia="Arial" w:hAnsi="Arial"/>
                <w:sz w:val="17"/>
                <w:szCs w:val="17"/>
                <w:color w:val="auto"/>
              </w:rPr>
              <w:t>4.1</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20,456</w:t>
            </w:r>
          </w:p>
        </w:tc>
        <w:tc>
          <w:tcPr>
            <w:tcW w:w="0" w:type="dxa"/>
            <w:vAlign w:val="bottom"/>
          </w:tcPr>
          <w:p>
            <w:pPr>
              <w:spacing w:after="0"/>
              <w:rPr>
                <w:sz w:val="1"/>
                <w:szCs w:val="1"/>
                <w:color w:val="auto"/>
              </w:rPr>
            </w:pPr>
          </w:p>
        </w:tc>
      </w:tr>
      <w:tr>
        <w:trPr>
          <w:trHeight w:val="220"/>
        </w:trPr>
        <w:tc>
          <w:tcPr>
            <w:tcW w:w="6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Pay-fixed interest rate swap agreements - installment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16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3.7</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1,439</w:t>
            </w:r>
          </w:p>
        </w:tc>
        <w:tc>
          <w:tcPr>
            <w:tcW w:w="0" w:type="dxa"/>
            <w:vAlign w:val="bottom"/>
          </w:tcPr>
          <w:p>
            <w:pPr>
              <w:spacing w:after="0"/>
              <w:rPr>
                <w:sz w:val="1"/>
                <w:szCs w:val="1"/>
                <w:color w:val="auto"/>
              </w:rPr>
            </w:pPr>
          </w:p>
        </w:tc>
      </w:tr>
      <w:tr>
        <w:trPr>
          <w:trHeight w:val="218"/>
        </w:trPr>
        <w:tc>
          <w:tcPr>
            <w:tcW w:w="6620" w:type="dxa"/>
            <w:vAlign w:val="bottom"/>
          </w:tcPr>
          <w:p>
            <w:pPr>
              <w:ind w:left="180"/>
              <w:spacing w:after="0"/>
              <w:rPr>
                <w:sz w:val="20"/>
                <w:szCs w:val="20"/>
                <w:color w:val="auto"/>
              </w:rPr>
            </w:pPr>
            <w:r>
              <w:rPr>
                <w:rFonts w:ascii="Arial" w:cs="Arial" w:eastAsia="Arial" w:hAnsi="Arial"/>
                <w:sz w:val="17"/>
                <w:szCs w:val="17"/>
                <w:color w:val="auto"/>
              </w:rPr>
              <w:t>Pay-fixed interest rate swap agreements - mortgage</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75,000</w:t>
            </w:r>
          </w:p>
        </w:tc>
        <w:tc>
          <w:tcPr>
            <w:tcW w:w="1660" w:type="dxa"/>
            <w:vAlign w:val="bottom"/>
          </w:tcPr>
          <w:p>
            <w:pPr>
              <w:jc w:val="right"/>
              <w:ind w:right="14"/>
              <w:spacing w:after="0"/>
              <w:rPr>
                <w:sz w:val="20"/>
                <w:szCs w:val="20"/>
                <w:color w:val="auto"/>
              </w:rPr>
            </w:pPr>
            <w:r>
              <w:rPr>
                <w:rFonts w:ascii="Arial" w:cs="Arial" w:eastAsia="Arial" w:hAnsi="Arial"/>
                <w:sz w:val="17"/>
                <w:szCs w:val="17"/>
                <w:color w:val="auto"/>
              </w:rPr>
              <w:t>4.9</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785</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rate cap agreements - securities available for sale</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40,970</w:t>
            </w:r>
          </w:p>
        </w:tc>
        <w:tc>
          <w:tcPr>
            <w:tcW w:w="16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4.6</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1,062</w:t>
            </w:r>
          </w:p>
        </w:tc>
        <w:tc>
          <w:tcPr>
            <w:tcW w:w="0" w:type="dxa"/>
            <w:vAlign w:val="bottom"/>
          </w:tcPr>
          <w:p>
            <w:pPr>
              <w:spacing w:after="0"/>
              <w:rPr>
                <w:sz w:val="1"/>
                <w:szCs w:val="1"/>
                <w:color w:val="auto"/>
              </w:rPr>
            </w:pPr>
          </w:p>
        </w:tc>
      </w:tr>
      <w:tr>
        <w:trPr>
          <w:trHeight w:val="213"/>
        </w:trPr>
        <w:tc>
          <w:tcPr>
            <w:tcW w:w="6620" w:type="dxa"/>
            <w:vAlign w:val="bottom"/>
          </w:tcPr>
          <w:p>
            <w:pPr>
              <w:ind w:left="320"/>
              <w:spacing w:after="0"/>
              <w:rPr>
                <w:sz w:val="20"/>
                <w:szCs w:val="20"/>
                <w:color w:val="auto"/>
              </w:rPr>
            </w:pPr>
            <w:r>
              <w:rPr>
                <w:rFonts w:ascii="Arial" w:cs="Arial" w:eastAsia="Arial" w:hAnsi="Arial"/>
                <w:sz w:val="17"/>
                <w:szCs w:val="17"/>
                <w:color w:val="auto"/>
              </w:rPr>
              <w:t>Total</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370,992</w:t>
            </w:r>
          </w:p>
        </w:tc>
        <w:tc>
          <w:tcPr>
            <w:tcW w:w="1660" w:type="dxa"/>
            <w:vAlign w:val="bottom"/>
          </w:tcPr>
          <w:p>
            <w:pPr>
              <w:jc w:val="right"/>
              <w:ind w:right="14"/>
              <w:spacing w:after="0"/>
              <w:rPr>
                <w:sz w:val="20"/>
                <w:szCs w:val="20"/>
                <w:color w:val="auto"/>
              </w:rPr>
            </w:pPr>
            <w:r>
              <w:rPr>
                <w:rFonts w:ascii="Arial" w:cs="Arial" w:eastAsia="Arial" w:hAnsi="Arial"/>
                <w:sz w:val="17"/>
                <w:szCs w:val="17"/>
                <w:color w:val="auto"/>
              </w:rPr>
              <w:t>4.2</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24,302</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620" w:type="dxa"/>
            <w:vAlign w:val="bottom"/>
          </w:tcPr>
          <w:p>
            <w:pPr>
              <w:ind w:left="20"/>
              <w:spacing w:after="0"/>
              <w:rPr>
                <w:sz w:val="20"/>
                <w:szCs w:val="20"/>
                <w:color w:val="auto"/>
              </w:rPr>
            </w:pPr>
            <w:r>
              <w:rPr>
                <w:rFonts w:ascii="Arial" w:cs="Arial" w:eastAsia="Arial" w:hAnsi="Arial"/>
                <w:sz w:val="17"/>
                <w:szCs w:val="17"/>
                <w:color w:val="auto"/>
              </w:rPr>
              <w:t>Cash flow hedge designation</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Interest rate floor agreements - commercial</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75,000</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3.9</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1,398</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 hedge designation</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620" w:type="dxa"/>
            <w:vAlign w:val="bottom"/>
          </w:tcPr>
          <w:p>
            <w:pPr>
              <w:ind w:left="180"/>
              <w:spacing w:after="0"/>
              <w:rPr>
                <w:sz w:val="20"/>
                <w:szCs w:val="20"/>
                <w:color w:val="auto"/>
              </w:rPr>
            </w:pPr>
            <w:r>
              <w:rPr>
                <w:rFonts w:ascii="Arial" w:cs="Arial" w:eastAsia="Arial" w:hAnsi="Arial"/>
                <w:sz w:val="17"/>
                <w:szCs w:val="17"/>
                <w:color w:val="auto"/>
              </w:rPr>
              <w:t>Rate-lock mortgage loan commitments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28,704</w:t>
            </w:r>
          </w:p>
        </w:tc>
        <w:tc>
          <w:tcPr>
            <w:tcW w:w="1660" w:type="dxa"/>
            <w:vAlign w:val="bottom"/>
          </w:tcPr>
          <w:p>
            <w:pPr>
              <w:jc w:val="right"/>
              <w:ind w:right="14"/>
              <w:spacing w:after="0"/>
              <w:rPr>
                <w:sz w:val="20"/>
                <w:szCs w:val="20"/>
                <w:color w:val="auto"/>
              </w:rPr>
            </w:pPr>
            <w:r>
              <w:rPr>
                <w:rFonts w:ascii="Arial" w:cs="Arial" w:eastAsia="Arial" w:hAnsi="Arial"/>
                <w:sz w:val="17"/>
                <w:szCs w:val="17"/>
                <w:color w:val="auto"/>
              </w:rPr>
              <w:t>0.1</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220"/>
        </w:trPr>
        <w:tc>
          <w:tcPr>
            <w:tcW w:w="6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Mandatory commitments to sell mortgage loans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41,034</w:t>
            </w:r>
          </w:p>
        </w:tc>
        <w:tc>
          <w:tcPr>
            <w:tcW w:w="16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0.1</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w:t>
            </w:r>
          </w:p>
        </w:tc>
        <w:tc>
          <w:tcPr>
            <w:tcW w:w="0" w:type="dxa"/>
            <w:vAlign w:val="bottom"/>
          </w:tcPr>
          <w:p>
            <w:pPr>
              <w:spacing w:after="0"/>
              <w:rPr>
                <w:sz w:val="1"/>
                <w:szCs w:val="1"/>
                <w:color w:val="auto"/>
              </w:rPr>
            </w:pPr>
          </w:p>
        </w:tc>
      </w:tr>
      <w:tr>
        <w:trPr>
          <w:trHeight w:val="218"/>
        </w:trPr>
        <w:tc>
          <w:tcPr>
            <w:tcW w:w="6620" w:type="dxa"/>
            <w:vAlign w:val="bottom"/>
          </w:tcPr>
          <w:p>
            <w:pPr>
              <w:ind w:left="180"/>
              <w:spacing w:after="0"/>
              <w:rPr>
                <w:sz w:val="20"/>
                <w:szCs w:val="20"/>
                <w:color w:val="auto"/>
              </w:rPr>
            </w:pPr>
            <w:r>
              <w:rPr>
                <w:rFonts w:ascii="Arial" w:cs="Arial" w:eastAsia="Arial" w:hAnsi="Arial"/>
                <w:sz w:val="17"/>
                <w:szCs w:val="17"/>
                <w:color w:val="auto"/>
              </w:rPr>
              <w:t>Pay-fixed interest rate swap agreements - commercial</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348,825</w:t>
            </w:r>
          </w:p>
        </w:tc>
        <w:tc>
          <w:tcPr>
            <w:tcW w:w="1660" w:type="dxa"/>
            <w:vAlign w:val="bottom"/>
          </w:tcPr>
          <w:p>
            <w:pPr>
              <w:jc w:val="right"/>
              <w:ind w:right="14"/>
              <w:spacing w:after="0"/>
              <w:rPr>
                <w:sz w:val="20"/>
                <w:szCs w:val="20"/>
                <w:color w:val="auto"/>
              </w:rPr>
            </w:pPr>
            <w:r>
              <w:rPr>
                <w:rFonts w:ascii="Arial" w:cs="Arial" w:eastAsia="Arial" w:hAnsi="Arial"/>
                <w:sz w:val="17"/>
                <w:szCs w:val="17"/>
                <w:color w:val="auto"/>
              </w:rPr>
              <w:t>5.8</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21,757</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Pay-variable interest rate swap agreements - commercial</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348,825</w:t>
            </w:r>
          </w:p>
        </w:tc>
        <w:tc>
          <w:tcPr>
            <w:tcW w:w="16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5.8</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(21,757)</w:t>
            </w:r>
          </w:p>
        </w:tc>
        <w:tc>
          <w:tcPr>
            <w:tcW w:w="0" w:type="dxa"/>
            <w:vAlign w:val="bottom"/>
          </w:tcPr>
          <w:p>
            <w:pPr>
              <w:spacing w:after="0"/>
              <w:rPr>
                <w:sz w:val="1"/>
                <w:szCs w:val="1"/>
                <w:color w:val="auto"/>
              </w:rPr>
            </w:pPr>
          </w:p>
        </w:tc>
      </w:tr>
      <w:tr>
        <w:trPr>
          <w:trHeight w:val="213"/>
        </w:trPr>
        <w:tc>
          <w:tcPr>
            <w:tcW w:w="6620" w:type="dxa"/>
            <w:vAlign w:val="bottom"/>
          </w:tcPr>
          <w:p>
            <w:pPr>
              <w:ind w:left="320"/>
              <w:spacing w:after="0"/>
              <w:rPr>
                <w:sz w:val="20"/>
                <w:szCs w:val="20"/>
                <w:color w:val="auto"/>
              </w:rPr>
            </w:pPr>
            <w:r>
              <w:rPr>
                <w:rFonts w:ascii="Arial" w:cs="Arial" w:eastAsia="Arial" w:hAnsi="Arial"/>
                <w:sz w:val="17"/>
                <w:szCs w:val="17"/>
                <w:color w:val="auto"/>
              </w:rPr>
              <w:t>Total</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767,388</w:t>
            </w:r>
          </w:p>
        </w:tc>
        <w:tc>
          <w:tcPr>
            <w:tcW w:w="1660" w:type="dxa"/>
            <w:vAlign w:val="bottom"/>
          </w:tcPr>
          <w:p>
            <w:pPr>
              <w:jc w:val="right"/>
              <w:ind w:right="14"/>
              <w:spacing w:after="0"/>
              <w:rPr>
                <w:sz w:val="20"/>
                <w:szCs w:val="20"/>
                <w:color w:val="auto"/>
              </w:rPr>
            </w:pPr>
            <w:r>
              <w:rPr>
                <w:rFonts w:ascii="Arial" w:cs="Arial" w:eastAsia="Arial" w:hAnsi="Arial"/>
                <w:sz w:val="17"/>
                <w:szCs w:val="17"/>
                <w:color w:val="auto"/>
              </w:rPr>
              <w:t>5.3</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344</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60" w:type="dxa"/>
            <w:vAlign w:val="bottom"/>
            <w:vMerge w:val="restart"/>
          </w:tcPr>
          <w:p>
            <w:pPr>
              <w:jc w:val="center"/>
              <w:spacing w:after="0"/>
              <w:rPr>
                <w:sz w:val="20"/>
                <w:szCs w:val="20"/>
                <w:color w:val="auto"/>
              </w:rPr>
            </w:pPr>
            <w:r>
              <w:rPr>
                <w:rFonts w:ascii="Arial" w:cs="Arial" w:eastAsia="Arial" w:hAnsi="Arial"/>
                <w:sz w:val="17"/>
                <w:szCs w:val="17"/>
                <w:color w:val="auto"/>
                <w:w w:val="89"/>
              </w:rPr>
              <w:t>December 31, 2022</w:t>
            </w: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66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restart"/>
          </w:tcPr>
          <w:p>
            <w:pPr>
              <w:ind w:left="180"/>
              <w:spacing w:after="0"/>
              <w:rPr>
                <w:sz w:val="20"/>
                <w:szCs w:val="20"/>
                <w:color w:val="auto"/>
              </w:rPr>
            </w:pPr>
            <w:r>
              <w:rPr>
                <w:rFonts w:ascii="Arial" w:cs="Arial" w:eastAsia="Arial" w:hAnsi="Arial"/>
                <w:sz w:val="17"/>
                <w:szCs w:val="17"/>
                <w:color w:val="auto"/>
              </w:rPr>
              <w:t>Notional</w:t>
            </w:r>
          </w:p>
        </w:tc>
        <w:tc>
          <w:tcPr>
            <w:tcW w:w="1660" w:type="dxa"/>
            <w:vAlign w:val="bottom"/>
          </w:tcPr>
          <w:p>
            <w:pPr>
              <w:jc w:val="center"/>
              <w:spacing w:after="0" w:line="162" w:lineRule="exact"/>
              <w:rPr>
                <w:sz w:val="20"/>
                <w:szCs w:val="20"/>
                <w:color w:val="auto"/>
              </w:rPr>
            </w:pPr>
            <w:r>
              <w:rPr>
                <w:rFonts w:ascii="Arial" w:cs="Arial" w:eastAsia="Arial" w:hAnsi="Arial"/>
                <w:sz w:val="17"/>
                <w:szCs w:val="17"/>
                <w:color w:val="auto"/>
                <w:w w:val="91"/>
              </w:rPr>
              <w:t>Average</w:t>
            </w:r>
          </w:p>
        </w:tc>
        <w:tc>
          <w:tcPr>
            <w:tcW w:w="320" w:type="dxa"/>
            <w:vAlign w:val="bottom"/>
          </w:tcPr>
          <w:p>
            <w:pPr>
              <w:spacing w:after="0"/>
              <w:rPr>
                <w:sz w:val="14"/>
                <w:szCs w:val="14"/>
                <w:color w:val="auto"/>
              </w:rPr>
            </w:pPr>
          </w:p>
        </w:tc>
        <w:tc>
          <w:tcPr>
            <w:tcW w:w="1160" w:type="dxa"/>
            <w:vAlign w:val="bottom"/>
            <w:vMerge w:val="restart"/>
          </w:tcPr>
          <w:p>
            <w:pPr>
              <w:jc w:val="center"/>
              <w:ind w:right="234"/>
              <w:spacing w:after="0"/>
              <w:rPr>
                <w:sz w:val="20"/>
                <w:szCs w:val="20"/>
                <w:color w:val="auto"/>
              </w:rPr>
            </w:pPr>
            <w:r>
              <w:rPr>
                <w:rFonts w:ascii="Arial" w:cs="Arial" w:eastAsia="Arial" w:hAnsi="Arial"/>
                <w:sz w:val="17"/>
                <w:szCs w:val="17"/>
                <w:color w:val="auto"/>
                <w:w w:val="95"/>
              </w:rPr>
              <w:t>Fair</w:t>
            </w:r>
          </w:p>
        </w:tc>
        <w:tc>
          <w:tcPr>
            <w:tcW w:w="0" w:type="dxa"/>
            <w:vAlign w:val="bottom"/>
          </w:tcPr>
          <w:p>
            <w:pPr>
              <w:spacing w:after="0"/>
              <w:rPr>
                <w:sz w:val="1"/>
                <w:szCs w:val="1"/>
                <w:color w:val="auto"/>
              </w:rPr>
            </w:pPr>
          </w:p>
        </w:tc>
      </w:tr>
      <w:tr>
        <w:trPr>
          <w:trHeight w:val="168"/>
        </w:trPr>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660" w:type="dxa"/>
            <w:vAlign w:val="bottom"/>
          </w:tcPr>
          <w:p>
            <w:pPr>
              <w:jc w:val="center"/>
              <w:spacing w:after="0" w:line="167" w:lineRule="exact"/>
              <w:rPr>
                <w:sz w:val="20"/>
                <w:szCs w:val="20"/>
                <w:color w:val="auto"/>
              </w:rPr>
            </w:pPr>
            <w:r>
              <w:rPr>
                <w:rFonts w:ascii="Arial" w:cs="Arial" w:eastAsia="Arial" w:hAnsi="Arial"/>
                <w:sz w:val="17"/>
                <w:szCs w:val="17"/>
                <w:color w:val="auto"/>
                <w:w w:val="99"/>
              </w:rPr>
              <w:t>Maturity</w:t>
            </w: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Amount</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6"/>
              </w:rPr>
              <w:t>(years)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234"/>
              <w:spacing w:after="0"/>
              <w:rPr>
                <w:sz w:val="20"/>
                <w:szCs w:val="20"/>
                <w:color w:val="auto"/>
              </w:rPr>
            </w:pPr>
            <w:r>
              <w:rPr>
                <w:rFonts w:ascii="Arial" w:cs="Arial" w:eastAsia="Arial" w:hAnsi="Arial"/>
                <w:sz w:val="17"/>
                <w:szCs w:val="17"/>
                <w:color w:val="auto"/>
                <w:w w:val="91"/>
              </w:rPr>
              <w:t>Value</w:t>
            </w:r>
          </w:p>
        </w:tc>
        <w:tc>
          <w:tcPr>
            <w:tcW w:w="0" w:type="dxa"/>
            <w:vAlign w:val="bottom"/>
          </w:tcPr>
          <w:p>
            <w:pPr>
              <w:spacing w:after="0"/>
              <w:rPr>
                <w:sz w:val="1"/>
                <w:szCs w:val="1"/>
                <w:color w:val="auto"/>
              </w:rPr>
            </w:pPr>
          </w:p>
        </w:tc>
      </w:tr>
      <w:tr>
        <w:trPr>
          <w:trHeight w:val="218"/>
        </w:trPr>
        <w:tc>
          <w:tcPr>
            <w:tcW w:w="6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w w:val="93"/>
              </w:rPr>
              <w:t>(Dollars in thousands)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hedge designation</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620" w:type="dxa"/>
            <w:vAlign w:val="bottom"/>
          </w:tcPr>
          <w:p>
            <w:pPr>
              <w:ind w:left="180"/>
              <w:spacing w:after="0"/>
              <w:rPr>
                <w:sz w:val="20"/>
                <w:szCs w:val="20"/>
                <w:color w:val="auto"/>
              </w:rPr>
            </w:pPr>
            <w:r>
              <w:rPr>
                <w:rFonts w:ascii="Arial" w:cs="Arial" w:eastAsia="Arial" w:hAnsi="Arial"/>
                <w:sz w:val="17"/>
                <w:szCs w:val="17"/>
                <w:color w:val="auto"/>
              </w:rPr>
              <w:t>Pay-fixed interest rate swap agreement - commercial</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6,401</w:t>
            </w:r>
          </w:p>
        </w:tc>
        <w:tc>
          <w:tcPr>
            <w:tcW w:w="1660" w:type="dxa"/>
            <w:vAlign w:val="bottom"/>
          </w:tcPr>
          <w:p>
            <w:pPr>
              <w:jc w:val="right"/>
              <w:ind w:right="14"/>
              <w:spacing w:after="0"/>
              <w:rPr>
                <w:sz w:val="20"/>
                <w:szCs w:val="20"/>
                <w:color w:val="auto"/>
              </w:rPr>
            </w:pPr>
            <w:r>
              <w:rPr>
                <w:rFonts w:ascii="Arial" w:cs="Arial" w:eastAsia="Arial" w:hAnsi="Arial"/>
                <w:sz w:val="17"/>
                <w:szCs w:val="17"/>
                <w:color w:val="auto"/>
              </w:rPr>
              <w:t>6.4</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447</w:t>
            </w:r>
          </w:p>
        </w:tc>
        <w:tc>
          <w:tcPr>
            <w:tcW w:w="0" w:type="dxa"/>
            <w:vAlign w:val="bottom"/>
          </w:tcPr>
          <w:p>
            <w:pPr>
              <w:spacing w:after="0"/>
              <w:rPr>
                <w:sz w:val="1"/>
                <w:szCs w:val="1"/>
                <w:color w:val="auto"/>
              </w:rPr>
            </w:pPr>
          </w:p>
        </w:tc>
      </w:tr>
      <w:tr>
        <w:trPr>
          <w:trHeight w:val="220"/>
        </w:trPr>
        <w:tc>
          <w:tcPr>
            <w:tcW w:w="6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Pay-fixed interest rate swap agreements - securities available for sale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148,895</w:t>
            </w:r>
          </w:p>
        </w:tc>
        <w:tc>
          <w:tcPr>
            <w:tcW w:w="16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4.8</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19,906</w:t>
            </w:r>
          </w:p>
        </w:tc>
        <w:tc>
          <w:tcPr>
            <w:tcW w:w="0" w:type="dxa"/>
            <w:vAlign w:val="bottom"/>
          </w:tcPr>
          <w:p>
            <w:pPr>
              <w:spacing w:after="0"/>
              <w:rPr>
                <w:sz w:val="1"/>
                <w:szCs w:val="1"/>
                <w:color w:val="auto"/>
              </w:rPr>
            </w:pPr>
          </w:p>
        </w:tc>
      </w:tr>
      <w:tr>
        <w:trPr>
          <w:trHeight w:val="218"/>
        </w:trPr>
        <w:tc>
          <w:tcPr>
            <w:tcW w:w="6620" w:type="dxa"/>
            <w:vAlign w:val="bottom"/>
          </w:tcPr>
          <w:p>
            <w:pPr>
              <w:ind w:left="180"/>
              <w:spacing w:after="0"/>
              <w:rPr>
                <w:sz w:val="20"/>
                <w:szCs w:val="20"/>
                <w:color w:val="auto"/>
              </w:rPr>
            </w:pPr>
            <w:r>
              <w:rPr>
                <w:rFonts w:ascii="Arial" w:cs="Arial" w:eastAsia="Arial" w:hAnsi="Arial"/>
                <w:sz w:val="17"/>
                <w:szCs w:val="17"/>
                <w:color w:val="auto"/>
              </w:rPr>
              <w:t>Pay-fixed interest rate swap agreements - installment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25,000</w:t>
            </w:r>
          </w:p>
        </w:tc>
        <w:tc>
          <w:tcPr>
            <w:tcW w:w="1660" w:type="dxa"/>
            <w:vAlign w:val="bottom"/>
          </w:tcPr>
          <w:p>
            <w:pPr>
              <w:jc w:val="right"/>
              <w:ind w:right="14"/>
              <w:spacing w:after="0"/>
              <w:rPr>
                <w:sz w:val="20"/>
                <w:szCs w:val="20"/>
                <w:color w:val="auto"/>
              </w:rPr>
            </w:pPr>
            <w:r>
              <w:rPr>
                <w:rFonts w:ascii="Arial" w:cs="Arial" w:eastAsia="Arial" w:hAnsi="Arial"/>
                <w:sz w:val="17"/>
                <w:szCs w:val="17"/>
                <w:color w:val="auto"/>
              </w:rPr>
              <w:t>2.0</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rate cap agreements - securities available for sale</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40,970</w:t>
            </w:r>
          </w:p>
        </w:tc>
        <w:tc>
          <w:tcPr>
            <w:tcW w:w="16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5.3</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931</w:t>
            </w:r>
          </w:p>
        </w:tc>
        <w:tc>
          <w:tcPr>
            <w:tcW w:w="0" w:type="dxa"/>
            <w:vAlign w:val="bottom"/>
          </w:tcPr>
          <w:p>
            <w:pPr>
              <w:spacing w:after="0"/>
              <w:rPr>
                <w:sz w:val="1"/>
                <w:szCs w:val="1"/>
                <w:color w:val="auto"/>
              </w:rPr>
            </w:pPr>
          </w:p>
        </w:tc>
      </w:tr>
      <w:tr>
        <w:trPr>
          <w:trHeight w:val="213"/>
        </w:trPr>
        <w:tc>
          <w:tcPr>
            <w:tcW w:w="6620" w:type="dxa"/>
            <w:vAlign w:val="bottom"/>
          </w:tcPr>
          <w:p>
            <w:pPr>
              <w:ind w:left="320"/>
              <w:spacing w:after="0"/>
              <w:rPr>
                <w:sz w:val="20"/>
                <w:szCs w:val="20"/>
                <w:color w:val="auto"/>
              </w:rPr>
            </w:pPr>
            <w:r>
              <w:rPr>
                <w:rFonts w:ascii="Arial" w:cs="Arial" w:eastAsia="Arial" w:hAnsi="Arial"/>
                <w:sz w:val="17"/>
                <w:szCs w:val="17"/>
                <w:color w:val="auto"/>
              </w:rPr>
              <w:t>Total</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221,266</w:t>
            </w:r>
          </w:p>
        </w:tc>
        <w:tc>
          <w:tcPr>
            <w:tcW w:w="1660" w:type="dxa"/>
            <w:vAlign w:val="bottom"/>
          </w:tcPr>
          <w:p>
            <w:pPr>
              <w:jc w:val="right"/>
              <w:ind w:right="14"/>
              <w:spacing w:after="0"/>
              <w:rPr>
                <w:sz w:val="20"/>
                <w:szCs w:val="20"/>
                <w:color w:val="auto"/>
              </w:rPr>
            </w:pPr>
            <w:r>
              <w:rPr>
                <w:rFonts w:ascii="Arial" w:cs="Arial" w:eastAsia="Arial" w:hAnsi="Arial"/>
                <w:sz w:val="17"/>
                <w:szCs w:val="17"/>
                <w:color w:val="auto"/>
              </w:rPr>
              <w:t>4.6</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21,361</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620" w:type="dxa"/>
            <w:vAlign w:val="bottom"/>
          </w:tcPr>
          <w:p>
            <w:pPr>
              <w:ind w:left="20"/>
              <w:spacing w:after="0"/>
              <w:rPr>
                <w:sz w:val="20"/>
                <w:szCs w:val="20"/>
                <w:color w:val="auto"/>
              </w:rPr>
            </w:pPr>
            <w:r>
              <w:rPr>
                <w:rFonts w:ascii="Arial" w:cs="Arial" w:eastAsia="Arial" w:hAnsi="Arial"/>
                <w:sz w:val="17"/>
                <w:szCs w:val="17"/>
                <w:color w:val="auto"/>
              </w:rPr>
              <w:t>No hedge designation</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Rate-lock mortgage loan commitments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19,918</w:t>
            </w:r>
          </w:p>
        </w:tc>
        <w:tc>
          <w:tcPr>
            <w:tcW w:w="16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0.1</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(1,056)</w:t>
            </w:r>
          </w:p>
        </w:tc>
        <w:tc>
          <w:tcPr>
            <w:tcW w:w="0" w:type="dxa"/>
            <w:vAlign w:val="bottom"/>
          </w:tcPr>
          <w:p>
            <w:pPr>
              <w:spacing w:after="0"/>
              <w:rPr>
                <w:sz w:val="1"/>
                <w:szCs w:val="1"/>
                <w:color w:val="auto"/>
              </w:rPr>
            </w:pPr>
          </w:p>
        </w:tc>
      </w:tr>
      <w:tr>
        <w:trPr>
          <w:trHeight w:val="218"/>
        </w:trPr>
        <w:tc>
          <w:tcPr>
            <w:tcW w:w="6620" w:type="dxa"/>
            <w:vAlign w:val="bottom"/>
          </w:tcPr>
          <w:p>
            <w:pPr>
              <w:ind w:left="180"/>
              <w:spacing w:after="0"/>
              <w:rPr>
                <w:sz w:val="20"/>
                <w:szCs w:val="20"/>
                <w:color w:val="auto"/>
              </w:rPr>
            </w:pPr>
            <w:r>
              <w:rPr>
                <w:rFonts w:ascii="Arial" w:cs="Arial" w:eastAsia="Arial" w:hAnsi="Arial"/>
                <w:sz w:val="17"/>
                <w:szCs w:val="17"/>
                <w:color w:val="auto"/>
              </w:rPr>
              <w:t>Mandatory commitments to sell mortgage loans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49,258</w:t>
            </w:r>
          </w:p>
        </w:tc>
        <w:tc>
          <w:tcPr>
            <w:tcW w:w="1660" w:type="dxa"/>
            <w:vAlign w:val="bottom"/>
          </w:tcPr>
          <w:p>
            <w:pPr>
              <w:jc w:val="right"/>
              <w:ind w:right="14"/>
              <w:spacing w:after="0"/>
              <w:rPr>
                <w:sz w:val="20"/>
                <w:szCs w:val="20"/>
                <w:color w:val="auto"/>
              </w:rPr>
            </w:pPr>
            <w:r>
              <w:rPr>
                <w:rFonts w:ascii="Arial" w:cs="Arial" w:eastAsia="Arial" w:hAnsi="Arial"/>
                <w:sz w:val="17"/>
                <w:szCs w:val="17"/>
                <w:color w:val="auto"/>
              </w:rPr>
              <w:t>0.1</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315</w:t>
            </w:r>
          </w:p>
        </w:tc>
        <w:tc>
          <w:tcPr>
            <w:tcW w:w="0" w:type="dxa"/>
            <w:vAlign w:val="bottom"/>
          </w:tcPr>
          <w:p>
            <w:pPr>
              <w:spacing w:after="0"/>
              <w:rPr>
                <w:sz w:val="1"/>
                <w:szCs w:val="1"/>
                <w:color w:val="auto"/>
              </w:rPr>
            </w:pPr>
          </w:p>
        </w:tc>
      </w:tr>
      <w:tr>
        <w:trPr>
          <w:trHeight w:val="220"/>
        </w:trPr>
        <w:tc>
          <w:tcPr>
            <w:tcW w:w="6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Pay-fixed interest rate swap agreements - commercial</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279,005</w:t>
            </w:r>
          </w:p>
        </w:tc>
        <w:tc>
          <w:tcPr>
            <w:tcW w:w="16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6.0</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17,063</w:t>
            </w:r>
          </w:p>
        </w:tc>
        <w:tc>
          <w:tcPr>
            <w:tcW w:w="0" w:type="dxa"/>
            <w:vAlign w:val="bottom"/>
          </w:tcPr>
          <w:p>
            <w:pPr>
              <w:spacing w:after="0"/>
              <w:rPr>
                <w:sz w:val="1"/>
                <w:szCs w:val="1"/>
                <w:color w:val="auto"/>
              </w:rPr>
            </w:pPr>
          </w:p>
        </w:tc>
      </w:tr>
      <w:tr>
        <w:trPr>
          <w:trHeight w:val="218"/>
        </w:trPr>
        <w:tc>
          <w:tcPr>
            <w:tcW w:w="662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Pay-variable interest rate swap agreements - commercial</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279,005</w:t>
            </w:r>
          </w:p>
        </w:tc>
        <w:tc>
          <w:tcPr>
            <w:tcW w:w="1660" w:type="dxa"/>
            <w:vAlign w:val="bottom"/>
            <w:tcBorders>
              <w:bottom w:val="single" w:sz="8" w:color="CCEEFF"/>
            </w:tcBorders>
          </w:tcPr>
          <w:p>
            <w:pPr>
              <w:jc w:val="right"/>
              <w:ind w:right="14"/>
              <w:spacing w:after="0"/>
              <w:rPr>
                <w:sz w:val="20"/>
                <w:szCs w:val="20"/>
                <w:color w:val="auto"/>
              </w:rPr>
            </w:pPr>
            <w:r>
              <w:rPr>
                <w:rFonts w:ascii="Arial" w:cs="Arial" w:eastAsia="Arial" w:hAnsi="Arial"/>
                <w:sz w:val="17"/>
                <w:szCs w:val="17"/>
                <w:color w:val="auto"/>
              </w:rPr>
              <w:t>6.0</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(17,063)</w:t>
            </w:r>
          </w:p>
        </w:tc>
        <w:tc>
          <w:tcPr>
            <w:tcW w:w="0" w:type="dxa"/>
            <w:vAlign w:val="bottom"/>
          </w:tcPr>
          <w:p>
            <w:pPr>
              <w:spacing w:after="0"/>
              <w:rPr>
                <w:sz w:val="1"/>
                <w:szCs w:val="1"/>
                <w:color w:val="auto"/>
              </w:rPr>
            </w:pPr>
          </w:p>
        </w:tc>
      </w:tr>
      <w:tr>
        <w:trPr>
          <w:trHeight w:val="238"/>
        </w:trPr>
        <w:tc>
          <w:tcPr>
            <w:tcW w:w="6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627,186</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5.3</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(741)</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have established management objectives and strategies that include interest-rate risk parameters for maximum fluctuations in net interest income and market value of portfolio equity. We monitor our interest rate risk position via simulation modeling reports. The goal of our asset/liability management efforts is to maintain profitable financial leverage within established risk parameters.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90"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We have entered into pay-fixed interest rate swaps and caps to protect a portion of the fair value of a certain fixed rate commercial loan and certain mortgage and installment loans (‘‘Fair Value Hedge – Portfolio Loans’’). As a result, changes in the fair values of the pay-fixed interest rate swap and caps are expected to offset changes in the fair values of the fixed rate portfolio loans due to fluctuations in interest rates. We record the fair values of Fair Value Hedge – Portfolio Loans in accrued income and other assets and accrued expenses and other liabilities on our Condensed Consolidated Statements of Financial Condition. The hedged items (fixed rate commercial loan and certain fixed rate mortgage and installment loans) are also recorded at fair value which offsets the adjustment to the Fair Value Hedge – Portfolio Loans. On an ongoing basis, we adjust our Condensed Consolidated Statements of Financial Condition to reflect the then current fair values of both the Fair Value Hedge – Portfolio Loans and the hedged items. The related gains or losses are reported in interest income – interest and fees on loans in our Condensed Consolidated Statements of Operations. During the second quarter of 2023 we terminated the interest rate cap that was previously hedging certain installment loans. The remaining unrealized gain on this terminated interest cap is being amortized into earnings over the original life of the interest rate cap.</w:t>
      </w:r>
    </w:p>
    <w:p>
      <w:pPr>
        <w:spacing w:after="0" w:line="187"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We have entered into pay-fixed interest rate swap and interest rate cap agreements to protect a portion of the fair value of certain securities available for sale (‘‘Fair Value Hedge – AFS Securities’’). As a result, the change in the fair value of the pay-fixed interest rate swap and interest rate cap agreements is expected to offset a portion of the change in the fair value of the fixed rate securities available for sale due to fluctuations in interest rates. We record the fair value of Fair Value Hedge</w:t>
      </w:r>
    </w:p>
    <w:p>
      <w:pPr>
        <w:jc w:val="both"/>
        <w:spacing w:after="0" w:line="256" w:lineRule="auto"/>
        <w:rPr>
          <w:sz w:val="20"/>
          <w:szCs w:val="20"/>
          <w:color w:val="auto"/>
        </w:rPr>
      </w:pPr>
      <w:r>
        <w:rPr>
          <w:rFonts w:ascii="Arial" w:cs="Arial" w:eastAsia="Arial" w:hAnsi="Arial"/>
          <w:sz w:val="17"/>
          <w:szCs w:val="17"/>
          <w:color w:val="auto"/>
        </w:rPr>
        <w:t>– AFS Securities in accrued income and other assets and accrued expenses and other liabilities on our Condensed Consolidated Statements of Financial Condition. The hedged items (fixed rate securities available for sale) are also recorded at fair value which offsets the adjustment to the Fair Value Hedge – AFS Securities. On an ongoing basis, we adjust our Condensed Consolidated Statements of Financial Condition to reflect the then current fair value of both the Fair Value Hedge – AFS Securities and the hedged item. The related gains or losses are reported in interest income – interest on securities – taxable and interest income – interest on securities – tax-exempt in our Condensed Consolidated Statements of Operations.</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have entered into interest rate floor agreements to manage the variability in future expected cash flows of certain commercial loans (‘‘Cash Flow Hedge – Portfolio Loans’’). We record the fair value of Cash Flow Hedge – Portfolio Loans in accrued income and other assets and accrued expenses and other liabilities on our Condensed Consolidated Statements of Financial Condition. The changes in the fair value of Cash Flow Hedge - Portfolio Loans are recorded in accumulated other comprehensive loss and are reclassified into the line item in our Condensed Consolidated Statements of Operations in which the hedged items are recorded in the same period the hedged items affect earnings. It is anticipated that $0.4 million of unrealized losses on Cash Flow Hedge - Portfolio Loans at September 30, 2023, will be reclassified into earnings over the next twelve months. The maximum term of any Cash Flow Hedge - Portfolio Loans at September 30, 2023 is 4.2 years.</w:t>
      </w:r>
    </w:p>
    <w:p>
      <w:pPr>
        <w:spacing w:after="0" w:line="15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Certain financial derivative instruments have not been designated as hedges. The fair value of these derivative financial instruments has been recorded on our Condensed Consolidated Statements of Financial Condition and is adjusted on an ongoing basis to reflect their then current fair value. The changes in fair value of derivative financial instruments not designated as hedges are recognized in our Condensed Consolidated Statements of Operations.</w:t>
      </w:r>
    </w:p>
    <w:p>
      <w:pPr>
        <w:spacing w:after="0" w:line="11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In the ordinary course of business, we enter into rate-lock mortgage loan commitments with customers (“Rate-Lock Commitments”). These commitments expose us to interest rate risk. We also enter into mandatory commitments to sell mortgage loans (“Mandatory Commitments”) to reduce the impact of price fluctuations of mortgage loans held for sale and Rate-Lock Commitments. Mandatory Commitments help protect our loan sale profit margin from fluctuations in interest rates. The changes in the fair value of Rate-Lock Commitments and Mandatory Commitments are recognized currently as part of net gains on mortgage loans in our Condensed Consolidated Statements of Operations. We obtain market prices on Mandatory Commitments and Rate-Lock Commitments. Net gains on mortgage loans, as well as net income may be more volatile as a result of these derivative instruments, which are not designated as hedges.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have a program that allows commercial loan customers to lock in a fixed rate for a longer period of time than we would normally offer for interest rate risk reasons. We will enter into a variable rate commercial loan and an interest rate swap agreement with a customer and then enter into an offsetting interest rate swap agreement with an unrelated party. The interest rate swap agreement fair values will generally move in opposite directions resulting in little or no net impact on our Condensed Consolidated Statements of Operations. All of the interest rate swap agreements - commercial in the table above with no hedge designation relate to this program.</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had entered into a no hedge designation pay-variable interest rate swap agreement in an attempt to manage the cost of certain funding liabilities. The changes in fair value of this no hedge pay-variable interest rate swap is recorded in non-interest expense-other in our Condensed Consolidated Statements of Operations. This no hedge designation pay-variable interest rate swap agreement matured during the third quarter of 2023.</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tables illustrate the impact that the derivative financial instruments discussed above have on individual line items in the Condensed Consolidated Statements of Financial Condition for the periods presented:</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Fair Values of Derivative Instruments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5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ind w:left="220"/>
              <w:spacing w:after="0"/>
              <w:rPr>
                <w:sz w:val="20"/>
                <w:szCs w:val="20"/>
                <w:color w:val="auto"/>
              </w:rPr>
            </w:pPr>
            <w:r>
              <w:rPr>
                <w:rFonts w:ascii="Arial" w:cs="Arial" w:eastAsia="Arial" w:hAnsi="Arial"/>
                <w:sz w:val="17"/>
                <w:szCs w:val="17"/>
                <w:color w:val="auto"/>
              </w:rPr>
              <w:t>Asset Derivatives</w:t>
            </w: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ind w:left="120"/>
              <w:spacing w:after="0"/>
              <w:rPr>
                <w:sz w:val="20"/>
                <w:szCs w:val="20"/>
                <w:color w:val="auto"/>
              </w:rPr>
            </w:pPr>
            <w:r>
              <w:rPr>
                <w:rFonts w:ascii="Arial" w:cs="Arial" w:eastAsia="Arial" w:hAnsi="Arial"/>
                <w:sz w:val="17"/>
                <w:szCs w:val="17"/>
                <w:color w:val="auto"/>
              </w:rPr>
              <w:t>Liability Derivatives</w:t>
            </w: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520" w:type="dxa"/>
            <w:vAlign w:val="bottom"/>
          </w:tcPr>
          <w:p>
            <w:pPr>
              <w:spacing w:after="0"/>
              <w:rPr>
                <w:sz w:val="15"/>
                <w:szCs w:val="15"/>
                <w:color w:val="auto"/>
              </w:rPr>
            </w:pPr>
          </w:p>
        </w:tc>
        <w:tc>
          <w:tcPr>
            <w:tcW w:w="2120" w:type="dxa"/>
            <w:vAlign w:val="bottom"/>
            <w:gridSpan w:val="4"/>
          </w:tcPr>
          <w:p>
            <w:pPr>
              <w:jc w:val="right"/>
              <w:ind w:right="474"/>
              <w:spacing w:after="0" w:line="175" w:lineRule="exact"/>
              <w:rPr>
                <w:sz w:val="20"/>
                <w:szCs w:val="20"/>
                <w:color w:val="auto"/>
              </w:rPr>
            </w:pPr>
            <w:r>
              <w:rPr>
                <w:rFonts w:ascii="Arial" w:cs="Arial" w:eastAsia="Arial" w:hAnsi="Arial"/>
                <w:sz w:val="17"/>
                <w:szCs w:val="17"/>
                <w:color w:val="auto"/>
              </w:rPr>
              <w:t>September 30,</w:t>
            </w:r>
          </w:p>
        </w:tc>
        <w:tc>
          <w:tcPr>
            <w:tcW w:w="80" w:type="dxa"/>
            <w:vAlign w:val="bottom"/>
          </w:tcPr>
          <w:p>
            <w:pPr>
              <w:spacing w:after="0"/>
              <w:rPr>
                <w:sz w:val="15"/>
                <w:szCs w:val="15"/>
                <w:color w:val="auto"/>
              </w:rPr>
            </w:pPr>
          </w:p>
        </w:tc>
        <w:tc>
          <w:tcPr>
            <w:tcW w:w="2100" w:type="dxa"/>
            <w:vAlign w:val="bottom"/>
            <w:gridSpan w:val="4"/>
          </w:tcPr>
          <w:p>
            <w:pPr>
              <w:jc w:val="right"/>
              <w:ind w:right="474"/>
              <w:spacing w:after="0" w:line="175" w:lineRule="exact"/>
              <w:rPr>
                <w:sz w:val="20"/>
                <w:szCs w:val="20"/>
                <w:color w:val="auto"/>
              </w:rPr>
            </w:pPr>
            <w:r>
              <w:rPr>
                <w:rFonts w:ascii="Arial" w:cs="Arial" w:eastAsia="Arial" w:hAnsi="Arial"/>
                <w:sz w:val="17"/>
                <w:szCs w:val="17"/>
                <w:color w:val="auto"/>
              </w:rPr>
              <w:t>December 31,</w:t>
            </w:r>
          </w:p>
        </w:tc>
        <w:tc>
          <w:tcPr>
            <w:tcW w:w="100" w:type="dxa"/>
            <w:vAlign w:val="bottom"/>
          </w:tcPr>
          <w:p>
            <w:pPr>
              <w:spacing w:after="0"/>
              <w:rPr>
                <w:sz w:val="15"/>
                <w:szCs w:val="15"/>
                <w:color w:val="auto"/>
              </w:rPr>
            </w:pPr>
          </w:p>
        </w:tc>
        <w:tc>
          <w:tcPr>
            <w:tcW w:w="2100" w:type="dxa"/>
            <w:vAlign w:val="bottom"/>
            <w:gridSpan w:val="4"/>
          </w:tcPr>
          <w:p>
            <w:pPr>
              <w:ind w:left="560"/>
              <w:spacing w:after="0" w:line="175" w:lineRule="exact"/>
              <w:rPr>
                <w:sz w:val="20"/>
                <w:szCs w:val="20"/>
                <w:color w:val="auto"/>
              </w:rPr>
            </w:pPr>
            <w:r>
              <w:rPr>
                <w:rFonts w:ascii="Arial" w:cs="Arial" w:eastAsia="Arial" w:hAnsi="Arial"/>
                <w:sz w:val="17"/>
                <w:szCs w:val="17"/>
                <w:color w:val="auto"/>
              </w:rPr>
              <w:t>September 30,</w:t>
            </w:r>
          </w:p>
        </w:tc>
        <w:tc>
          <w:tcPr>
            <w:tcW w:w="100" w:type="dxa"/>
            <w:vAlign w:val="bottom"/>
          </w:tcPr>
          <w:p>
            <w:pPr>
              <w:spacing w:after="0"/>
              <w:rPr>
                <w:sz w:val="15"/>
                <w:szCs w:val="15"/>
                <w:color w:val="auto"/>
              </w:rPr>
            </w:pPr>
          </w:p>
        </w:tc>
        <w:tc>
          <w:tcPr>
            <w:tcW w:w="2120" w:type="dxa"/>
            <w:vAlign w:val="bottom"/>
            <w:gridSpan w:val="4"/>
          </w:tcPr>
          <w:p>
            <w:pPr>
              <w:ind w:left="580"/>
              <w:spacing w:after="0" w:line="175" w:lineRule="exact"/>
              <w:rPr>
                <w:sz w:val="20"/>
                <w:szCs w:val="20"/>
                <w:color w:val="auto"/>
              </w:rPr>
            </w:pPr>
            <w:r>
              <w:rPr>
                <w:rFonts w:ascii="Arial" w:cs="Arial" w:eastAsia="Arial" w:hAnsi="Arial"/>
                <w:sz w:val="17"/>
                <w:szCs w:val="17"/>
                <w:color w:val="auto"/>
              </w:rPr>
              <w:t>December 31,</w:t>
            </w:r>
          </w:p>
        </w:tc>
        <w:tc>
          <w:tcPr>
            <w:tcW w:w="0" w:type="dxa"/>
            <w:vAlign w:val="bottom"/>
          </w:tcPr>
          <w:p>
            <w:pPr>
              <w:spacing w:after="0"/>
              <w:rPr>
                <w:sz w:val="1"/>
                <w:szCs w:val="1"/>
                <w:color w:val="auto"/>
              </w:rPr>
            </w:pPr>
          </w:p>
        </w:tc>
      </w:tr>
      <w:tr>
        <w:trPr>
          <w:trHeight w:val="218"/>
        </w:trPr>
        <w:tc>
          <w:tcPr>
            <w:tcW w:w="25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w w:val="89"/>
              </w:rPr>
              <w:t>2023</w:t>
            </w:r>
          </w:p>
        </w:tc>
        <w:tc>
          <w:tcPr>
            <w:tcW w:w="8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w w:val="89"/>
              </w:rPr>
              <w:t>2022</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w w:val="95"/>
              </w:rPr>
              <w:t>2023</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w w:val="95"/>
              </w:rPr>
              <w:t>2022</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520" w:type="dxa"/>
            <w:vAlign w:val="bottom"/>
          </w:tcPr>
          <w:p>
            <w:pPr>
              <w:spacing w:after="0"/>
              <w:rPr>
                <w:sz w:val="15"/>
                <w:szCs w:val="15"/>
                <w:color w:val="auto"/>
              </w:rPr>
            </w:pPr>
          </w:p>
        </w:tc>
        <w:tc>
          <w:tcPr>
            <w:tcW w:w="880" w:type="dxa"/>
            <w:vAlign w:val="bottom"/>
          </w:tcPr>
          <w:p>
            <w:pPr>
              <w:jc w:val="center"/>
              <w:ind w:left="54"/>
              <w:spacing w:after="0" w:line="175" w:lineRule="exact"/>
              <w:rPr>
                <w:sz w:val="20"/>
                <w:szCs w:val="20"/>
                <w:color w:val="auto"/>
              </w:rPr>
            </w:pPr>
            <w:r>
              <w:rPr>
                <w:rFonts w:ascii="Arial" w:cs="Arial" w:eastAsia="Arial" w:hAnsi="Arial"/>
                <w:sz w:val="17"/>
                <w:szCs w:val="17"/>
                <w:color w:val="auto"/>
                <w:w w:val="87"/>
              </w:rPr>
              <w:t>Balance</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7"/>
                <w:szCs w:val="17"/>
                <w:color w:val="auto"/>
              </w:rPr>
              <w:t>Fair</w:t>
            </w:r>
          </w:p>
        </w:tc>
        <w:tc>
          <w:tcPr>
            <w:tcW w:w="80" w:type="dxa"/>
            <w:vAlign w:val="bottom"/>
          </w:tcPr>
          <w:p>
            <w:pPr>
              <w:spacing w:after="0"/>
              <w:rPr>
                <w:sz w:val="15"/>
                <w:szCs w:val="15"/>
                <w:color w:val="auto"/>
              </w:rPr>
            </w:pPr>
          </w:p>
        </w:tc>
        <w:tc>
          <w:tcPr>
            <w:tcW w:w="860" w:type="dxa"/>
            <w:vAlign w:val="bottom"/>
          </w:tcPr>
          <w:p>
            <w:pPr>
              <w:jc w:val="center"/>
              <w:ind w:left="54"/>
              <w:spacing w:after="0" w:line="175" w:lineRule="exact"/>
              <w:rPr>
                <w:sz w:val="20"/>
                <w:szCs w:val="20"/>
                <w:color w:val="auto"/>
              </w:rPr>
            </w:pPr>
            <w:r>
              <w:rPr>
                <w:rFonts w:ascii="Arial" w:cs="Arial" w:eastAsia="Arial" w:hAnsi="Arial"/>
                <w:sz w:val="17"/>
                <w:szCs w:val="17"/>
                <w:color w:val="auto"/>
                <w:w w:val="91"/>
              </w:rPr>
              <w:t>Balance</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7"/>
                <w:szCs w:val="17"/>
                <w:color w:val="auto"/>
              </w:rPr>
              <w:t>Fair</w:t>
            </w:r>
          </w:p>
        </w:tc>
        <w:tc>
          <w:tcPr>
            <w:tcW w:w="100" w:type="dxa"/>
            <w:vAlign w:val="bottom"/>
          </w:tcPr>
          <w:p>
            <w:pPr>
              <w:spacing w:after="0"/>
              <w:rPr>
                <w:sz w:val="15"/>
                <w:szCs w:val="15"/>
                <w:color w:val="auto"/>
              </w:rPr>
            </w:pPr>
          </w:p>
        </w:tc>
        <w:tc>
          <w:tcPr>
            <w:tcW w:w="840" w:type="dxa"/>
            <w:vAlign w:val="bottom"/>
          </w:tcPr>
          <w:p>
            <w:pPr>
              <w:jc w:val="center"/>
              <w:ind w:left="74"/>
              <w:spacing w:after="0" w:line="175" w:lineRule="exact"/>
              <w:rPr>
                <w:sz w:val="20"/>
                <w:szCs w:val="20"/>
                <w:color w:val="auto"/>
              </w:rPr>
            </w:pPr>
            <w:r>
              <w:rPr>
                <w:rFonts w:ascii="Arial" w:cs="Arial" w:eastAsia="Arial" w:hAnsi="Arial"/>
                <w:sz w:val="17"/>
                <w:szCs w:val="17"/>
                <w:color w:val="auto"/>
                <w:w w:val="91"/>
              </w:rPr>
              <w:t>Balance</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7"/>
                <w:szCs w:val="17"/>
                <w:color w:val="auto"/>
              </w:rPr>
              <w:t>Fair</w:t>
            </w:r>
          </w:p>
        </w:tc>
        <w:tc>
          <w:tcPr>
            <w:tcW w:w="100" w:type="dxa"/>
            <w:vAlign w:val="bottom"/>
          </w:tcPr>
          <w:p>
            <w:pPr>
              <w:spacing w:after="0"/>
              <w:rPr>
                <w:sz w:val="15"/>
                <w:szCs w:val="15"/>
                <w:color w:val="auto"/>
              </w:rPr>
            </w:pPr>
          </w:p>
        </w:tc>
        <w:tc>
          <w:tcPr>
            <w:tcW w:w="860" w:type="dxa"/>
            <w:vAlign w:val="bottom"/>
          </w:tcPr>
          <w:p>
            <w:pPr>
              <w:jc w:val="center"/>
              <w:ind w:left="74"/>
              <w:spacing w:after="0" w:line="175" w:lineRule="exact"/>
              <w:rPr>
                <w:sz w:val="20"/>
                <w:szCs w:val="20"/>
                <w:color w:val="auto"/>
              </w:rPr>
            </w:pPr>
            <w:r>
              <w:rPr>
                <w:rFonts w:ascii="Arial" w:cs="Arial" w:eastAsia="Arial" w:hAnsi="Arial"/>
                <w:sz w:val="17"/>
                <w:szCs w:val="17"/>
                <w:color w:val="auto"/>
                <w:w w:val="87"/>
              </w:rPr>
              <w:t>Balance</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ind w:right="274"/>
              <w:spacing w:after="0"/>
              <w:rPr>
                <w:sz w:val="20"/>
                <w:szCs w:val="20"/>
                <w:color w:val="auto"/>
              </w:rPr>
            </w:pPr>
            <w:r>
              <w:rPr>
                <w:rFonts w:ascii="Arial" w:cs="Arial" w:eastAsia="Arial" w:hAnsi="Arial"/>
                <w:sz w:val="17"/>
                <w:szCs w:val="17"/>
                <w:color w:val="auto"/>
              </w:rPr>
              <w:t>Fair</w:t>
            </w:r>
          </w:p>
        </w:tc>
        <w:tc>
          <w:tcPr>
            <w:tcW w:w="0" w:type="dxa"/>
            <w:vAlign w:val="bottom"/>
          </w:tcPr>
          <w:p>
            <w:pPr>
              <w:spacing w:after="0"/>
              <w:rPr>
                <w:sz w:val="1"/>
                <w:szCs w:val="1"/>
                <w:color w:val="auto"/>
              </w:rPr>
            </w:pPr>
          </w:p>
        </w:tc>
      </w:tr>
      <w:tr>
        <w:trPr>
          <w:trHeight w:val="168"/>
        </w:trPr>
        <w:tc>
          <w:tcPr>
            <w:tcW w:w="2520" w:type="dxa"/>
            <w:vAlign w:val="bottom"/>
          </w:tcPr>
          <w:p>
            <w:pPr>
              <w:spacing w:after="0"/>
              <w:rPr>
                <w:sz w:val="14"/>
                <w:szCs w:val="14"/>
                <w:color w:val="auto"/>
              </w:rPr>
            </w:pPr>
          </w:p>
        </w:tc>
        <w:tc>
          <w:tcPr>
            <w:tcW w:w="880" w:type="dxa"/>
            <w:vAlign w:val="bottom"/>
          </w:tcPr>
          <w:p>
            <w:pPr>
              <w:jc w:val="center"/>
              <w:ind w:left="54"/>
              <w:spacing w:after="0" w:line="167" w:lineRule="exact"/>
              <w:rPr>
                <w:sz w:val="20"/>
                <w:szCs w:val="20"/>
                <w:color w:val="auto"/>
              </w:rPr>
            </w:pPr>
            <w:r>
              <w:rPr>
                <w:rFonts w:ascii="Arial" w:cs="Arial" w:eastAsia="Arial" w:hAnsi="Arial"/>
                <w:sz w:val="17"/>
                <w:szCs w:val="17"/>
                <w:color w:val="auto"/>
                <w:w w:val="85"/>
              </w:rPr>
              <w:t>Sheet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ind w:left="74"/>
              <w:spacing w:after="0" w:line="167" w:lineRule="exact"/>
              <w:rPr>
                <w:sz w:val="20"/>
                <w:szCs w:val="20"/>
                <w:color w:val="auto"/>
              </w:rPr>
            </w:pPr>
            <w:r>
              <w:rPr>
                <w:rFonts w:ascii="Arial" w:cs="Arial" w:eastAsia="Arial" w:hAnsi="Arial"/>
                <w:sz w:val="17"/>
                <w:szCs w:val="17"/>
                <w:color w:val="auto"/>
                <w:w w:val="85"/>
              </w:rPr>
              <w:t>Sheet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left="94"/>
              <w:spacing w:after="0" w:line="167" w:lineRule="exact"/>
              <w:rPr>
                <w:sz w:val="20"/>
                <w:szCs w:val="20"/>
                <w:color w:val="auto"/>
              </w:rPr>
            </w:pPr>
            <w:r>
              <w:rPr>
                <w:rFonts w:ascii="Arial" w:cs="Arial" w:eastAsia="Arial" w:hAnsi="Arial"/>
                <w:sz w:val="17"/>
                <w:szCs w:val="17"/>
                <w:color w:val="auto"/>
                <w:w w:val="85"/>
              </w:rPr>
              <w:t>Sheet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left="74"/>
              <w:spacing w:after="0" w:line="167" w:lineRule="exact"/>
              <w:rPr>
                <w:sz w:val="20"/>
                <w:szCs w:val="20"/>
                <w:color w:val="auto"/>
              </w:rPr>
            </w:pPr>
            <w:r>
              <w:rPr>
                <w:rFonts w:ascii="Arial" w:cs="Arial" w:eastAsia="Arial" w:hAnsi="Arial"/>
                <w:sz w:val="17"/>
                <w:szCs w:val="17"/>
                <w:color w:val="auto"/>
                <w:w w:val="85"/>
              </w:rPr>
              <w:t>Sheet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520" w:type="dxa"/>
            <w:vAlign w:val="bottom"/>
          </w:tcPr>
          <w:p>
            <w:pPr>
              <w:spacing w:after="0"/>
              <w:rPr>
                <w:sz w:val="18"/>
                <w:szCs w:val="18"/>
                <w:color w:val="auto"/>
              </w:rPr>
            </w:pPr>
          </w:p>
        </w:tc>
        <w:tc>
          <w:tcPr>
            <w:tcW w:w="880" w:type="dxa"/>
            <w:vAlign w:val="bottom"/>
            <w:tcBorders>
              <w:bottom w:val="single" w:sz="8" w:color="auto"/>
            </w:tcBorders>
          </w:tcPr>
          <w:p>
            <w:pPr>
              <w:jc w:val="center"/>
              <w:ind w:left="54"/>
              <w:spacing w:after="0"/>
              <w:rPr>
                <w:sz w:val="20"/>
                <w:szCs w:val="20"/>
                <w:color w:val="auto"/>
              </w:rPr>
            </w:pPr>
            <w:r>
              <w:rPr>
                <w:rFonts w:ascii="Arial" w:cs="Arial" w:eastAsia="Arial" w:hAnsi="Arial"/>
                <w:sz w:val="17"/>
                <w:szCs w:val="17"/>
                <w:color w:val="auto"/>
                <w:w w:val="96"/>
              </w:rPr>
              <w:t>Location</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Value</w:t>
            </w: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left="54"/>
              <w:spacing w:after="0"/>
              <w:rPr>
                <w:sz w:val="20"/>
                <w:szCs w:val="20"/>
                <w:color w:val="auto"/>
              </w:rPr>
            </w:pPr>
            <w:r>
              <w:rPr>
                <w:rFonts w:ascii="Arial" w:cs="Arial" w:eastAsia="Arial" w:hAnsi="Arial"/>
                <w:sz w:val="17"/>
                <w:szCs w:val="17"/>
                <w:color w:val="auto"/>
                <w:w w:val="93"/>
              </w:rPr>
              <w:t>Location</w:t>
            </w: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Value</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left="74"/>
              <w:spacing w:after="0"/>
              <w:rPr>
                <w:sz w:val="20"/>
                <w:szCs w:val="20"/>
                <w:color w:val="auto"/>
              </w:rPr>
            </w:pPr>
            <w:r>
              <w:rPr>
                <w:rFonts w:ascii="Arial" w:cs="Arial" w:eastAsia="Arial" w:hAnsi="Arial"/>
                <w:sz w:val="17"/>
                <w:szCs w:val="17"/>
                <w:color w:val="auto"/>
                <w:w w:val="93"/>
              </w:rPr>
              <w:t>Location</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Value</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left="74"/>
              <w:spacing w:after="0"/>
              <w:rPr>
                <w:sz w:val="20"/>
                <w:szCs w:val="20"/>
                <w:color w:val="auto"/>
              </w:rPr>
            </w:pPr>
            <w:r>
              <w:rPr>
                <w:rFonts w:ascii="Arial" w:cs="Arial" w:eastAsia="Arial" w:hAnsi="Arial"/>
                <w:sz w:val="17"/>
                <w:szCs w:val="17"/>
                <w:color w:val="auto"/>
                <w:w w:val="96"/>
              </w:rPr>
              <w:t>Location</w:t>
            </w: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Value</w:t>
            </w:r>
          </w:p>
        </w:tc>
        <w:tc>
          <w:tcPr>
            <w:tcW w:w="0" w:type="dxa"/>
            <w:vAlign w:val="bottom"/>
          </w:tcPr>
          <w:p>
            <w:pPr>
              <w:spacing w:after="0"/>
              <w:rPr>
                <w:sz w:val="1"/>
                <w:szCs w:val="1"/>
                <w:color w:val="auto"/>
              </w:rPr>
            </w:pPr>
          </w:p>
        </w:tc>
      </w:tr>
      <w:tr>
        <w:trPr>
          <w:trHeight w:val="211"/>
        </w:trPr>
        <w:tc>
          <w:tcPr>
            <w:tcW w:w="2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3"/>
          </w:tcPr>
          <w:p>
            <w:pPr>
              <w:ind w:left="360"/>
              <w:spacing w:after="0"/>
              <w:rPr>
                <w:sz w:val="20"/>
                <w:szCs w:val="20"/>
                <w:color w:val="auto"/>
              </w:rPr>
            </w:pPr>
            <w:r>
              <w:rPr>
                <w:rFonts w:ascii="Arial" w:cs="Arial" w:eastAsia="Arial" w:hAnsi="Arial"/>
                <w:sz w:val="17"/>
                <w:szCs w:val="17"/>
                <w:color w:val="auto"/>
              </w:rPr>
              <w:t>(In thousands)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520" w:type="dxa"/>
            <w:vAlign w:val="bottom"/>
          </w:tcPr>
          <w:p>
            <w:pPr>
              <w:ind w:left="20"/>
              <w:spacing w:after="0" w:line="183" w:lineRule="exact"/>
              <w:rPr>
                <w:sz w:val="20"/>
                <w:szCs w:val="20"/>
                <w:color w:val="auto"/>
              </w:rPr>
            </w:pPr>
            <w:r>
              <w:rPr>
                <w:rFonts w:ascii="Arial" w:cs="Arial" w:eastAsia="Arial" w:hAnsi="Arial"/>
                <w:sz w:val="17"/>
                <w:szCs w:val="17"/>
                <w:color w:val="auto"/>
                <w:w w:val="95"/>
              </w:rPr>
              <w:t>Derivatives designated as hedging</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520" w:type="dxa"/>
            <w:vAlign w:val="bottom"/>
          </w:tcPr>
          <w:p>
            <w:pPr>
              <w:ind w:left="180"/>
              <w:spacing w:after="0"/>
              <w:rPr>
                <w:sz w:val="20"/>
                <w:szCs w:val="20"/>
                <w:color w:val="auto"/>
              </w:rPr>
            </w:pPr>
            <w:r>
              <w:rPr>
                <w:rFonts w:ascii="Arial" w:cs="Arial" w:eastAsia="Arial" w:hAnsi="Arial"/>
                <w:sz w:val="17"/>
                <w:szCs w:val="17"/>
                <w:color w:val="auto"/>
              </w:rPr>
              <w:t>instruments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520" w:type="dxa"/>
            <w:vAlign w:val="bottom"/>
            <w:shd w:val="clear" w:color="auto" w:fill="CCEEFF"/>
          </w:tcPr>
          <w:p>
            <w:pPr>
              <w:ind w:left="180"/>
              <w:spacing w:after="0" w:line="182" w:lineRule="exact"/>
              <w:rPr>
                <w:sz w:val="20"/>
                <w:szCs w:val="20"/>
                <w:color w:val="auto"/>
              </w:rPr>
            </w:pPr>
            <w:r>
              <w:rPr>
                <w:rFonts w:ascii="Arial" w:cs="Arial" w:eastAsia="Arial" w:hAnsi="Arial"/>
                <w:sz w:val="17"/>
                <w:szCs w:val="17"/>
                <w:color w:val="auto"/>
              </w:rPr>
              <w:t>Pay-fixed interest rate swap</w:t>
            </w: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ind w:left="20"/>
              <w:spacing w:after="0" w:line="182" w:lineRule="exact"/>
              <w:rPr>
                <w:sz w:val="20"/>
                <w:szCs w:val="20"/>
                <w:color w:val="auto"/>
              </w:rPr>
            </w:pPr>
            <w:r>
              <w:rPr>
                <w:rFonts w:ascii="Arial" w:cs="Arial" w:eastAsia="Arial" w:hAnsi="Arial"/>
                <w:sz w:val="17"/>
                <w:szCs w:val="17"/>
                <w:color w:val="auto"/>
              </w:rPr>
              <w:t>Other</w:t>
            </w: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20"/>
              <w:spacing w:after="0" w:line="182" w:lineRule="exact"/>
              <w:rPr>
                <w:sz w:val="20"/>
                <w:szCs w:val="20"/>
                <w:color w:val="auto"/>
              </w:rPr>
            </w:pPr>
            <w:r>
              <w:rPr>
                <w:rFonts w:ascii="Arial" w:cs="Arial" w:eastAsia="Arial" w:hAnsi="Arial"/>
                <w:sz w:val="17"/>
                <w:szCs w:val="17"/>
                <w:color w:val="auto"/>
              </w:rPr>
              <w:t>Other</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agreements</w:t>
            </w:r>
          </w:p>
        </w:tc>
        <w:tc>
          <w:tcPr>
            <w:tcW w:w="880" w:type="dxa"/>
            <w:vAlign w:val="bottom"/>
            <w:shd w:val="clear" w:color="auto" w:fill="CCEEFF"/>
          </w:tcPr>
          <w:p>
            <w:pPr>
              <w:ind w:left="20"/>
              <w:spacing w:after="0"/>
              <w:rPr>
                <w:sz w:val="20"/>
                <w:szCs w:val="20"/>
                <w:color w:val="auto"/>
              </w:rPr>
            </w:pPr>
            <w:r>
              <w:rPr>
                <w:rFonts w:ascii="Arial" w:cs="Arial" w:eastAsia="Arial" w:hAnsi="Arial"/>
                <w:sz w:val="17"/>
                <w:szCs w:val="17"/>
                <w:color w:val="auto"/>
                <w:w w:val="87"/>
              </w:rPr>
              <w:t>Other assets</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23,240</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ind w:left="20"/>
              <w:spacing w:after="0"/>
              <w:rPr>
                <w:sz w:val="20"/>
                <w:szCs w:val="20"/>
                <w:color w:val="auto"/>
              </w:rPr>
            </w:pPr>
            <w:r>
              <w:rPr>
                <w:rFonts w:ascii="Arial" w:cs="Arial" w:eastAsia="Arial" w:hAnsi="Arial"/>
                <w:sz w:val="17"/>
                <w:szCs w:val="17"/>
                <w:color w:val="auto"/>
                <w:w w:val="85"/>
              </w:rPr>
              <w:t>Other assets</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20,430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1"/>
        </w:trPr>
        <w:tc>
          <w:tcPr>
            <w:tcW w:w="2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ind w:left="20"/>
              <w:spacing w:after="0" w:line="181" w:lineRule="exact"/>
              <w:rPr>
                <w:sz w:val="20"/>
                <w:szCs w:val="20"/>
                <w:color w:val="auto"/>
              </w:rPr>
            </w:pPr>
            <w:r>
              <w:rPr>
                <w:rFonts w:ascii="Arial" w:cs="Arial" w:eastAsia="Arial" w:hAnsi="Arial"/>
                <w:sz w:val="17"/>
                <w:szCs w:val="17"/>
                <w:color w:val="auto"/>
              </w:rPr>
              <w:t>Other</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ind w:left="20"/>
              <w:spacing w:after="0" w:line="181" w:lineRule="exact"/>
              <w:rPr>
                <w:sz w:val="20"/>
                <w:szCs w:val="20"/>
                <w:color w:val="auto"/>
              </w:rPr>
            </w:pPr>
            <w:r>
              <w:rPr>
                <w:rFonts w:ascii="Arial" w:cs="Arial" w:eastAsia="Arial" w:hAnsi="Arial"/>
                <w:sz w:val="17"/>
                <w:szCs w:val="17"/>
                <w:color w:val="auto"/>
              </w:rPr>
              <w:t>Other</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520" w:type="dxa"/>
            <w:vAlign w:val="bottom"/>
          </w:tcPr>
          <w:p>
            <w:pPr>
              <w:ind w:left="180"/>
              <w:spacing w:after="0"/>
              <w:rPr>
                <w:sz w:val="20"/>
                <w:szCs w:val="20"/>
                <w:color w:val="auto"/>
              </w:rPr>
            </w:pPr>
            <w:r>
              <w:rPr>
                <w:rFonts w:ascii="Arial" w:cs="Arial" w:eastAsia="Arial" w:hAnsi="Arial"/>
                <w:sz w:val="17"/>
                <w:szCs w:val="17"/>
                <w:color w:val="auto"/>
              </w:rPr>
              <w:t>Interest rate cap agreements</w:t>
            </w:r>
          </w:p>
        </w:tc>
        <w:tc>
          <w:tcPr>
            <w:tcW w:w="880" w:type="dxa"/>
            <w:vAlign w:val="bottom"/>
          </w:tcPr>
          <w:p>
            <w:pPr>
              <w:ind w:left="20"/>
              <w:spacing w:after="0"/>
              <w:rPr>
                <w:sz w:val="20"/>
                <w:szCs w:val="20"/>
                <w:color w:val="auto"/>
              </w:rPr>
            </w:pPr>
            <w:r>
              <w:rPr>
                <w:rFonts w:ascii="Arial" w:cs="Arial" w:eastAsia="Arial" w:hAnsi="Arial"/>
                <w:sz w:val="17"/>
                <w:szCs w:val="17"/>
                <w:color w:val="auto"/>
                <w:w w:val="87"/>
              </w:rPr>
              <w:t>Other assets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1,062</w:t>
            </w:r>
          </w:p>
        </w:tc>
        <w:tc>
          <w:tcPr>
            <w:tcW w:w="8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Arial" w:cs="Arial" w:eastAsia="Arial" w:hAnsi="Arial"/>
                <w:sz w:val="17"/>
                <w:szCs w:val="17"/>
                <w:color w:val="auto"/>
                <w:w w:val="85"/>
              </w:rPr>
              <w:t>Other assets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931</w:t>
            </w:r>
          </w:p>
        </w:tc>
        <w:tc>
          <w:tcPr>
            <w:tcW w:w="100" w:type="dxa"/>
            <w:vAlign w:val="bottom"/>
          </w:tcPr>
          <w:p>
            <w:pPr>
              <w:spacing w:after="0"/>
              <w:rPr>
                <w:sz w:val="18"/>
                <w:szCs w:val="18"/>
                <w:color w:val="auto"/>
              </w:rPr>
            </w:pPr>
          </w:p>
        </w:tc>
        <w:tc>
          <w:tcPr>
            <w:tcW w:w="840" w:type="dxa"/>
            <w:vAlign w:val="bottom"/>
          </w:tcPr>
          <w:p>
            <w:pPr>
              <w:ind w:left="20"/>
              <w:spacing w:after="0"/>
              <w:rPr>
                <w:sz w:val="20"/>
                <w:szCs w:val="20"/>
                <w:color w:val="auto"/>
              </w:rPr>
            </w:pPr>
            <w:r>
              <w:rPr>
                <w:rFonts w:ascii="Arial" w:cs="Arial" w:eastAsia="Arial" w:hAnsi="Arial"/>
                <w:sz w:val="17"/>
                <w:szCs w:val="17"/>
                <w:color w:val="auto"/>
              </w:rPr>
              <w:t>liabilities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Arial" w:cs="Arial" w:eastAsia="Arial" w:hAnsi="Arial"/>
                <w:sz w:val="17"/>
                <w:szCs w:val="17"/>
                <w:color w:val="auto"/>
              </w:rPr>
              <w:t>liabilities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2"/>
        </w:trPr>
        <w:tc>
          <w:tcPr>
            <w:tcW w:w="2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ind w:left="20"/>
              <w:spacing w:after="0" w:line="182" w:lineRule="exact"/>
              <w:rPr>
                <w:sz w:val="20"/>
                <w:szCs w:val="20"/>
                <w:color w:val="auto"/>
              </w:rPr>
            </w:pPr>
            <w:r>
              <w:rPr>
                <w:rFonts w:ascii="Arial" w:cs="Arial" w:eastAsia="Arial" w:hAnsi="Arial"/>
                <w:sz w:val="17"/>
                <w:szCs w:val="17"/>
                <w:color w:val="auto"/>
              </w:rPr>
              <w:t>Other</w:t>
            </w: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20"/>
              <w:spacing w:after="0" w:line="182" w:lineRule="exact"/>
              <w:rPr>
                <w:sz w:val="20"/>
                <w:szCs w:val="20"/>
                <w:color w:val="auto"/>
              </w:rPr>
            </w:pPr>
            <w:r>
              <w:rPr>
                <w:rFonts w:ascii="Arial" w:cs="Arial" w:eastAsia="Arial" w:hAnsi="Arial"/>
                <w:sz w:val="17"/>
                <w:szCs w:val="17"/>
                <w:color w:val="auto"/>
              </w:rPr>
              <w:t>Other</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rate floor agreements</w:t>
            </w:r>
          </w:p>
        </w:tc>
        <w:tc>
          <w:tcPr>
            <w:tcW w:w="880" w:type="dxa"/>
            <w:vAlign w:val="bottom"/>
            <w:shd w:val="clear" w:color="auto" w:fill="CCEEFF"/>
          </w:tcPr>
          <w:p>
            <w:pPr>
              <w:ind w:left="20"/>
              <w:spacing w:after="0"/>
              <w:rPr>
                <w:sz w:val="20"/>
                <w:szCs w:val="20"/>
                <w:color w:val="auto"/>
              </w:rPr>
            </w:pPr>
            <w:r>
              <w:rPr>
                <w:rFonts w:ascii="Arial" w:cs="Arial" w:eastAsia="Arial" w:hAnsi="Arial"/>
                <w:sz w:val="17"/>
                <w:szCs w:val="17"/>
                <w:color w:val="auto"/>
                <w:w w:val="87"/>
              </w:rPr>
              <w:t>Other assets</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1,398</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ind w:left="20"/>
              <w:spacing w:after="0"/>
              <w:rPr>
                <w:sz w:val="20"/>
                <w:szCs w:val="20"/>
                <w:color w:val="auto"/>
              </w:rPr>
            </w:pPr>
            <w:r>
              <w:rPr>
                <w:rFonts w:ascii="Arial" w:cs="Arial" w:eastAsia="Arial" w:hAnsi="Arial"/>
                <w:sz w:val="17"/>
                <w:szCs w:val="17"/>
                <w:color w:val="auto"/>
                <w:w w:val="85"/>
              </w:rPr>
              <w:t>Other assets</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25,700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21,361</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2"/>
        </w:trPr>
        <w:tc>
          <w:tcPr>
            <w:tcW w:w="2520" w:type="dxa"/>
            <w:vAlign w:val="bottom"/>
            <w:shd w:val="clear" w:color="auto" w:fill="CCEEFF"/>
          </w:tcPr>
          <w:p>
            <w:pPr>
              <w:ind w:left="20"/>
              <w:spacing w:after="0" w:line="182" w:lineRule="exact"/>
              <w:rPr>
                <w:sz w:val="20"/>
                <w:szCs w:val="20"/>
                <w:color w:val="auto"/>
              </w:rPr>
            </w:pPr>
            <w:r>
              <w:rPr>
                <w:rFonts w:ascii="Arial" w:cs="Arial" w:eastAsia="Arial" w:hAnsi="Arial"/>
                <w:sz w:val="17"/>
                <w:szCs w:val="17"/>
                <w:color w:val="auto"/>
              </w:rPr>
              <w:t>Derivatives not designated as</w:t>
            </w: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hedging instruments</w:t>
            </w: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520" w:type="dxa"/>
            <w:vAlign w:val="bottom"/>
          </w:tcPr>
          <w:p>
            <w:pPr>
              <w:ind w:left="180"/>
              <w:spacing w:after="0" w:line="181" w:lineRule="exact"/>
              <w:rPr>
                <w:sz w:val="20"/>
                <w:szCs w:val="20"/>
                <w:color w:val="auto"/>
              </w:rPr>
            </w:pPr>
            <w:r>
              <w:rPr>
                <w:rFonts w:ascii="Arial" w:cs="Arial" w:eastAsia="Arial" w:hAnsi="Arial"/>
                <w:sz w:val="17"/>
                <w:szCs w:val="17"/>
                <w:color w:val="auto"/>
              </w:rPr>
              <w:t>Rate-lock mortgage loan</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ind w:left="20"/>
              <w:spacing w:after="0" w:line="181" w:lineRule="exact"/>
              <w:rPr>
                <w:sz w:val="20"/>
                <w:szCs w:val="20"/>
                <w:color w:val="auto"/>
              </w:rPr>
            </w:pPr>
            <w:r>
              <w:rPr>
                <w:rFonts w:ascii="Arial" w:cs="Arial" w:eastAsia="Arial" w:hAnsi="Arial"/>
                <w:sz w:val="17"/>
                <w:szCs w:val="17"/>
                <w:color w:val="auto"/>
              </w:rPr>
              <w:t>Other</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ind w:left="20"/>
              <w:spacing w:after="0" w:line="181" w:lineRule="exact"/>
              <w:rPr>
                <w:sz w:val="20"/>
                <w:szCs w:val="20"/>
                <w:color w:val="auto"/>
              </w:rPr>
            </w:pPr>
            <w:r>
              <w:rPr>
                <w:rFonts w:ascii="Arial" w:cs="Arial" w:eastAsia="Arial" w:hAnsi="Arial"/>
                <w:sz w:val="17"/>
                <w:szCs w:val="17"/>
                <w:color w:val="auto"/>
              </w:rPr>
              <w:t>Other</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520" w:type="dxa"/>
            <w:vAlign w:val="bottom"/>
          </w:tcPr>
          <w:p>
            <w:pPr>
              <w:ind w:left="320"/>
              <w:spacing w:after="0"/>
              <w:rPr>
                <w:sz w:val="20"/>
                <w:szCs w:val="20"/>
                <w:color w:val="auto"/>
              </w:rPr>
            </w:pPr>
            <w:r>
              <w:rPr>
                <w:rFonts w:ascii="Arial" w:cs="Arial" w:eastAsia="Arial" w:hAnsi="Arial"/>
                <w:sz w:val="17"/>
                <w:szCs w:val="17"/>
                <w:color w:val="auto"/>
              </w:rPr>
              <w:t>commitments</w:t>
            </w:r>
          </w:p>
        </w:tc>
        <w:tc>
          <w:tcPr>
            <w:tcW w:w="880" w:type="dxa"/>
            <w:vAlign w:val="bottom"/>
          </w:tcPr>
          <w:p>
            <w:pPr>
              <w:ind w:left="20"/>
              <w:spacing w:after="0"/>
              <w:rPr>
                <w:sz w:val="20"/>
                <w:szCs w:val="20"/>
                <w:color w:val="auto"/>
              </w:rPr>
            </w:pPr>
            <w:r>
              <w:rPr>
                <w:rFonts w:ascii="Arial" w:cs="Arial" w:eastAsia="Arial" w:hAnsi="Arial"/>
                <w:sz w:val="17"/>
                <w:szCs w:val="17"/>
                <w:color w:val="auto"/>
                <w:w w:val="87"/>
              </w:rPr>
              <w:t>Other assets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Arial" w:cs="Arial" w:eastAsia="Arial" w:hAnsi="Arial"/>
                <w:sz w:val="17"/>
                <w:szCs w:val="17"/>
                <w:color w:val="auto"/>
                <w:w w:val="85"/>
              </w:rPr>
              <w:t>Other assets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40" w:type="dxa"/>
            <w:vAlign w:val="bottom"/>
          </w:tcPr>
          <w:p>
            <w:pPr>
              <w:ind w:left="20"/>
              <w:spacing w:after="0"/>
              <w:rPr>
                <w:sz w:val="20"/>
                <w:szCs w:val="20"/>
                <w:color w:val="auto"/>
              </w:rPr>
            </w:pPr>
            <w:r>
              <w:rPr>
                <w:rFonts w:ascii="Arial" w:cs="Arial" w:eastAsia="Arial" w:hAnsi="Arial"/>
                <w:sz w:val="17"/>
                <w:szCs w:val="17"/>
                <w:color w:val="auto"/>
              </w:rPr>
              <w:t>liabilities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140</w:t>
            </w:r>
          </w:p>
        </w:tc>
        <w:tc>
          <w:tcPr>
            <w:tcW w:w="10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Arial" w:cs="Arial" w:eastAsia="Arial" w:hAnsi="Arial"/>
                <w:sz w:val="17"/>
                <w:szCs w:val="17"/>
                <w:color w:val="auto"/>
              </w:rPr>
              <w:t>liabilities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1,056</w:t>
            </w:r>
          </w:p>
        </w:tc>
        <w:tc>
          <w:tcPr>
            <w:tcW w:w="0" w:type="dxa"/>
            <w:vAlign w:val="bottom"/>
          </w:tcPr>
          <w:p>
            <w:pPr>
              <w:spacing w:after="0"/>
              <w:rPr>
                <w:sz w:val="1"/>
                <w:szCs w:val="1"/>
                <w:color w:val="auto"/>
              </w:rPr>
            </w:pPr>
          </w:p>
        </w:tc>
      </w:tr>
      <w:tr>
        <w:trPr>
          <w:trHeight w:val="182"/>
        </w:trPr>
        <w:tc>
          <w:tcPr>
            <w:tcW w:w="2520" w:type="dxa"/>
            <w:vAlign w:val="bottom"/>
            <w:shd w:val="clear" w:color="auto" w:fill="CCEEFF"/>
          </w:tcPr>
          <w:p>
            <w:pPr>
              <w:ind w:left="180"/>
              <w:spacing w:after="0" w:line="182" w:lineRule="exact"/>
              <w:rPr>
                <w:sz w:val="20"/>
                <w:szCs w:val="20"/>
                <w:color w:val="auto"/>
              </w:rPr>
            </w:pPr>
            <w:r>
              <w:rPr>
                <w:rFonts w:ascii="Arial" w:cs="Arial" w:eastAsia="Arial" w:hAnsi="Arial"/>
                <w:sz w:val="17"/>
                <w:szCs w:val="17"/>
                <w:color w:val="auto"/>
                <w:w w:val="98"/>
              </w:rPr>
              <w:t>Mandatory commitments to sell</w:t>
            </w: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ind w:left="20"/>
              <w:spacing w:after="0" w:line="182" w:lineRule="exact"/>
              <w:rPr>
                <w:sz w:val="20"/>
                <w:szCs w:val="20"/>
                <w:color w:val="auto"/>
              </w:rPr>
            </w:pPr>
            <w:r>
              <w:rPr>
                <w:rFonts w:ascii="Arial" w:cs="Arial" w:eastAsia="Arial" w:hAnsi="Arial"/>
                <w:sz w:val="17"/>
                <w:szCs w:val="17"/>
                <w:color w:val="auto"/>
              </w:rPr>
              <w:t>Other</w:t>
            </w: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20"/>
              <w:spacing w:after="0" w:line="182" w:lineRule="exact"/>
              <w:rPr>
                <w:sz w:val="20"/>
                <w:szCs w:val="20"/>
                <w:color w:val="auto"/>
              </w:rPr>
            </w:pPr>
            <w:r>
              <w:rPr>
                <w:rFonts w:ascii="Arial" w:cs="Arial" w:eastAsia="Arial" w:hAnsi="Arial"/>
                <w:sz w:val="17"/>
                <w:szCs w:val="17"/>
                <w:color w:val="auto"/>
              </w:rPr>
              <w:t>Other</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mortgage loans</w:t>
            </w:r>
          </w:p>
        </w:tc>
        <w:tc>
          <w:tcPr>
            <w:tcW w:w="880" w:type="dxa"/>
            <w:vAlign w:val="bottom"/>
            <w:shd w:val="clear" w:color="auto" w:fill="CCEEFF"/>
          </w:tcPr>
          <w:p>
            <w:pPr>
              <w:ind w:left="20"/>
              <w:spacing w:after="0"/>
              <w:rPr>
                <w:sz w:val="20"/>
                <w:szCs w:val="20"/>
                <w:color w:val="auto"/>
              </w:rPr>
            </w:pPr>
            <w:r>
              <w:rPr>
                <w:rFonts w:ascii="Arial" w:cs="Arial" w:eastAsia="Arial" w:hAnsi="Arial"/>
                <w:sz w:val="17"/>
                <w:szCs w:val="17"/>
                <w:color w:val="auto"/>
                <w:w w:val="87"/>
              </w:rPr>
              <w:t>Other assets</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ind w:left="20"/>
              <w:spacing w:after="0"/>
              <w:rPr>
                <w:sz w:val="20"/>
                <w:szCs w:val="20"/>
                <w:color w:val="auto"/>
              </w:rPr>
            </w:pPr>
            <w:r>
              <w:rPr>
                <w:rFonts w:ascii="Arial" w:cs="Arial" w:eastAsia="Arial" w:hAnsi="Arial"/>
                <w:sz w:val="17"/>
                <w:szCs w:val="17"/>
                <w:color w:val="auto"/>
                <w:w w:val="85"/>
              </w:rPr>
              <w:t>Other assets</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1"/>
        </w:trPr>
        <w:tc>
          <w:tcPr>
            <w:tcW w:w="2520" w:type="dxa"/>
            <w:vAlign w:val="bottom"/>
          </w:tcPr>
          <w:p>
            <w:pPr>
              <w:ind w:left="180"/>
              <w:spacing w:after="0" w:line="181" w:lineRule="exact"/>
              <w:rPr>
                <w:sz w:val="20"/>
                <w:szCs w:val="20"/>
                <w:color w:val="auto"/>
              </w:rPr>
            </w:pPr>
            <w:r>
              <w:rPr>
                <w:rFonts w:ascii="Arial" w:cs="Arial" w:eastAsia="Arial" w:hAnsi="Arial"/>
                <w:sz w:val="17"/>
                <w:szCs w:val="17"/>
                <w:color w:val="auto"/>
              </w:rPr>
              <w:t>Pay-fixed interest rate swap</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ind w:left="20"/>
              <w:spacing w:after="0" w:line="181" w:lineRule="exact"/>
              <w:rPr>
                <w:sz w:val="20"/>
                <w:szCs w:val="20"/>
                <w:color w:val="auto"/>
              </w:rPr>
            </w:pPr>
            <w:r>
              <w:rPr>
                <w:rFonts w:ascii="Arial" w:cs="Arial" w:eastAsia="Arial" w:hAnsi="Arial"/>
                <w:sz w:val="17"/>
                <w:szCs w:val="17"/>
                <w:color w:val="auto"/>
              </w:rPr>
              <w:t>Other</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ind w:left="20"/>
              <w:spacing w:after="0" w:line="181" w:lineRule="exact"/>
              <w:rPr>
                <w:sz w:val="20"/>
                <w:szCs w:val="20"/>
                <w:color w:val="auto"/>
              </w:rPr>
            </w:pPr>
            <w:r>
              <w:rPr>
                <w:rFonts w:ascii="Arial" w:cs="Arial" w:eastAsia="Arial" w:hAnsi="Arial"/>
                <w:sz w:val="17"/>
                <w:szCs w:val="17"/>
                <w:color w:val="auto"/>
              </w:rPr>
              <w:t>Other</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520" w:type="dxa"/>
            <w:vAlign w:val="bottom"/>
          </w:tcPr>
          <w:p>
            <w:pPr>
              <w:ind w:left="320"/>
              <w:spacing w:after="0"/>
              <w:rPr>
                <w:sz w:val="20"/>
                <w:szCs w:val="20"/>
                <w:color w:val="auto"/>
              </w:rPr>
            </w:pPr>
            <w:r>
              <w:rPr>
                <w:rFonts w:ascii="Arial" w:cs="Arial" w:eastAsia="Arial" w:hAnsi="Arial"/>
                <w:sz w:val="17"/>
                <w:szCs w:val="17"/>
                <w:color w:val="auto"/>
              </w:rPr>
              <w:t>agreements - commercial</w:t>
            </w:r>
          </w:p>
        </w:tc>
        <w:tc>
          <w:tcPr>
            <w:tcW w:w="880" w:type="dxa"/>
            <w:vAlign w:val="bottom"/>
          </w:tcPr>
          <w:p>
            <w:pPr>
              <w:ind w:left="20"/>
              <w:spacing w:after="0"/>
              <w:rPr>
                <w:sz w:val="20"/>
                <w:szCs w:val="20"/>
                <w:color w:val="auto"/>
              </w:rPr>
            </w:pPr>
            <w:r>
              <w:rPr>
                <w:rFonts w:ascii="Arial" w:cs="Arial" w:eastAsia="Arial" w:hAnsi="Arial"/>
                <w:sz w:val="17"/>
                <w:szCs w:val="17"/>
                <w:color w:val="auto"/>
                <w:w w:val="87"/>
              </w:rPr>
              <w:t>Other assets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22,400</w:t>
            </w:r>
          </w:p>
        </w:tc>
        <w:tc>
          <w:tcPr>
            <w:tcW w:w="8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Arial" w:cs="Arial" w:eastAsia="Arial" w:hAnsi="Arial"/>
                <w:sz w:val="17"/>
                <w:szCs w:val="17"/>
                <w:color w:val="auto"/>
                <w:w w:val="85"/>
              </w:rPr>
              <w:t>Other assets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17,567</w:t>
            </w:r>
          </w:p>
        </w:tc>
        <w:tc>
          <w:tcPr>
            <w:tcW w:w="100" w:type="dxa"/>
            <w:vAlign w:val="bottom"/>
          </w:tcPr>
          <w:p>
            <w:pPr>
              <w:spacing w:after="0"/>
              <w:rPr>
                <w:sz w:val="18"/>
                <w:szCs w:val="18"/>
                <w:color w:val="auto"/>
              </w:rPr>
            </w:pPr>
          </w:p>
        </w:tc>
        <w:tc>
          <w:tcPr>
            <w:tcW w:w="840" w:type="dxa"/>
            <w:vAlign w:val="bottom"/>
          </w:tcPr>
          <w:p>
            <w:pPr>
              <w:ind w:left="20"/>
              <w:spacing w:after="0"/>
              <w:rPr>
                <w:sz w:val="20"/>
                <w:szCs w:val="20"/>
                <w:color w:val="auto"/>
              </w:rPr>
            </w:pPr>
            <w:r>
              <w:rPr>
                <w:rFonts w:ascii="Arial" w:cs="Arial" w:eastAsia="Arial" w:hAnsi="Arial"/>
                <w:sz w:val="17"/>
                <w:szCs w:val="17"/>
                <w:color w:val="auto"/>
              </w:rPr>
              <w:t>liabilities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643</w:t>
            </w:r>
          </w:p>
        </w:tc>
        <w:tc>
          <w:tcPr>
            <w:tcW w:w="10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Arial" w:cs="Arial" w:eastAsia="Arial" w:hAnsi="Arial"/>
                <w:sz w:val="17"/>
                <w:szCs w:val="17"/>
                <w:color w:val="auto"/>
              </w:rPr>
              <w:t>liabilities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504</w:t>
            </w:r>
          </w:p>
        </w:tc>
        <w:tc>
          <w:tcPr>
            <w:tcW w:w="0" w:type="dxa"/>
            <w:vAlign w:val="bottom"/>
          </w:tcPr>
          <w:p>
            <w:pPr>
              <w:spacing w:after="0"/>
              <w:rPr>
                <w:sz w:val="1"/>
                <w:szCs w:val="1"/>
                <w:color w:val="auto"/>
              </w:rPr>
            </w:pPr>
          </w:p>
        </w:tc>
      </w:tr>
      <w:tr>
        <w:trPr>
          <w:trHeight w:val="182"/>
        </w:trPr>
        <w:tc>
          <w:tcPr>
            <w:tcW w:w="2520" w:type="dxa"/>
            <w:vAlign w:val="bottom"/>
            <w:shd w:val="clear" w:color="auto" w:fill="CCEEFF"/>
          </w:tcPr>
          <w:p>
            <w:pPr>
              <w:ind w:left="180"/>
              <w:spacing w:after="0" w:line="182" w:lineRule="exact"/>
              <w:rPr>
                <w:sz w:val="20"/>
                <w:szCs w:val="20"/>
                <w:color w:val="auto"/>
              </w:rPr>
            </w:pPr>
            <w:r>
              <w:rPr>
                <w:rFonts w:ascii="Arial" w:cs="Arial" w:eastAsia="Arial" w:hAnsi="Arial"/>
                <w:sz w:val="17"/>
                <w:szCs w:val="17"/>
                <w:color w:val="auto"/>
                <w:w w:val="99"/>
              </w:rPr>
              <w:t>Pay-variable interest rate swap</w:t>
            </w: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ind w:left="20"/>
              <w:spacing w:after="0" w:line="182" w:lineRule="exact"/>
              <w:rPr>
                <w:sz w:val="20"/>
                <w:szCs w:val="20"/>
                <w:color w:val="auto"/>
              </w:rPr>
            </w:pPr>
            <w:r>
              <w:rPr>
                <w:rFonts w:ascii="Arial" w:cs="Arial" w:eastAsia="Arial" w:hAnsi="Arial"/>
                <w:sz w:val="17"/>
                <w:szCs w:val="17"/>
                <w:color w:val="auto"/>
              </w:rPr>
              <w:t>Other</w:t>
            </w: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20"/>
              <w:spacing w:after="0" w:line="182" w:lineRule="exact"/>
              <w:rPr>
                <w:sz w:val="20"/>
                <w:szCs w:val="20"/>
                <w:color w:val="auto"/>
              </w:rPr>
            </w:pPr>
            <w:r>
              <w:rPr>
                <w:rFonts w:ascii="Arial" w:cs="Arial" w:eastAsia="Arial" w:hAnsi="Arial"/>
                <w:sz w:val="17"/>
                <w:szCs w:val="17"/>
                <w:color w:val="auto"/>
              </w:rPr>
              <w:t>Other</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5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agreements - commercial</w:t>
            </w:r>
          </w:p>
        </w:tc>
        <w:tc>
          <w:tcPr>
            <w:tcW w:w="880" w:type="dxa"/>
            <w:vAlign w:val="bottom"/>
            <w:shd w:val="clear" w:color="auto" w:fill="CCEEFF"/>
          </w:tcPr>
          <w:p>
            <w:pPr>
              <w:ind w:left="20"/>
              <w:spacing w:after="0"/>
              <w:rPr>
                <w:sz w:val="20"/>
                <w:szCs w:val="20"/>
                <w:color w:val="auto"/>
              </w:rPr>
            </w:pPr>
            <w:r>
              <w:rPr>
                <w:rFonts w:ascii="Arial" w:cs="Arial" w:eastAsia="Arial" w:hAnsi="Arial"/>
                <w:sz w:val="17"/>
                <w:szCs w:val="17"/>
                <w:color w:val="auto"/>
                <w:w w:val="87"/>
              </w:rPr>
              <w:t>Other assets</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643</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ind w:left="20"/>
              <w:spacing w:after="0"/>
              <w:rPr>
                <w:sz w:val="20"/>
                <w:szCs w:val="20"/>
                <w:color w:val="auto"/>
              </w:rPr>
            </w:pPr>
            <w:r>
              <w:rPr>
                <w:rFonts w:ascii="Arial" w:cs="Arial" w:eastAsia="Arial" w:hAnsi="Arial"/>
                <w:sz w:val="17"/>
                <w:szCs w:val="17"/>
                <w:color w:val="auto"/>
                <w:w w:val="85"/>
              </w:rPr>
              <w:t>Other assets</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22,400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17,567</w:t>
            </w:r>
          </w:p>
        </w:tc>
        <w:tc>
          <w:tcPr>
            <w:tcW w:w="0" w:type="dxa"/>
            <w:vAlign w:val="bottom"/>
          </w:tcPr>
          <w:p>
            <w:pPr>
              <w:spacing w:after="0"/>
              <w:rPr>
                <w:sz w:val="1"/>
                <w:szCs w:val="1"/>
                <w:color w:val="auto"/>
              </w:rPr>
            </w:pPr>
          </w:p>
        </w:tc>
      </w:tr>
      <w:tr>
        <w:trPr>
          <w:trHeight w:val="212"/>
        </w:trPr>
        <w:tc>
          <w:tcPr>
            <w:tcW w:w="25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23,527</w:t>
            </w: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18,386</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23,183</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19,127</w:t>
            </w:r>
          </w:p>
        </w:tc>
        <w:tc>
          <w:tcPr>
            <w:tcW w:w="0" w:type="dxa"/>
            <w:vAlign w:val="bottom"/>
          </w:tcPr>
          <w:p>
            <w:pPr>
              <w:spacing w:after="0"/>
              <w:rPr>
                <w:sz w:val="1"/>
                <w:szCs w:val="1"/>
                <w:color w:val="auto"/>
              </w:rPr>
            </w:pPr>
          </w:p>
        </w:tc>
      </w:tr>
      <w:tr>
        <w:trPr>
          <w:trHeight w:val="233"/>
        </w:trPr>
        <w:tc>
          <w:tcPr>
            <w:tcW w:w="25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derivatives</w:t>
            </w:r>
          </w:p>
        </w:tc>
        <w:tc>
          <w:tcPr>
            <w:tcW w:w="8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49,227</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39,747</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23,183</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19,127</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effect of derivative financial instruments on the Condensed Consolidated Statements of Operations follows: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left="2380"/>
        <w:spacing w:after="0"/>
        <w:rPr>
          <w:sz w:val="20"/>
          <w:szCs w:val="20"/>
          <w:color w:val="auto"/>
        </w:rPr>
      </w:pPr>
      <w:r>
        <w:rPr>
          <w:rFonts w:ascii="Arial" w:cs="Arial" w:eastAsia="Arial" w:hAnsi="Arial"/>
          <w:sz w:val="15"/>
          <w:szCs w:val="15"/>
          <w:color w:val="auto"/>
        </w:rPr>
        <w:t>Loss Recognized in Other</w:t>
      </w:r>
    </w:p>
    <w:p>
      <w:pPr>
        <w:jc w:val="center"/>
        <w:ind w:left="2380"/>
        <w:spacing w:after="0" w:line="215" w:lineRule="auto"/>
        <w:rPr>
          <w:sz w:val="20"/>
          <w:szCs w:val="20"/>
          <w:color w:val="auto"/>
        </w:rPr>
      </w:pPr>
      <w:r>
        <w:rPr>
          <w:rFonts w:ascii="Arial" w:cs="Arial" w:eastAsia="Arial" w:hAnsi="Arial"/>
          <w:sz w:val="15"/>
          <w:szCs w:val="15"/>
          <w:color w:val="auto"/>
        </w:rPr>
        <w:t>Comprehensive Income</w:t>
      </w:r>
    </w:p>
    <w:p>
      <w:pPr>
        <w:jc w:val="center"/>
        <w:ind w:left="2380"/>
        <w:spacing w:after="0"/>
        <w:rPr>
          <w:sz w:val="20"/>
          <w:szCs w:val="20"/>
          <w:color w:val="auto"/>
        </w:rPr>
      </w:pPr>
      <w:r>
        <w:rPr>
          <w:rFonts w:ascii="Arial" w:cs="Arial" w:eastAsia="Arial" w:hAnsi="Arial"/>
          <w:sz w:val="15"/>
          <w:szCs w:val="15"/>
          <w:color w:val="auto"/>
        </w:rPr>
        <w:t>(Loss) (Effective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1516380</wp:posOffset>
            </wp:positionH>
            <wp:positionV relativeFrom="paragraph">
              <wp:posOffset>10795</wp:posOffset>
            </wp:positionV>
            <wp:extent cx="11214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21410" cy="8255"/>
                    </a:xfrm>
                    <a:prstGeom prst="rect">
                      <a:avLst/>
                    </a:prstGeom>
                    <a:noFill/>
                  </pic:spPr>
                </pic:pic>
              </a:graphicData>
            </a:graphic>
          </wp:anchor>
        </w:drawing>
      </w:r>
    </w:p>
    <w:p>
      <w:pPr>
        <w:spacing w:after="0" w:line="86"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Three Month</w:t>
      </w:r>
    </w:p>
    <w:p>
      <w:pPr>
        <w:ind w:left="2820"/>
        <w:spacing w:after="0" w:line="215" w:lineRule="auto"/>
        <w:rPr>
          <w:sz w:val="20"/>
          <w:szCs w:val="20"/>
          <w:color w:val="auto"/>
        </w:rPr>
      </w:pPr>
      <w:r>
        <w:rPr>
          <w:rFonts w:ascii="Arial" w:cs="Arial" w:eastAsia="Arial" w:hAnsi="Arial"/>
          <w:sz w:val="15"/>
          <w:szCs w:val="15"/>
          <w:color w:val="auto"/>
        </w:rPr>
        <w:t>Periods Ended</w:t>
      </w:r>
    </w:p>
    <w:p>
      <w:pPr>
        <w:ind w:left="2820"/>
        <w:spacing w:after="0"/>
        <w:rPr>
          <w:sz w:val="20"/>
          <w:szCs w:val="20"/>
          <w:color w:val="auto"/>
        </w:rPr>
      </w:pPr>
      <w:r>
        <w:rPr>
          <w:rFonts w:ascii="Arial" w:cs="Arial" w:eastAsia="Arial" w:hAnsi="Arial"/>
          <w:sz w:val="15"/>
          <w:szCs w:val="15"/>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1516380</wp:posOffset>
            </wp:positionH>
            <wp:positionV relativeFrom="paragraph">
              <wp:posOffset>10795</wp:posOffset>
            </wp:positionV>
            <wp:extent cx="11214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21410" cy="8255"/>
                    </a:xfrm>
                    <a:prstGeom prst="rect">
                      <a:avLst/>
                    </a:prstGeom>
                    <a:noFill/>
                  </pic:spPr>
                </pic:pic>
              </a:graphicData>
            </a:graphic>
          </wp:anchor>
        </w:drawing>
      </w:r>
    </w:p>
    <w:p>
      <w:pPr>
        <w:spacing w:after="0" w:line="53" w:lineRule="exact"/>
        <w:rPr>
          <w:sz w:val="20"/>
          <w:szCs w:val="20"/>
          <w:color w:val="auto"/>
        </w:rPr>
      </w:pPr>
    </w:p>
    <w:p>
      <w:pPr>
        <w:ind w:left="2640"/>
        <w:spacing w:after="0"/>
        <w:tabs>
          <w:tab w:leader="none" w:pos="3580" w:val="left"/>
        </w:tabs>
        <w:rPr>
          <w:sz w:val="20"/>
          <w:szCs w:val="20"/>
          <w:color w:val="auto"/>
        </w:rPr>
      </w:pPr>
      <w:r>
        <w:rPr>
          <w:rFonts w:ascii="Arial" w:cs="Arial" w:eastAsia="Arial" w:hAnsi="Arial"/>
          <w:sz w:val="15"/>
          <w:szCs w:val="15"/>
          <w:color w:val="auto"/>
        </w:rPr>
        <w:t>2023</w:t>
      </w:r>
      <w:r>
        <w:rPr>
          <w:sz w:val="20"/>
          <w:szCs w:val="20"/>
          <w:color w:val="auto"/>
        </w:rPr>
        <w:tab/>
      </w:r>
      <w:r>
        <w:rPr>
          <w:rFonts w:ascii="Arial" w:cs="Arial" w:eastAsia="Arial" w:hAnsi="Arial"/>
          <w:sz w:val="15"/>
          <w:szCs w:val="15"/>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1516380</wp:posOffset>
            </wp:positionH>
            <wp:positionV relativeFrom="paragraph">
              <wp:posOffset>18415</wp:posOffset>
            </wp:positionV>
            <wp:extent cx="11214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21410" cy="8255"/>
                    </a:xfrm>
                    <a:prstGeom prst="rect">
                      <a:avLst/>
                    </a:prstGeom>
                    <a:noFill/>
                  </pic:spPr>
                </pic:pic>
              </a:graphicData>
            </a:graphic>
          </wp:anchor>
        </w:drawing>
      </w:r>
    </w:p>
    <w:p>
      <w:pPr>
        <w:spacing w:after="0" w:line="233" w:lineRule="exact"/>
        <w:rPr>
          <w:sz w:val="20"/>
          <w:szCs w:val="20"/>
          <w:color w:val="auto"/>
        </w:rPr>
      </w:pPr>
    </w:p>
    <w:p>
      <w:pPr>
        <w:ind w:left="20"/>
        <w:spacing w:after="0"/>
        <w:rPr>
          <w:sz w:val="20"/>
          <w:szCs w:val="20"/>
          <w:color w:val="auto"/>
        </w:rPr>
      </w:pPr>
      <w:r>
        <w:rPr>
          <w:rFonts w:ascii="Arial" w:cs="Arial" w:eastAsia="Arial" w:hAnsi="Arial"/>
          <w:sz w:val="15"/>
          <w:szCs w:val="15"/>
          <w:color w:val="auto"/>
        </w:rPr>
        <w:t>Fair Value Hedges</w:t>
      </w:r>
    </w:p>
    <w:p>
      <w:pPr>
        <w:spacing w:after="0" w:line="2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Pay-fixed interest rate swap</w:t>
      </w:r>
    </w:p>
    <w:p>
      <w:pPr>
        <w:ind w:left="320"/>
        <w:spacing w:after="0"/>
        <w:rPr>
          <w:sz w:val="20"/>
          <w:szCs w:val="20"/>
          <w:color w:val="auto"/>
        </w:rPr>
      </w:pPr>
      <w:r>
        <w:rPr>
          <w:rFonts w:ascii="Arial" w:cs="Arial" w:eastAsia="Arial" w:hAnsi="Arial"/>
          <w:sz w:val="15"/>
          <w:szCs w:val="15"/>
          <w:color w:val="auto"/>
        </w:rPr>
        <w:t>agreement - commercial</w:t>
      </w:r>
    </w:p>
    <w:p>
      <w:pPr>
        <w:spacing w:after="0" w:line="22" w:lineRule="exact"/>
        <w:rPr>
          <w:sz w:val="20"/>
          <w:szCs w:val="20"/>
          <w:color w:val="auto"/>
        </w:rPr>
      </w:pPr>
    </w:p>
    <w:p>
      <w:pPr>
        <w:ind w:left="320" w:right="1820" w:hanging="154"/>
        <w:spacing w:after="0" w:line="234" w:lineRule="auto"/>
        <w:rPr>
          <w:sz w:val="20"/>
          <w:szCs w:val="20"/>
          <w:color w:val="auto"/>
        </w:rPr>
      </w:pPr>
      <w:r>
        <w:rPr>
          <w:rFonts w:ascii="Arial" w:cs="Arial" w:eastAsia="Arial" w:hAnsi="Arial"/>
          <w:sz w:val="15"/>
          <w:szCs w:val="15"/>
          <w:color w:val="auto"/>
        </w:rPr>
        <w:t>Pay-fixed interest rate swap agreements - securities available for sale</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Pay-fixed interest rate swap</w:t>
      </w:r>
    </w:p>
    <w:tbl>
      <w:tblPr>
        <w:tblLayout w:type="fixed"/>
        <w:tblInd w:w="180" w:type="dxa"/>
        <w:tblCellMar>
          <w:top w:w="0" w:type="dxa"/>
          <w:left w:w="0" w:type="dxa"/>
          <w:bottom w:w="0" w:type="dxa"/>
          <w:right w:w="0" w:type="dxa"/>
        </w:tblCellMar>
      </w:tblPr>
      <w:tr>
        <w:trPr>
          <w:trHeight w:val="194"/>
        </w:trPr>
        <w:tc>
          <w:tcPr>
            <w:tcW w:w="2200" w:type="dxa"/>
            <w:vAlign w:val="bottom"/>
          </w:tcPr>
          <w:p>
            <w:pPr>
              <w:ind w:left="140"/>
              <w:spacing w:after="0"/>
              <w:rPr>
                <w:sz w:val="20"/>
                <w:szCs w:val="20"/>
                <w:color w:val="auto"/>
              </w:rPr>
            </w:pPr>
            <w:r>
              <w:rPr>
                <w:rFonts w:ascii="Arial" w:cs="Arial" w:eastAsia="Arial" w:hAnsi="Arial"/>
                <w:sz w:val="15"/>
                <w:szCs w:val="15"/>
                <w:color w:val="auto"/>
              </w:rPr>
              <w:t>agreements - Installment</w:t>
            </w: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200" w:type="dxa"/>
            <w:vAlign w:val="bottom"/>
          </w:tcPr>
          <w:p>
            <w:pPr>
              <w:spacing w:after="0" w:line="155" w:lineRule="exact"/>
              <w:rPr>
                <w:sz w:val="20"/>
                <w:szCs w:val="20"/>
                <w:color w:val="auto"/>
              </w:rPr>
            </w:pPr>
            <w:r>
              <w:rPr>
                <w:rFonts w:ascii="Arial" w:cs="Arial" w:eastAsia="Arial" w:hAnsi="Arial"/>
                <w:sz w:val="15"/>
                <w:szCs w:val="15"/>
                <w:color w:val="auto"/>
              </w:rPr>
              <w:t>Pay-fixed interest rate swap</w:t>
            </w: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200" w:type="dxa"/>
            <w:vAlign w:val="bottom"/>
          </w:tcPr>
          <w:p>
            <w:pPr>
              <w:ind w:left="140"/>
              <w:spacing w:after="0"/>
              <w:rPr>
                <w:sz w:val="20"/>
                <w:szCs w:val="20"/>
                <w:color w:val="auto"/>
              </w:rPr>
            </w:pPr>
            <w:r>
              <w:rPr>
                <w:rFonts w:ascii="Arial" w:cs="Arial" w:eastAsia="Arial" w:hAnsi="Arial"/>
                <w:sz w:val="15"/>
                <w:szCs w:val="15"/>
                <w:color w:val="auto"/>
              </w:rPr>
              <w:t>agreements - Mortgage</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200" w:type="dxa"/>
            <w:vAlign w:val="bottom"/>
          </w:tcPr>
          <w:p>
            <w:pPr>
              <w:spacing w:after="0" w:line="165" w:lineRule="exact"/>
              <w:rPr>
                <w:sz w:val="20"/>
                <w:szCs w:val="20"/>
                <w:color w:val="auto"/>
              </w:rPr>
            </w:pPr>
            <w:r>
              <w:rPr>
                <w:rFonts w:ascii="Arial" w:cs="Arial" w:eastAsia="Arial" w:hAnsi="Arial"/>
                <w:sz w:val="15"/>
                <w:szCs w:val="15"/>
                <w:color w:val="auto"/>
              </w:rPr>
              <w:t>Interest rate cap agreements -</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200" w:type="dxa"/>
            <w:vAlign w:val="bottom"/>
          </w:tcPr>
          <w:p>
            <w:pPr>
              <w:ind w:left="140"/>
              <w:spacing w:after="0"/>
              <w:rPr>
                <w:sz w:val="20"/>
                <w:szCs w:val="20"/>
                <w:color w:val="auto"/>
              </w:rPr>
            </w:pPr>
            <w:r>
              <w:rPr>
                <w:rFonts w:ascii="Arial" w:cs="Arial" w:eastAsia="Arial" w:hAnsi="Arial"/>
                <w:sz w:val="15"/>
                <w:szCs w:val="15"/>
                <w:color w:val="auto"/>
              </w:rPr>
              <w:t>securities available for sale</w:t>
            </w:r>
          </w:p>
        </w:tc>
        <w:tc>
          <w:tcPr>
            <w:tcW w:w="320" w:type="dxa"/>
            <w:vAlign w:val="bottom"/>
            <w:vMerge w:val="restart"/>
          </w:tcPr>
          <w:p>
            <w:pPr>
              <w:jc w:val="right"/>
              <w:ind w:right="143"/>
              <w:spacing w:after="0"/>
              <w:rPr>
                <w:sz w:val="20"/>
                <w:szCs w:val="20"/>
                <w:color w:val="auto"/>
              </w:rPr>
            </w:pPr>
            <w:r>
              <w:rPr>
                <w:rFonts w:ascii="Arial" w:cs="Arial" w:eastAsia="Arial" w:hAnsi="Arial"/>
                <w:sz w:val="15"/>
                <w:szCs w:val="15"/>
                <w:color w:val="auto"/>
                <w:w w:val="95"/>
              </w:rPr>
              <w:t>$</w:t>
            </w:r>
          </w:p>
        </w:tc>
        <w:tc>
          <w:tcPr>
            <w:tcW w:w="480" w:type="dxa"/>
            <w:vAlign w:val="bottom"/>
            <w:vMerge w:val="restart"/>
          </w:tcPr>
          <w:p>
            <w:pPr>
              <w:jc w:val="center"/>
              <w:ind w:left="103"/>
              <w:spacing w:after="0"/>
              <w:rPr>
                <w:sz w:val="20"/>
                <w:szCs w:val="20"/>
                <w:color w:val="auto"/>
              </w:rPr>
            </w:pPr>
            <w:r>
              <w:rPr>
                <w:rFonts w:ascii="Arial" w:cs="Arial" w:eastAsia="Arial" w:hAnsi="Arial"/>
                <w:sz w:val="15"/>
                <w:szCs w:val="15"/>
                <w:color w:val="auto"/>
                <w:w w:val="97"/>
              </w:rPr>
              <w:t>(25)</w:t>
            </w:r>
          </w:p>
        </w:tc>
        <w:tc>
          <w:tcPr>
            <w:tcW w:w="180" w:type="dxa"/>
            <w:vAlign w:val="bottom"/>
          </w:tcPr>
          <w:p>
            <w:pPr>
              <w:spacing w:after="0"/>
              <w:rPr>
                <w:sz w:val="17"/>
                <w:szCs w:val="17"/>
                <w:color w:val="auto"/>
              </w:rPr>
            </w:pPr>
          </w:p>
        </w:tc>
        <w:tc>
          <w:tcPr>
            <w:tcW w:w="340" w:type="dxa"/>
            <w:vAlign w:val="bottom"/>
            <w:vMerge w:val="restart"/>
          </w:tcPr>
          <w:p>
            <w:pPr>
              <w:jc w:val="right"/>
              <w:ind w:right="183"/>
              <w:spacing w:after="0"/>
              <w:rPr>
                <w:sz w:val="20"/>
                <w:szCs w:val="20"/>
                <w:color w:val="auto"/>
              </w:rPr>
            </w:pPr>
            <w:r>
              <w:rPr>
                <w:rFonts w:ascii="Arial" w:cs="Arial" w:eastAsia="Arial" w:hAnsi="Arial"/>
                <w:sz w:val="15"/>
                <w:szCs w:val="15"/>
                <w:color w:val="auto"/>
                <w:w w:val="71"/>
              </w:rPr>
              <w:t>$</w:t>
            </w:r>
          </w:p>
        </w:tc>
        <w:tc>
          <w:tcPr>
            <w:tcW w:w="460" w:type="dxa"/>
            <w:vAlign w:val="bottom"/>
            <w:vMerge w:val="restart"/>
          </w:tcPr>
          <w:p>
            <w:pPr>
              <w:ind w:left="2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5"/>
        </w:trPr>
        <w:tc>
          <w:tcPr>
            <w:tcW w:w="220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200" w:type="dxa"/>
            <w:vAlign w:val="bottom"/>
          </w:tcPr>
          <w:p>
            <w:pPr>
              <w:spacing w:after="0" w:line="165" w:lineRule="exact"/>
              <w:rPr>
                <w:sz w:val="20"/>
                <w:szCs w:val="20"/>
                <w:color w:val="auto"/>
              </w:rPr>
            </w:pPr>
            <w:r>
              <w:rPr>
                <w:rFonts w:ascii="Arial" w:cs="Arial" w:eastAsia="Arial" w:hAnsi="Arial"/>
                <w:sz w:val="15"/>
                <w:szCs w:val="15"/>
                <w:color w:val="auto"/>
              </w:rPr>
              <w:t>Interest rate cap agreements -</w:t>
            </w:r>
          </w:p>
        </w:tc>
        <w:tc>
          <w:tcPr>
            <w:tcW w:w="320" w:type="dxa"/>
            <w:vAlign w:val="bottom"/>
          </w:tcPr>
          <w:p>
            <w:pPr>
              <w:spacing w:after="0"/>
              <w:rPr>
                <w:sz w:val="14"/>
                <w:szCs w:val="14"/>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4"/>
                <w:szCs w:val="14"/>
                <w:color w:val="auto"/>
              </w:rPr>
            </w:pPr>
          </w:p>
        </w:tc>
        <w:tc>
          <w:tcPr>
            <w:tcW w:w="460" w:type="dxa"/>
            <w:vAlign w:val="bottom"/>
            <w:vMerge w:val="restart"/>
          </w:tcPr>
          <w:p>
            <w:pPr>
              <w:ind w:left="2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2200" w:type="dxa"/>
            <w:vAlign w:val="bottom"/>
          </w:tcPr>
          <w:p>
            <w:pPr>
              <w:ind w:left="140"/>
              <w:spacing w:after="0"/>
              <w:rPr>
                <w:sz w:val="20"/>
                <w:szCs w:val="20"/>
                <w:color w:val="auto"/>
              </w:rPr>
            </w:pPr>
            <w:r>
              <w:rPr>
                <w:rFonts w:ascii="Arial" w:cs="Arial" w:eastAsia="Arial" w:hAnsi="Arial"/>
                <w:sz w:val="15"/>
                <w:szCs w:val="15"/>
                <w:color w:val="auto"/>
              </w:rPr>
              <w:t>installment</w:t>
            </w:r>
          </w:p>
        </w:tc>
        <w:tc>
          <w:tcPr>
            <w:tcW w:w="32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140"/>
              <w:spacing w:after="0"/>
              <w:rPr>
                <w:sz w:val="20"/>
                <w:szCs w:val="20"/>
                <w:color w:val="auto"/>
              </w:rPr>
            </w:pPr>
            <w:r>
              <w:rPr>
                <w:rFonts w:ascii="Arial" w:cs="Arial" w:eastAsia="Arial" w:hAnsi="Arial"/>
                <w:sz w:val="15"/>
                <w:szCs w:val="15"/>
                <w:color w:val="auto"/>
              </w:rPr>
              <w:t>Total</w:t>
            </w:r>
          </w:p>
        </w:tc>
        <w:tc>
          <w:tcPr>
            <w:tcW w:w="32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480" w:type="dxa"/>
            <w:vAlign w:val="bottom"/>
            <w:tcBorders>
              <w:top w:val="single" w:sz="8" w:color="auto"/>
              <w:bottom w:val="single" w:sz="8" w:color="auto"/>
            </w:tcBorders>
          </w:tcPr>
          <w:p>
            <w:pPr>
              <w:jc w:val="center"/>
              <w:ind w:left="103"/>
              <w:spacing w:after="0"/>
              <w:rPr>
                <w:sz w:val="20"/>
                <w:szCs w:val="20"/>
                <w:color w:val="auto"/>
              </w:rPr>
            </w:pPr>
            <w:r>
              <w:rPr>
                <w:rFonts w:ascii="Arial" w:cs="Arial" w:eastAsia="Arial" w:hAnsi="Arial"/>
                <w:sz w:val="15"/>
                <w:szCs w:val="15"/>
                <w:color w:val="auto"/>
                <w:w w:val="97"/>
              </w:rPr>
              <w:t>(25)</w:t>
            </w:r>
          </w:p>
        </w:tc>
        <w:tc>
          <w:tcPr>
            <w:tcW w:w="180" w:type="dxa"/>
            <w:vAlign w:val="bottom"/>
            <w:tcBorders>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
        </w:trPr>
        <w:tc>
          <w:tcPr>
            <w:tcW w:w="2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20"/>
        <w:spacing w:after="0"/>
        <w:rPr>
          <w:sz w:val="20"/>
          <w:szCs w:val="20"/>
          <w:color w:val="auto"/>
        </w:rPr>
      </w:pPr>
      <w:r>
        <w:rPr>
          <w:rFonts w:ascii="Arial" w:cs="Arial" w:eastAsia="Arial" w:hAnsi="Arial"/>
          <w:sz w:val="15"/>
          <w:szCs w:val="15"/>
          <w:color w:val="auto"/>
        </w:rPr>
        <w:t>Cash Flow Hedges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line="239" w:lineRule="auto"/>
        <w:rPr>
          <w:sz w:val="20"/>
          <w:szCs w:val="20"/>
          <w:color w:val="auto"/>
        </w:rPr>
      </w:pPr>
      <w:r>
        <w:rPr>
          <w:rFonts w:ascii="Arial" w:cs="Arial" w:eastAsia="Arial" w:hAnsi="Arial"/>
          <w:sz w:val="14"/>
          <w:szCs w:val="14"/>
          <w:color w:val="auto"/>
        </w:rPr>
        <w:t>Location of Loss Reclassified from Accumulated Other Comprehensive Income (Loss) into Income (Effective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-2829560</wp:posOffset>
            </wp:positionH>
            <wp:positionV relativeFrom="paragraph">
              <wp:posOffset>144145</wp:posOffset>
            </wp:positionV>
            <wp:extent cx="7138670" cy="1308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-2829560</wp:posOffset>
            </wp:positionH>
            <wp:positionV relativeFrom="paragraph">
              <wp:posOffset>504190</wp:posOffset>
            </wp:positionV>
            <wp:extent cx="7138670" cy="3276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8670" cy="327660"/>
                    </a:xfrm>
                    <a:prstGeom prst="rect">
                      <a:avLst/>
                    </a:prstGeom>
                    <a:noFill/>
                  </pic:spPr>
                </pic:pic>
              </a:graphicData>
            </a:graphic>
          </wp:anchor>
        </w:drawing>
        <w:drawing>
          <wp:anchor simplePos="0" relativeHeight="251657728" behindDoc="1" locked="0" layoutInCell="0" allowOverlap="1">
            <wp:simplePos x="0" y="0"/>
            <wp:positionH relativeFrom="column">
              <wp:posOffset>-2829560</wp:posOffset>
            </wp:positionH>
            <wp:positionV relativeFrom="paragraph">
              <wp:posOffset>1060450</wp:posOffset>
            </wp:positionV>
            <wp:extent cx="7138670" cy="2292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8670" cy="229235"/>
                    </a:xfrm>
                    <a:prstGeom prst="rect">
                      <a:avLst/>
                    </a:prstGeom>
                    <a:noFill/>
                  </pic:spPr>
                </pic:pic>
              </a:graphicData>
            </a:graphic>
          </wp:anchor>
        </w:drawing>
        <w:drawing>
          <wp:anchor simplePos="0" relativeHeight="251657728" behindDoc="1" locked="0" layoutInCell="0" allowOverlap="1">
            <wp:simplePos x="0" y="0"/>
            <wp:positionH relativeFrom="column">
              <wp:posOffset>-86995</wp:posOffset>
            </wp:positionH>
            <wp:positionV relativeFrom="paragraph">
              <wp:posOffset>4445</wp:posOffset>
            </wp:positionV>
            <wp:extent cx="9493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40" w:right="40" w:hanging="154"/>
        <w:spacing w:after="0" w:line="256" w:lineRule="auto"/>
        <w:rPr>
          <w:sz w:val="20"/>
          <w:szCs w:val="20"/>
          <w:color w:val="auto"/>
        </w:rPr>
      </w:pPr>
      <w:r>
        <w:rPr>
          <w:rFonts w:ascii="Arial" w:cs="Arial" w:eastAsia="Arial" w:hAnsi="Arial"/>
          <w:sz w:val="14"/>
          <w:szCs w:val="14"/>
          <w:color w:val="auto"/>
        </w:rPr>
        <w:t>Interest on securities available for sale - tax - exempt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-2829560</wp:posOffset>
            </wp:positionH>
            <wp:positionV relativeFrom="paragraph">
              <wp:posOffset>-1905</wp:posOffset>
            </wp:positionV>
            <wp:extent cx="7138670" cy="2292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8670" cy="229235"/>
                    </a:xfrm>
                    <a:prstGeom prst="rect">
                      <a:avLst/>
                    </a:prstGeom>
                    <a:noFill/>
                  </pic:spPr>
                </pic:pic>
              </a:graphicData>
            </a:graphic>
          </wp:anchor>
        </w:drawing>
      </w:r>
    </w:p>
    <w:p>
      <w:pPr>
        <w:ind w:left="40" w:right="140" w:hanging="154"/>
        <w:spacing w:after="0" w:line="247" w:lineRule="auto"/>
        <w:rPr>
          <w:sz w:val="20"/>
          <w:szCs w:val="20"/>
          <w:color w:val="auto"/>
        </w:rPr>
      </w:pPr>
      <w:r>
        <w:rPr>
          <w:rFonts w:ascii="Arial" w:cs="Arial" w:eastAsia="Arial" w:hAnsi="Arial"/>
          <w:sz w:val="15"/>
          <w:szCs w:val="15"/>
          <w:color w:val="auto"/>
        </w:rPr>
        <w:t>Interest and fees on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-2829560</wp:posOffset>
            </wp:positionH>
            <wp:positionV relativeFrom="paragraph">
              <wp:posOffset>156210</wp:posOffset>
            </wp:positionV>
            <wp:extent cx="7138670" cy="163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800" w:type="dxa"/>
            <w:vAlign w:val="bottom"/>
            <w:gridSpan w:val="3"/>
          </w:tcPr>
          <w:p>
            <w:pPr>
              <w:jc w:val="center"/>
              <w:spacing w:after="0"/>
              <w:rPr>
                <w:sz w:val="20"/>
                <w:szCs w:val="20"/>
                <w:color w:val="auto"/>
              </w:rPr>
            </w:pPr>
            <w:r>
              <w:rPr>
                <w:rFonts w:ascii="Arial" w:cs="Arial" w:eastAsia="Arial" w:hAnsi="Arial"/>
                <w:sz w:val="15"/>
                <w:szCs w:val="15"/>
                <w:color w:val="auto"/>
                <w:w w:val="95"/>
              </w:rPr>
              <w:t>Loss Reclassified from</w:t>
            </w: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800" w:type="dxa"/>
            <w:vAlign w:val="bottom"/>
            <w:gridSpan w:val="3"/>
          </w:tcPr>
          <w:p>
            <w:pPr>
              <w:jc w:val="center"/>
              <w:spacing w:after="0" w:line="155" w:lineRule="exact"/>
              <w:rPr>
                <w:sz w:val="20"/>
                <w:szCs w:val="20"/>
                <w:color w:val="auto"/>
              </w:rPr>
            </w:pPr>
            <w:r>
              <w:rPr>
                <w:rFonts w:ascii="Arial" w:cs="Arial" w:eastAsia="Arial" w:hAnsi="Arial"/>
                <w:sz w:val="15"/>
                <w:szCs w:val="15"/>
                <w:color w:val="auto"/>
                <w:w w:val="93"/>
              </w:rPr>
              <w:t>Accumulated Other</w:t>
            </w: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800" w:type="dxa"/>
            <w:vAlign w:val="bottom"/>
            <w:gridSpan w:val="3"/>
          </w:tcPr>
          <w:p>
            <w:pPr>
              <w:jc w:val="center"/>
              <w:spacing w:after="0" w:line="155" w:lineRule="exact"/>
              <w:rPr>
                <w:sz w:val="20"/>
                <w:szCs w:val="20"/>
                <w:color w:val="auto"/>
              </w:rPr>
            </w:pPr>
            <w:r>
              <w:rPr>
                <w:rFonts w:ascii="Arial" w:cs="Arial" w:eastAsia="Arial" w:hAnsi="Arial"/>
                <w:sz w:val="15"/>
                <w:szCs w:val="15"/>
                <w:color w:val="auto"/>
                <w:w w:val="93"/>
              </w:rPr>
              <w:t>Comprehensive Loss into</w:t>
            </w: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color w:val="auto"/>
                <w:w w:val="97"/>
              </w:rPr>
              <w:t>Income (Effective Portion)</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800" w:type="dxa"/>
            <w:vAlign w:val="bottom"/>
            <w:gridSpan w:val="3"/>
          </w:tcPr>
          <w:p>
            <w:pPr>
              <w:jc w:val="center"/>
              <w:spacing w:after="0"/>
              <w:rPr>
                <w:sz w:val="20"/>
                <w:szCs w:val="20"/>
                <w:color w:val="auto"/>
              </w:rPr>
            </w:pPr>
            <w:r>
              <w:rPr>
                <w:rFonts w:ascii="Arial" w:cs="Arial" w:eastAsia="Arial" w:hAnsi="Arial"/>
                <w:sz w:val="15"/>
                <w:szCs w:val="15"/>
                <w:color w:val="auto"/>
                <w:w w:val="94"/>
              </w:rPr>
              <w:t>Three Month</w:t>
            </w:r>
          </w:p>
        </w:tc>
        <w:tc>
          <w:tcPr>
            <w:tcW w:w="160" w:type="dxa"/>
            <w:vAlign w:val="bottom"/>
          </w:tcPr>
          <w:p>
            <w:pPr>
              <w:spacing w:after="0"/>
              <w:rPr>
                <w:sz w:val="20"/>
                <w:szCs w:val="20"/>
                <w:color w:val="auto"/>
              </w:rPr>
            </w:pPr>
          </w:p>
        </w:tc>
        <w:tc>
          <w:tcPr>
            <w:tcW w:w="1520" w:type="dxa"/>
            <w:vAlign w:val="bottom"/>
            <w:vMerge w:val="restart"/>
          </w:tcPr>
          <w:p>
            <w:pPr>
              <w:jc w:val="center"/>
              <w:spacing w:after="0"/>
              <w:rPr>
                <w:sz w:val="20"/>
                <w:szCs w:val="20"/>
                <w:color w:val="auto"/>
              </w:rPr>
            </w:pPr>
            <w:r>
              <w:rPr>
                <w:rFonts w:ascii="Arial" w:cs="Arial" w:eastAsia="Arial" w:hAnsi="Arial"/>
                <w:sz w:val="15"/>
                <w:szCs w:val="15"/>
                <w:color w:val="auto"/>
                <w:w w:val="98"/>
              </w:rPr>
              <w:t>Location of</w:t>
            </w:r>
          </w:p>
        </w:tc>
        <w:tc>
          <w:tcPr>
            <w:tcW w:w="0" w:type="dxa"/>
            <w:vAlign w:val="bottom"/>
          </w:tcPr>
          <w:p>
            <w:pPr>
              <w:spacing w:after="0"/>
              <w:rPr>
                <w:sz w:val="1"/>
                <w:szCs w:val="1"/>
                <w:color w:val="auto"/>
              </w:rPr>
            </w:pPr>
          </w:p>
        </w:tc>
      </w:tr>
      <w:tr>
        <w:trPr>
          <w:trHeight w:val="103"/>
        </w:trPr>
        <w:tc>
          <w:tcPr>
            <w:tcW w:w="1800" w:type="dxa"/>
            <w:vAlign w:val="bottom"/>
            <w:gridSpan w:val="3"/>
            <w:vMerge w:val="restart"/>
          </w:tcPr>
          <w:p>
            <w:pPr>
              <w:jc w:val="center"/>
              <w:spacing w:after="0" w:line="155" w:lineRule="exact"/>
              <w:rPr>
                <w:sz w:val="20"/>
                <w:szCs w:val="20"/>
                <w:color w:val="auto"/>
              </w:rPr>
            </w:pPr>
            <w:r>
              <w:rPr>
                <w:rFonts w:ascii="Arial" w:cs="Arial" w:eastAsia="Arial" w:hAnsi="Arial"/>
                <w:sz w:val="15"/>
                <w:szCs w:val="15"/>
                <w:color w:val="auto"/>
                <w:w w:val="91"/>
              </w:rPr>
              <w:t>Periods Ended</w:t>
            </w:r>
          </w:p>
        </w:tc>
        <w:tc>
          <w:tcPr>
            <w:tcW w:w="16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80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vMerge w:val="restart"/>
          </w:tcPr>
          <w:p>
            <w:pPr>
              <w:jc w:val="center"/>
              <w:spacing w:after="0" w:line="155" w:lineRule="exact"/>
              <w:rPr>
                <w:sz w:val="20"/>
                <w:szCs w:val="20"/>
                <w:color w:val="auto"/>
              </w:rPr>
            </w:pPr>
            <w:r>
              <w:rPr>
                <w:rFonts w:ascii="Arial" w:cs="Arial" w:eastAsia="Arial" w:hAnsi="Arial"/>
                <w:sz w:val="15"/>
                <w:szCs w:val="15"/>
                <w:color w:val="auto"/>
                <w:w w:val="92"/>
              </w:rPr>
              <w:t>Gain (Loss)</w:t>
            </w:r>
          </w:p>
        </w:tc>
        <w:tc>
          <w:tcPr>
            <w:tcW w:w="0" w:type="dxa"/>
            <w:vAlign w:val="bottom"/>
          </w:tcPr>
          <w:p>
            <w:pPr>
              <w:spacing w:after="0"/>
              <w:rPr>
                <w:sz w:val="1"/>
                <w:szCs w:val="1"/>
                <w:color w:val="auto"/>
              </w:rPr>
            </w:pPr>
          </w:p>
        </w:tc>
      </w:tr>
      <w:tr>
        <w:trPr>
          <w:trHeight w:val="103"/>
        </w:trPr>
        <w:tc>
          <w:tcPr>
            <w:tcW w:w="1800" w:type="dxa"/>
            <w:vAlign w:val="bottom"/>
            <w:gridSpan w:val="3"/>
            <w:vMerge w:val="restart"/>
          </w:tcPr>
          <w:p>
            <w:pPr>
              <w:jc w:val="center"/>
              <w:spacing w:after="0"/>
              <w:rPr>
                <w:sz w:val="20"/>
                <w:szCs w:val="20"/>
                <w:color w:val="auto"/>
              </w:rPr>
            </w:pPr>
            <w:r>
              <w:rPr>
                <w:rFonts w:ascii="Arial" w:cs="Arial" w:eastAsia="Arial" w:hAnsi="Arial"/>
                <w:sz w:val="15"/>
                <w:szCs w:val="15"/>
                <w:color w:val="auto"/>
                <w:w w:val="89"/>
              </w:rPr>
              <w:t>September 30,</w:t>
            </w:r>
          </w:p>
        </w:tc>
        <w:tc>
          <w:tcPr>
            <w:tcW w:w="16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800" w:type="dxa"/>
            <w:vAlign w:val="bottom"/>
            <w:tcBorders>
              <w:bottom w:val="single" w:sz="8" w:color="auto"/>
            </w:tcBorders>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520" w:type="dxa"/>
            <w:vAlign w:val="bottom"/>
            <w:vMerge w:val="restart"/>
          </w:tcPr>
          <w:p>
            <w:pPr>
              <w:jc w:val="center"/>
              <w:spacing w:after="0" w:line="155" w:lineRule="exact"/>
              <w:rPr>
                <w:sz w:val="20"/>
                <w:szCs w:val="20"/>
                <w:color w:val="auto"/>
              </w:rPr>
            </w:pPr>
            <w:r>
              <w:rPr>
                <w:rFonts w:ascii="Arial" w:cs="Arial" w:eastAsia="Arial" w:hAnsi="Arial"/>
                <w:sz w:val="15"/>
                <w:szCs w:val="15"/>
                <w:color w:val="auto"/>
                <w:w w:val="90"/>
              </w:rPr>
              <w:t>Recognized</w:t>
            </w:r>
          </w:p>
        </w:tc>
        <w:tc>
          <w:tcPr>
            <w:tcW w:w="0" w:type="dxa"/>
            <w:vAlign w:val="bottom"/>
          </w:tcPr>
          <w:p>
            <w:pPr>
              <w:spacing w:after="0"/>
              <w:rPr>
                <w:sz w:val="1"/>
                <w:szCs w:val="1"/>
                <w:color w:val="auto"/>
              </w:rPr>
            </w:pPr>
          </w:p>
        </w:tc>
      </w:tr>
      <w:tr>
        <w:trPr>
          <w:trHeight w:val="39"/>
        </w:trPr>
        <w:tc>
          <w:tcPr>
            <w:tcW w:w="820" w:type="dxa"/>
            <w:vAlign w:val="bottom"/>
            <w:vMerge w:val="restart"/>
          </w:tcPr>
          <w:p>
            <w:pPr>
              <w:jc w:val="right"/>
              <w:ind w:right="183"/>
              <w:spacing w:after="0"/>
              <w:rPr>
                <w:sz w:val="20"/>
                <w:szCs w:val="20"/>
                <w:color w:val="auto"/>
              </w:rPr>
            </w:pPr>
            <w:r>
              <w:rPr>
                <w:rFonts w:ascii="Arial" w:cs="Arial" w:eastAsia="Arial" w:hAnsi="Arial"/>
                <w:sz w:val="15"/>
                <w:szCs w:val="15"/>
                <w:color w:val="auto"/>
              </w:rPr>
              <w:t>2023</w:t>
            </w:r>
          </w:p>
        </w:tc>
        <w:tc>
          <w:tcPr>
            <w:tcW w:w="160" w:type="dxa"/>
            <w:vAlign w:val="bottom"/>
          </w:tcPr>
          <w:p>
            <w:pPr>
              <w:spacing w:after="0"/>
              <w:rPr>
                <w:sz w:val="3"/>
                <w:szCs w:val="3"/>
                <w:color w:val="auto"/>
              </w:rPr>
            </w:pPr>
          </w:p>
        </w:tc>
        <w:tc>
          <w:tcPr>
            <w:tcW w:w="820" w:type="dxa"/>
            <w:vAlign w:val="bottom"/>
            <w:vMerge w:val="restart"/>
          </w:tcPr>
          <w:p>
            <w:pPr>
              <w:jc w:val="right"/>
              <w:ind w:right="183"/>
              <w:spacing w:after="0"/>
              <w:rPr>
                <w:sz w:val="20"/>
                <w:szCs w:val="20"/>
                <w:color w:val="auto"/>
              </w:rPr>
            </w:pPr>
            <w:r>
              <w:rPr>
                <w:rFonts w:ascii="Arial" w:cs="Arial" w:eastAsia="Arial" w:hAnsi="Arial"/>
                <w:sz w:val="15"/>
                <w:szCs w:val="15"/>
                <w:color w:val="auto"/>
              </w:rPr>
              <w:t>2022</w:t>
            </w:r>
          </w:p>
        </w:tc>
        <w:tc>
          <w:tcPr>
            <w:tcW w:w="160" w:type="dxa"/>
            <w:vAlign w:val="bottom"/>
          </w:tcPr>
          <w:p>
            <w:pPr>
              <w:spacing w:after="0"/>
              <w:rPr>
                <w:sz w:val="3"/>
                <w:szCs w:val="3"/>
                <w:color w:val="auto"/>
              </w:rPr>
            </w:pPr>
          </w:p>
        </w:tc>
        <w:tc>
          <w:tcPr>
            <w:tcW w:w="15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82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8"/>
              </w:rPr>
              <w:t>in Income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1980"/>
        <w:spacing w:after="0"/>
        <w:rPr>
          <w:sz w:val="20"/>
          <w:szCs w:val="20"/>
          <w:color w:val="auto"/>
        </w:rPr>
      </w:pPr>
      <w:r>
        <w:rPr>
          <w:rFonts w:ascii="Arial" w:cs="Arial" w:eastAsia="Arial" w:hAnsi="Arial"/>
          <w:sz w:val="15"/>
          <w:szCs w:val="15"/>
          <w:color w:val="auto"/>
        </w:rPr>
        <w:t>Interest and fees on</w:t>
      </w:r>
    </w:p>
    <w:p>
      <w:pPr>
        <w:ind w:left="2140"/>
        <w:spacing w:after="0"/>
        <w:rPr>
          <w:sz w:val="20"/>
          <w:szCs w:val="20"/>
          <w:color w:val="auto"/>
        </w:rPr>
      </w:pPr>
      <w:r>
        <w:rPr>
          <w:rFonts w:ascii="Arial" w:cs="Arial" w:eastAsia="Arial" w:hAnsi="Arial"/>
          <w:sz w:val="15"/>
          <w:szCs w:val="15"/>
          <w:color w:val="auto"/>
        </w:rPr>
        <w:t>loans</w:t>
      </w:r>
    </w:p>
    <w:p>
      <w:pPr>
        <w:spacing w:after="0" w:line="16" w:lineRule="exact"/>
        <w:rPr>
          <w:sz w:val="20"/>
          <w:szCs w:val="20"/>
          <w:color w:val="auto"/>
        </w:rPr>
      </w:pPr>
    </w:p>
    <w:p>
      <w:pPr>
        <w:ind w:left="1980"/>
        <w:spacing w:after="0"/>
        <w:rPr>
          <w:sz w:val="20"/>
          <w:szCs w:val="20"/>
          <w:color w:val="auto"/>
        </w:rPr>
      </w:pPr>
      <w:r>
        <w:rPr>
          <w:rFonts w:ascii="Arial" w:cs="Arial" w:eastAsia="Arial" w:hAnsi="Arial"/>
          <w:sz w:val="15"/>
          <w:szCs w:val="15"/>
          <w:color w:val="auto"/>
        </w:rPr>
        <w:t>Interest on securities</w:t>
      </w:r>
    </w:p>
    <w:p>
      <w:pPr>
        <w:ind w:left="2140"/>
        <w:spacing w:after="0" w:line="215" w:lineRule="auto"/>
        <w:rPr>
          <w:sz w:val="20"/>
          <w:szCs w:val="20"/>
          <w:color w:val="auto"/>
        </w:rPr>
      </w:pPr>
      <w:r>
        <w:rPr>
          <w:rFonts w:ascii="Arial" w:cs="Arial" w:eastAsia="Arial" w:hAnsi="Arial"/>
          <w:sz w:val="15"/>
          <w:szCs w:val="15"/>
          <w:color w:val="auto"/>
        </w:rPr>
        <w:t>available for sale -</w:t>
      </w:r>
    </w:p>
    <w:p>
      <w:pPr>
        <w:ind w:left="2140"/>
        <w:spacing w:after="0"/>
        <w:rPr>
          <w:sz w:val="20"/>
          <w:szCs w:val="20"/>
          <w:color w:val="auto"/>
        </w:rPr>
      </w:pPr>
      <w:r>
        <w:rPr>
          <w:rFonts w:ascii="Arial" w:cs="Arial" w:eastAsia="Arial" w:hAnsi="Arial"/>
          <w:sz w:val="15"/>
          <w:szCs w:val="15"/>
          <w:color w:val="auto"/>
        </w:rPr>
        <w:t>tax - exempt</w:t>
      </w:r>
    </w:p>
    <w:p>
      <w:pPr>
        <w:spacing w:after="0" w:line="16" w:lineRule="exact"/>
        <w:rPr>
          <w:sz w:val="20"/>
          <w:szCs w:val="20"/>
          <w:color w:val="auto"/>
        </w:rPr>
      </w:pPr>
    </w:p>
    <w:p>
      <w:pPr>
        <w:ind w:left="1980"/>
        <w:spacing w:after="0"/>
        <w:rPr>
          <w:sz w:val="20"/>
          <w:szCs w:val="20"/>
          <w:color w:val="auto"/>
        </w:rPr>
      </w:pPr>
      <w:r>
        <w:rPr>
          <w:rFonts w:ascii="Arial" w:cs="Arial" w:eastAsia="Arial" w:hAnsi="Arial"/>
          <w:sz w:val="15"/>
          <w:szCs w:val="15"/>
          <w:color w:val="auto"/>
        </w:rPr>
        <w:t>Interest and fees on</w:t>
      </w:r>
    </w:p>
    <w:p>
      <w:pPr>
        <w:ind w:left="2140"/>
        <w:spacing w:after="0"/>
        <w:rPr>
          <w:sz w:val="20"/>
          <w:szCs w:val="20"/>
          <w:color w:val="auto"/>
        </w:rPr>
      </w:pPr>
      <w:r>
        <w:rPr>
          <w:rFonts w:ascii="Arial" w:cs="Arial" w:eastAsia="Arial" w:hAnsi="Arial"/>
          <w:sz w:val="15"/>
          <w:szCs w:val="15"/>
          <w:color w:val="auto"/>
        </w:rPr>
        <w:t>loans</w:t>
      </w:r>
    </w:p>
    <w:p>
      <w:pPr>
        <w:spacing w:after="0" w:line="16" w:lineRule="exact"/>
        <w:rPr>
          <w:sz w:val="20"/>
          <w:szCs w:val="20"/>
          <w:color w:val="auto"/>
        </w:rPr>
      </w:pPr>
    </w:p>
    <w:p>
      <w:pPr>
        <w:ind w:left="1980"/>
        <w:spacing w:after="0"/>
        <w:rPr>
          <w:sz w:val="20"/>
          <w:szCs w:val="20"/>
          <w:color w:val="auto"/>
        </w:rPr>
      </w:pPr>
      <w:r>
        <w:rPr>
          <w:rFonts w:ascii="Arial" w:cs="Arial" w:eastAsia="Arial" w:hAnsi="Arial"/>
          <w:sz w:val="15"/>
          <w:szCs w:val="15"/>
          <w:color w:val="auto"/>
        </w:rPr>
        <w:t>Interest and fees on</w:t>
      </w:r>
    </w:p>
    <w:p>
      <w:pPr>
        <w:ind w:left="2140"/>
        <w:spacing w:after="0"/>
        <w:rPr>
          <w:sz w:val="20"/>
          <w:szCs w:val="20"/>
          <w:color w:val="auto"/>
        </w:rPr>
      </w:pPr>
      <w:r>
        <w:rPr>
          <w:rFonts w:ascii="Arial" w:cs="Arial" w:eastAsia="Arial" w:hAnsi="Arial"/>
          <w:sz w:val="15"/>
          <w:szCs w:val="15"/>
          <w:color w:val="auto"/>
        </w:rPr>
        <w:t>loans</w:t>
      </w:r>
    </w:p>
    <w:p>
      <w:pPr>
        <w:spacing w:after="0" w:line="16" w:lineRule="exact"/>
        <w:rPr>
          <w:sz w:val="20"/>
          <w:szCs w:val="20"/>
          <w:color w:val="auto"/>
        </w:rPr>
      </w:pPr>
    </w:p>
    <w:p>
      <w:pPr>
        <w:jc w:val="right"/>
        <w:ind w:right="220"/>
        <w:spacing w:after="0"/>
        <w:rPr>
          <w:sz w:val="20"/>
          <w:szCs w:val="20"/>
          <w:color w:val="auto"/>
        </w:rPr>
      </w:pPr>
      <w:r>
        <w:rPr>
          <w:rFonts w:ascii="Arial" w:cs="Arial" w:eastAsia="Arial" w:hAnsi="Arial"/>
          <w:sz w:val="15"/>
          <w:szCs w:val="15"/>
          <w:color w:val="auto"/>
        </w:rPr>
        <w:t>Interest on securities</w:t>
      </w:r>
    </w:p>
    <w:p>
      <w:pPr>
        <w:jc w:val="right"/>
        <w:ind w:right="200"/>
        <w:spacing w:after="0" w:line="215" w:lineRule="auto"/>
        <w:rPr>
          <w:sz w:val="20"/>
          <w:szCs w:val="20"/>
          <w:color w:val="auto"/>
        </w:rPr>
      </w:pPr>
      <w:r>
        <w:rPr>
          <w:rFonts w:ascii="Arial" w:cs="Arial" w:eastAsia="Arial" w:hAnsi="Arial"/>
          <w:sz w:val="15"/>
          <w:szCs w:val="15"/>
          <w:color w:val="auto"/>
        </w:rPr>
        <w:t>available for sale -</w:t>
      </w:r>
    </w:p>
    <w:p>
      <w:pPr>
        <w:ind w:left="540" w:hanging="518"/>
        <w:spacing w:after="0"/>
        <w:tabs>
          <w:tab w:leader="none" w:pos="5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(55)   $—</w:t>
      </w:r>
      <w:r>
        <w:rPr>
          <w:rFonts w:ascii="Arial" w:cs="Arial" w:eastAsia="Arial" w:hAnsi="Arial"/>
          <w:sz w:val="13"/>
          <w:szCs w:val="13"/>
          <w:color w:val="auto"/>
        </w:rPr>
        <w:t>tax - exempt</w:t>
      </w:r>
    </w:p>
    <w:p>
      <w:pPr>
        <w:spacing w:after="0" w:line="16" w:lineRule="exact"/>
        <w:rPr>
          <w:sz w:val="20"/>
          <w:szCs w:val="20"/>
          <w:color w:val="auto"/>
        </w:rPr>
      </w:pPr>
    </w:p>
    <w:p>
      <w:pPr>
        <w:ind w:left="1980"/>
        <w:spacing w:after="0"/>
        <w:rPr>
          <w:sz w:val="20"/>
          <w:szCs w:val="20"/>
          <w:color w:val="auto"/>
        </w:rPr>
      </w:pPr>
      <w:r>
        <w:rPr>
          <w:rFonts w:ascii="Arial" w:cs="Arial" w:eastAsia="Arial" w:hAnsi="Arial"/>
          <w:sz w:val="15"/>
          <w:szCs w:val="15"/>
          <w:color w:val="auto"/>
        </w:rPr>
        <w:t>Interest and fees on</w:t>
      </w:r>
    </w:p>
    <w:p>
      <w:pPr>
        <w:ind w:left="600"/>
        <w:spacing w:after="0"/>
        <w:tabs>
          <w:tab w:leader="none" w:pos="1560" w:val="left"/>
          <w:tab w:leader="none" w:pos="212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11379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15" w:lineRule="exact"/>
        <w:rPr>
          <w:sz w:val="20"/>
          <w:szCs w:val="20"/>
          <w:color w:val="auto"/>
        </w:rPr>
      </w:pPr>
    </w:p>
    <w:p>
      <w:pPr>
        <w:ind w:left="20"/>
        <w:spacing w:after="0"/>
        <w:tabs>
          <w:tab w:leader="none" w:pos="520" w:val="left"/>
          <w:tab w:leader="none" w:pos="980" w:val="left"/>
          <w:tab w:leader="none" w:pos="156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(55)</w:t>
        <w:tab/>
        <w:t>$</w:t>
      </w:r>
      <w:r>
        <w:rPr>
          <w:sz w:val="20"/>
          <w:szCs w:val="20"/>
          <w:color w:val="auto"/>
        </w:rPr>
        <w:tab/>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11379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Gain (Loss)</w:t>
      </w:r>
    </w:p>
    <w:p>
      <w:pPr>
        <w:jc w:val="center"/>
        <w:spacing w:after="0" w:line="215" w:lineRule="auto"/>
        <w:rPr>
          <w:sz w:val="20"/>
          <w:szCs w:val="20"/>
          <w:color w:val="auto"/>
        </w:rPr>
      </w:pPr>
      <w:r>
        <w:rPr>
          <w:rFonts w:ascii="Arial" w:cs="Arial" w:eastAsia="Arial" w:hAnsi="Arial"/>
          <w:sz w:val="15"/>
          <w:szCs w:val="15"/>
          <w:color w:val="auto"/>
        </w:rPr>
        <w:t>Recognized</w:t>
      </w:r>
    </w:p>
    <w:p>
      <w:pPr>
        <w:jc w:val="center"/>
        <w:spacing w:after="0"/>
        <w:rPr>
          <w:sz w:val="20"/>
          <w:szCs w:val="20"/>
          <w:color w:val="auto"/>
        </w:rPr>
      </w:pPr>
      <w:r>
        <w:rPr>
          <w:rFonts w:ascii="Arial" w:cs="Arial" w:eastAsia="Arial" w:hAnsi="Arial"/>
          <w:sz w:val="15"/>
          <w:szCs w:val="15"/>
          <w:color w:val="auto"/>
        </w:rPr>
        <w:t>in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10890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8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Three Month</w:t>
      </w:r>
    </w:p>
    <w:p>
      <w:pPr>
        <w:ind w:left="400"/>
        <w:spacing w:after="0" w:line="215" w:lineRule="auto"/>
        <w:rPr>
          <w:sz w:val="20"/>
          <w:szCs w:val="20"/>
          <w:color w:val="auto"/>
        </w:rPr>
      </w:pPr>
      <w:r>
        <w:rPr>
          <w:rFonts w:ascii="Arial" w:cs="Arial" w:eastAsia="Arial" w:hAnsi="Arial"/>
          <w:sz w:val="15"/>
          <w:szCs w:val="15"/>
          <w:color w:val="auto"/>
        </w:rPr>
        <w:t>Periods Ended</w:t>
      </w:r>
    </w:p>
    <w:p>
      <w:pPr>
        <w:ind w:left="400"/>
        <w:spacing w:after="0"/>
        <w:rPr>
          <w:sz w:val="20"/>
          <w:szCs w:val="20"/>
          <w:color w:val="auto"/>
        </w:rPr>
      </w:pPr>
      <w:r>
        <w:rPr>
          <w:rFonts w:ascii="Arial" w:cs="Arial" w:eastAsia="Arial" w:hAnsi="Arial"/>
          <w:sz w:val="15"/>
          <w:szCs w:val="15"/>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10890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53" w:lineRule="exact"/>
        <w:rPr>
          <w:sz w:val="20"/>
          <w:szCs w:val="20"/>
          <w:color w:val="auto"/>
        </w:rPr>
      </w:pPr>
    </w:p>
    <w:p>
      <w:pPr>
        <w:ind w:left="240"/>
        <w:spacing w:after="0"/>
        <w:tabs>
          <w:tab w:leader="none" w:pos="1120" w:val="left"/>
        </w:tabs>
        <w:rPr>
          <w:sz w:val="20"/>
          <w:szCs w:val="20"/>
          <w:color w:val="auto"/>
        </w:rPr>
      </w:pPr>
      <w:r>
        <w:rPr>
          <w:rFonts w:ascii="Arial" w:cs="Arial" w:eastAsia="Arial" w:hAnsi="Arial"/>
          <w:sz w:val="15"/>
          <w:szCs w:val="15"/>
          <w:color w:val="auto"/>
        </w:rPr>
        <w:t>2023</w:t>
      </w:r>
      <w:r>
        <w:rPr>
          <w:sz w:val="20"/>
          <w:szCs w:val="20"/>
          <w:color w:val="auto"/>
        </w:rPr>
        <w:tab/>
      </w:r>
      <w:r>
        <w:rPr>
          <w:rFonts w:ascii="Arial" w:cs="Arial" w:eastAsia="Arial" w:hAnsi="Arial"/>
          <w:sz w:val="15"/>
          <w:szCs w:val="15"/>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18415</wp:posOffset>
            </wp:positionV>
            <wp:extent cx="10890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27"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(In thousands)</w:t>
      </w:r>
    </w:p>
    <w:p>
      <w:pPr>
        <w:spacing w:after="0" w:line="395" w:lineRule="exact"/>
        <w:rPr>
          <w:sz w:val="20"/>
          <w:szCs w:val="20"/>
          <w:color w:val="auto"/>
        </w:rPr>
      </w:pPr>
    </w:p>
    <w:p>
      <w:pPr>
        <w:spacing w:after="0"/>
        <w:tabs>
          <w:tab w:leader="none" w:pos="560" w:val="left"/>
          <w:tab w:leader="none" w:pos="880" w:val="left"/>
          <w:tab w:leader="none" w:pos="138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96</w:t>
        <w:tab/>
        <w:t>$</w:t>
      </w:r>
      <w:r>
        <w:rPr>
          <w:sz w:val="20"/>
          <w:szCs w:val="20"/>
          <w:color w:val="auto"/>
        </w:rPr>
        <w:tab/>
      </w:r>
      <w:r>
        <w:rPr>
          <w:rFonts w:ascii="Arial" w:cs="Arial" w:eastAsia="Arial" w:hAnsi="Arial"/>
          <w:sz w:val="14"/>
          <w:szCs w:val="14"/>
          <w:color w:val="auto"/>
        </w:rPr>
        <w:t>292</w:t>
      </w:r>
    </w:p>
    <w:p>
      <w:pPr>
        <w:spacing w:after="0" w:line="343" w:lineRule="exact"/>
        <w:rPr>
          <w:sz w:val="20"/>
          <w:szCs w:val="20"/>
          <w:color w:val="auto"/>
        </w:rPr>
      </w:pPr>
    </w:p>
    <w:p>
      <w:pPr>
        <w:ind w:left="1300" w:hanging="794"/>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5,881</w:t>
      </w:r>
    </w:p>
    <w:p>
      <w:pPr>
        <w:spacing w:after="0" w:line="211" w:lineRule="exact"/>
        <w:rPr>
          <w:rFonts w:ascii="Arial" w:cs="Arial" w:eastAsia="Arial" w:hAnsi="Arial"/>
          <w:sz w:val="13"/>
          <w:szCs w:val="13"/>
          <w:color w:val="auto"/>
        </w:rPr>
      </w:pPr>
    </w:p>
    <w:p>
      <w:pPr>
        <w:ind w:left="1480" w:hanging="974"/>
        <w:spacing w:after="0"/>
        <w:tabs>
          <w:tab w:leader="none" w:pos="14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w:t>
      </w:r>
    </w:p>
    <w:p>
      <w:pPr>
        <w:spacing w:after="0" w:line="188" w:lineRule="exact"/>
        <w:rPr>
          <w:rFonts w:ascii="Arial" w:cs="Arial" w:eastAsia="Arial" w:hAnsi="Arial"/>
          <w:sz w:val="15"/>
          <w:szCs w:val="15"/>
          <w:color w:val="auto"/>
        </w:rPr>
      </w:pPr>
    </w:p>
    <w:p>
      <w:pPr>
        <w:ind w:left="1480" w:hanging="974"/>
        <w:spacing w:after="0"/>
        <w:tabs>
          <w:tab w:leader="none" w:pos="14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w:t>
      </w:r>
    </w:p>
    <w:p>
      <w:pPr>
        <w:spacing w:after="0" w:line="343" w:lineRule="exact"/>
        <w:rPr>
          <w:sz w:val="20"/>
          <w:szCs w:val="20"/>
          <w:color w:val="auto"/>
        </w:rPr>
      </w:pPr>
    </w:p>
    <w:p>
      <w:pPr>
        <w:jc w:val="both"/>
        <w:ind w:left="580"/>
        <w:spacing w:after="0"/>
        <w:tabs>
          <w:tab w:leader="none" w:pos="1460" w:val="left"/>
        </w:tabs>
        <w:rPr>
          <w:sz w:val="20"/>
          <w:szCs w:val="20"/>
          <w:color w:val="auto"/>
        </w:rPr>
      </w:pPr>
      <w:r>
        <w:rPr>
          <w:rFonts w:ascii="Arial" w:cs="Arial" w:eastAsia="Arial" w:hAnsi="Arial"/>
          <w:sz w:val="15"/>
          <w:szCs w:val="15"/>
          <w:color w:val="auto"/>
        </w:rPr>
        <w:t>39</w:t>
      </w:r>
      <w:r>
        <w:rPr>
          <w:sz w:val="20"/>
          <w:szCs w:val="20"/>
          <w:color w:val="auto"/>
        </w:rPr>
        <w:tab/>
      </w:r>
      <w:r>
        <w:rPr>
          <w:rFonts w:ascii="Arial" w:cs="Arial" w:eastAsia="Arial" w:hAnsi="Arial"/>
          <w:sz w:val="15"/>
          <w:szCs w:val="15"/>
          <w:color w:val="auto"/>
        </w:rPr>
        <w:t>—</w:t>
      </w:r>
    </w:p>
    <w:p>
      <w:pPr>
        <w:spacing w:after="0" w:line="188" w:lineRule="exact"/>
        <w:rPr>
          <w:sz w:val="20"/>
          <w:szCs w:val="20"/>
          <w:color w:val="auto"/>
        </w:rPr>
      </w:pPr>
    </w:p>
    <w:p>
      <w:pPr>
        <w:jc w:val="both"/>
        <w:ind w:left="580"/>
        <w:spacing w:after="0"/>
        <w:tabs>
          <w:tab w:leader="none" w:pos="146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18415</wp:posOffset>
            </wp:positionV>
            <wp:extent cx="10890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27" w:lineRule="exact"/>
        <w:rPr>
          <w:sz w:val="20"/>
          <w:szCs w:val="20"/>
          <w:color w:val="auto"/>
        </w:rPr>
      </w:pPr>
    </w:p>
    <w:p>
      <w:pPr>
        <w:spacing w:after="0"/>
        <w:tabs>
          <w:tab w:leader="none" w:pos="380" w:val="left"/>
          <w:tab w:leader="none" w:pos="880" w:val="left"/>
          <w:tab w:leader="none" w:pos="128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2,611</w:t>
        <w:tab/>
        <w:t>$</w:t>
      </w:r>
      <w:r>
        <w:rPr>
          <w:sz w:val="20"/>
          <w:szCs w:val="20"/>
          <w:color w:val="auto"/>
        </w:rPr>
        <w:tab/>
      </w:r>
      <w:r>
        <w:rPr>
          <w:rFonts w:ascii="Arial" w:cs="Arial" w:eastAsia="Arial" w:hAnsi="Arial"/>
          <w:sz w:val="13"/>
          <w:szCs w:val="13"/>
          <w:color w:val="auto"/>
        </w:rPr>
        <w:t>6,173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18415</wp:posOffset>
            </wp:positionV>
            <wp:extent cx="10890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505" w:lineRule="exact"/>
        <w:rPr>
          <w:sz w:val="20"/>
          <w:szCs w:val="20"/>
          <w:color w:val="auto"/>
        </w:rPr>
      </w:pPr>
    </w:p>
    <w:p>
      <w:pPr>
        <w:sectPr>
          <w:pgSz w:w="11900" w:h="16838" w:orient="portrait"/>
          <w:cols w:equalWidth="0" w:num="4">
            <w:col w:w="4160" w:space="300"/>
            <w:col w:w="1220" w:space="300"/>
            <w:col w:w="3480" w:space="80"/>
            <w:col w:w="170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3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Interest rate floor agreements -</w:t>
            </w:r>
          </w:p>
        </w:tc>
        <w:tc>
          <w:tcPr>
            <w:tcW w:w="28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(502)</w:t>
            </w:r>
          </w:p>
        </w:tc>
        <w:tc>
          <w:tcPr>
            <w:tcW w:w="18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460" w:type="dxa"/>
            <w:vAlign w:val="bottom"/>
            <w:vMerge w:val="restart"/>
            <w:shd w:val="clear" w:color="auto" w:fill="CCEEFF"/>
          </w:tcPr>
          <w:p>
            <w:pPr>
              <w:ind w:left="240"/>
              <w:spacing w:after="0"/>
              <w:rPr>
                <w:sz w:val="20"/>
                <w:szCs w:val="20"/>
                <w:color w:val="auto"/>
              </w:rPr>
            </w:pPr>
            <w:r>
              <w:rPr>
                <w:rFonts w:ascii="Arial" w:cs="Arial" w:eastAsia="Arial" w:hAnsi="Arial"/>
                <w:sz w:val="15"/>
                <w:szCs w:val="15"/>
                <w:color w:val="auto"/>
              </w:rPr>
              <w:t>—</w:t>
            </w:r>
          </w:p>
        </w:tc>
        <w:tc>
          <w:tcPr>
            <w:tcW w:w="18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Interest and fees on</w:t>
            </w:r>
          </w:p>
        </w:tc>
        <w:tc>
          <w:tcPr>
            <w:tcW w:w="320" w:type="dxa"/>
            <w:vAlign w:val="bottom"/>
            <w:vMerge w:val="restart"/>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16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480" w:type="dxa"/>
            <w:vAlign w:val="bottom"/>
            <w:vMerge w:val="restart"/>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17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Interest and fees on</w:t>
            </w:r>
          </w:p>
        </w:tc>
        <w:tc>
          <w:tcPr>
            <w:tcW w:w="2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2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commercial</w:t>
            </w: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460" w:type="dxa"/>
            <w:vAlign w:val="bottom"/>
            <w:tcBorders>
              <w:bottom w:val="single" w:sz="8" w:color="auto"/>
            </w:tcBorders>
            <w:vMerge w:val="continue"/>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loans</w:t>
            </w:r>
          </w:p>
        </w:tc>
        <w:tc>
          <w:tcPr>
            <w:tcW w:w="320" w:type="dxa"/>
            <w:vAlign w:val="bottom"/>
            <w:tcBorders>
              <w:bottom w:val="single" w:sz="8" w:color="auto"/>
            </w:tcBorders>
            <w:vMerge w:val="continue"/>
            <w:shd w:val="clear" w:color="auto" w:fill="CCEEFF"/>
          </w:tcPr>
          <w:p>
            <w:pPr>
              <w:spacing w:after="0"/>
              <w:rPr>
                <w:sz w:val="17"/>
                <w:szCs w:val="17"/>
                <w:color w:val="auto"/>
              </w:rPr>
            </w:pPr>
          </w:p>
        </w:tc>
        <w:tc>
          <w:tcPr>
            <w:tcW w:w="50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480" w:type="dxa"/>
            <w:vAlign w:val="bottom"/>
            <w:tcBorders>
              <w:bottom w:val="single" w:sz="8" w:color="auto"/>
            </w:tcBorders>
            <w:vMerge w:val="continue"/>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loans</w:t>
            </w:r>
          </w:p>
        </w:tc>
        <w:tc>
          <w:tcPr>
            <w:tcW w:w="2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 hedge designation</w:t>
            </w: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380" w:type="dxa"/>
            <w:vAlign w:val="bottom"/>
          </w:tcPr>
          <w:p>
            <w:pPr>
              <w:ind w:left="180"/>
              <w:spacing w:after="0" w:line="160" w:lineRule="exact"/>
              <w:rPr>
                <w:sz w:val="20"/>
                <w:szCs w:val="20"/>
                <w:color w:val="auto"/>
              </w:rPr>
            </w:pPr>
            <w:r>
              <w:rPr>
                <w:rFonts w:ascii="Arial" w:cs="Arial" w:eastAsia="Arial" w:hAnsi="Arial"/>
                <w:sz w:val="15"/>
                <w:szCs w:val="15"/>
                <w:color w:val="auto"/>
              </w:rPr>
              <w:t>Rate-lock mortgage loan</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60" w:type="dxa"/>
            <w:vAlign w:val="bottom"/>
          </w:tcPr>
          <w:p>
            <w:pPr>
              <w:ind w:left="180"/>
              <w:spacing w:after="0" w:line="160" w:lineRule="exact"/>
              <w:rPr>
                <w:sz w:val="20"/>
                <w:szCs w:val="20"/>
                <w:color w:val="auto"/>
              </w:rPr>
            </w:pPr>
            <w:r>
              <w:rPr>
                <w:rFonts w:ascii="Arial" w:cs="Arial" w:eastAsia="Arial" w:hAnsi="Arial"/>
                <w:sz w:val="15"/>
                <w:szCs w:val="15"/>
                <w:color w:val="auto"/>
              </w:rPr>
              <w:t>Net gains on mortgage</w:t>
            </w:r>
          </w:p>
        </w:tc>
        <w:tc>
          <w:tcPr>
            <w:tcW w:w="200" w:type="dxa"/>
            <w:vAlign w:val="bottom"/>
            <w:vMerge w:val="restart"/>
          </w:tcPr>
          <w:p>
            <w:pPr>
              <w:jc w:val="right"/>
              <w:ind w:right="43"/>
              <w:spacing w:after="0"/>
              <w:rPr>
                <w:sz w:val="20"/>
                <w:szCs w:val="20"/>
                <w:color w:val="auto"/>
              </w:rPr>
            </w:pPr>
            <w:r>
              <w:rPr>
                <w:rFonts w:ascii="Arial" w:cs="Arial" w:eastAsia="Arial" w:hAnsi="Arial"/>
                <w:sz w:val="15"/>
                <w:szCs w:val="15"/>
                <w:color w:val="auto"/>
                <w:w w:val="71"/>
              </w:rPr>
              <w:t>$</w:t>
            </w: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(147)</w:t>
            </w:r>
          </w:p>
        </w:tc>
        <w:tc>
          <w:tcPr>
            <w:tcW w:w="80" w:type="dxa"/>
            <w:vAlign w:val="bottom"/>
          </w:tcPr>
          <w:p>
            <w:pPr>
              <w:spacing w:after="0"/>
              <w:rPr>
                <w:sz w:val="13"/>
                <w:szCs w:val="13"/>
                <w:color w:val="auto"/>
              </w:rPr>
            </w:pPr>
          </w:p>
        </w:tc>
        <w:tc>
          <w:tcPr>
            <w:tcW w:w="220" w:type="dxa"/>
            <w:vAlign w:val="bottom"/>
            <w:vMerge w:val="restart"/>
          </w:tcPr>
          <w:p>
            <w:pPr>
              <w:jc w:val="right"/>
              <w:ind w:right="43"/>
              <w:spacing w:after="0"/>
              <w:rPr>
                <w:sz w:val="20"/>
                <w:szCs w:val="20"/>
                <w:color w:val="auto"/>
              </w:rPr>
            </w:pPr>
            <w:r>
              <w:rPr>
                <w:rFonts w:ascii="Arial" w:cs="Arial" w:eastAsia="Arial" w:hAnsi="Arial"/>
                <w:sz w:val="15"/>
                <w:szCs w:val="15"/>
                <w:color w:val="auto"/>
                <w:w w:val="95"/>
              </w:rPr>
              <w:t>$</w:t>
            </w: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(1,284)</w:t>
            </w:r>
          </w:p>
        </w:tc>
        <w:tc>
          <w:tcPr>
            <w:tcW w:w="0" w:type="dxa"/>
            <w:vAlign w:val="bottom"/>
          </w:tcPr>
          <w:p>
            <w:pPr>
              <w:spacing w:after="0"/>
              <w:rPr>
                <w:sz w:val="1"/>
                <w:szCs w:val="1"/>
                <w:color w:val="auto"/>
              </w:rPr>
            </w:pPr>
          </w:p>
        </w:tc>
      </w:tr>
      <w:tr>
        <w:trPr>
          <w:trHeight w:val="199"/>
        </w:trPr>
        <w:tc>
          <w:tcPr>
            <w:tcW w:w="2380" w:type="dxa"/>
            <w:vAlign w:val="bottom"/>
          </w:tcPr>
          <w:p>
            <w:pPr>
              <w:ind w:left="320"/>
              <w:spacing w:after="0"/>
              <w:rPr>
                <w:sz w:val="20"/>
                <w:szCs w:val="20"/>
                <w:color w:val="auto"/>
              </w:rPr>
            </w:pPr>
            <w:r>
              <w:rPr>
                <w:rFonts w:ascii="Arial" w:cs="Arial" w:eastAsia="Arial" w:hAnsi="Arial"/>
                <w:sz w:val="15"/>
                <w:szCs w:val="15"/>
                <w:color w:val="auto"/>
              </w:rPr>
              <w:t>commitments</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60" w:type="dxa"/>
            <w:vAlign w:val="bottom"/>
          </w:tcPr>
          <w:p>
            <w:pPr>
              <w:ind w:left="340"/>
              <w:spacing w:after="0"/>
              <w:rPr>
                <w:sz w:val="20"/>
                <w:szCs w:val="20"/>
                <w:color w:val="auto"/>
              </w:rPr>
            </w:pPr>
            <w:r>
              <w:rPr>
                <w:rFonts w:ascii="Arial" w:cs="Arial" w:eastAsia="Arial" w:hAnsi="Arial"/>
                <w:sz w:val="15"/>
                <w:szCs w:val="15"/>
                <w:color w:val="auto"/>
              </w:rPr>
              <w:t>loans</w:t>
            </w:r>
          </w:p>
        </w:tc>
        <w:tc>
          <w:tcPr>
            <w:tcW w:w="20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Mandatory commitments to sell</w:t>
            </w: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76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Net gains on mortgage</w:t>
            </w:r>
          </w:p>
        </w:tc>
        <w:tc>
          <w:tcPr>
            <w:tcW w:w="20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238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2,250</w:t>
            </w:r>
          </w:p>
        </w:tc>
        <w:tc>
          <w:tcPr>
            <w:tcW w:w="0" w:type="dxa"/>
            <w:vAlign w:val="bottom"/>
          </w:tcPr>
          <w:p>
            <w:pPr>
              <w:spacing w:after="0"/>
              <w:rPr>
                <w:sz w:val="1"/>
                <w:szCs w:val="1"/>
                <w:color w:val="auto"/>
              </w:rPr>
            </w:pPr>
          </w:p>
        </w:tc>
      </w:tr>
      <w:tr>
        <w:trPr>
          <w:trHeight w:val="201"/>
        </w:trPr>
        <w:tc>
          <w:tcPr>
            <w:tcW w:w="23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mortgage loans</w:t>
            </w: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7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loans</w:t>
            </w:r>
          </w:p>
        </w:tc>
        <w:tc>
          <w:tcPr>
            <w:tcW w:w="20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380" w:type="dxa"/>
            <w:vAlign w:val="bottom"/>
          </w:tcPr>
          <w:p>
            <w:pPr>
              <w:ind w:left="180"/>
              <w:spacing w:after="0" w:line="160" w:lineRule="exact"/>
              <w:rPr>
                <w:sz w:val="20"/>
                <w:szCs w:val="20"/>
                <w:color w:val="auto"/>
              </w:rPr>
            </w:pPr>
            <w:r>
              <w:rPr>
                <w:rFonts w:ascii="Arial" w:cs="Arial" w:eastAsia="Arial" w:hAnsi="Arial"/>
                <w:sz w:val="15"/>
                <w:szCs w:val="15"/>
                <w:color w:val="auto"/>
              </w:rPr>
              <w:t>Pay-fixed interest rate swap</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60" w:type="dxa"/>
            <w:vAlign w:val="bottom"/>
            <w:vMerge w:val="restart"/>
          </w:tcPr>
          <w:p>
            <w:pPr>
              <w:ind w:left="180"/>
              <w:spacing w:after="0"/>
              <w:rPr>
                <w:sz w:val="20"/>
                <w:szCs w:val="20"/>
                <w:color w:val="auto"/>
              </w:rPr>
            </w:pPr>
            <w:r>
              <w:rPr>
                <w:rFonts w:ascii="Arial" w:cs="Arial" w:eastAsia="Arial" w:hAnsi="Arial"/>
                <w:sz w:val="15"/>
                <w:szCs w:val="15"/>
                <w:color w:val="auto"/>
              </w:rPr>
              <w:t>Interest income</w:t>
            </w:r>
          </w:p>
        </w:tc>
        <w:tc>
          <w:tcPr>
            <w:tcW w:w="2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5,579</w:t>
            </w:r>
          </w:p>
        </w:tc>
        <w:tc>
          <w:tcPr>
            <w:tcW w:w="80" w:type="dxa"/>
            <w:vAlign w:val="bottom"/>
          </w:tcPr>
          <w:p>
            <w:pPr>
              <w:spacing w:after="0"/>
              <w:rPr>
                <w:sz w:val="13"/>
                <w:szCs w:val="13"/>
                <w:color w:val="auto"/>
              </w:rPr>
            </w:pPr>
          </w:p>
        </w:tc>
        <w:tc>
          <w:tcPr>
            <w:tcW w:w="220" w:type="dxa"/>
            <w:vAlign w:val="bottom"/>
            <w:vMerge w:val="restart"/>
          </w:tcPr>
          <w:p>
            <w:pPr>
              <w:jc w:val="right"/>
              <w:ind w:right="43"/>
              <w:spacing w:after="0"/>
              <w:rPr>
                <w:sz w:val="20"/>
                <w:szCs w:val="20"/>
                <w:color w:val="auto"/>
              </w:rPr>
            </w:pPr>
            <w:r>
              <w:rPr>
                <w:rFonts w:ascii="Arial" w:cs="Arial" w:eastAsia="Arial" w:hAnsi="Arial"/>
                <w:sz w:val="15"/>
                <w:szCs w:val="15"/>
                <w:color w:val="auto"/>
                <w:w w:val="95"/>
              </w:rPr>
              <w:t>$</w:t>
            </w: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9,015</w:t>
            </w:r>
          </w:p>
        </w:tc>
        <w:tc>
          <w:tcPr>
            <w:tcW w:w="0" w:type="dxa"/>
            <w:vAlign w:val="bottom"/>
          </w:tcPr>
          <w:p>
            <w:pPr>
              <w:spacing w:after="0"/>
              <w:rPr>
                <w:sz w:val="1"/>
                <w:szCs w:val="1"/>
                <w:color w:val="auto"/>
              </w:rPr>
            </w:pPr>
          </w:p>
        </w:tc>
      </w:tr>
      <w:tr>
        <w:trPr>
          <w:trHeight w:val="199"/>
        </w:trPr>
        <w:tc>
          <w:tcPr>
            <w:tcW w:w="2380" w:type="dxa"/>
            <w:vAlign w:val="bottom"/>
          </w:tcPr>
          <w:p>
            <w:pPr>
              <w:ind w:left="320"/>
              <w:spacing w:after="0"/>
              <w:rPr>
                <w:sz w:val="20"/>
                <w:szCs w:val="20"/>
                <w:color w:val="auto"/>
              </w:rPr>
            </w:pPr>
            <w:r>
              <w:rPr>
                <w:rFonts w:ascii="Arial" w:cs="Arial" w:eastAsia="Arial" w:hAnsi="Arial"/>
                <w:sz w:val="15"/>
                <w:szCs w:val="15"/>
                <w:color w:val="auto"/>
              </w:rPr>
              <w:t>agreements - commercial</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Pay-variable interest rate swap</w:t>
            </w: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760" w:type="dxa"/>
            <w:vAlign w:val="bottom"/>
            <w:vMerge w:val="restart"/>
            <w:shd w:val="clear" w:color="auto" w:fill="CCEEFF"/>
          </w:tcPr>
          <w:p>
            <w:pPr>
              <w:ind w:left="180"/>
              <w:spacing w:after="0"/>
              <w:rPr>
                <w:sz w:val="20"/>
                <w:szCs w:val="20"/>
                <w:color w:val="auto"/>
              </w:rPr>
            </w:pPr>
            <w:r>
              <w:rPr>
                <w:rFonts w:ascii="Arial" w:cs="Arial" w:eastAsia="Arial" w:hAnsi="Arial"/>
                <w:sz w:val="15"/>
                <w:szCs w:val="15"/>
                <w:color w:val="auto"/>
              </w:rPr>
              <w:t>Interest income</w:t>
            </w:r>
          </w:p>
        </w:tc>
        <w:tc>
          <w:tcPr>
            <w:tcW w:w="20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(5,579)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(9,015)</w:t>
            </w:r>
          </w:p>
        </w:tc>
        <w:tc>
          <w:tcPr>
            <w:tcW w:w="0" w:type="dxa"/>
            <w:vAlign w:val="bottom"/>
          </w:tcPr>
          <w:p>
            <w:pPr>
              <w:spacing w:after="0"/>
              <w:rPr>
                <w:sz w:val="1"/>
                <w:szCs w:val="1"/>
                <w:color w:val="auto"/>
              </w:rPr>
            </w:pPr>
          </w:p>
        </w:tc>
      </w:tr>
      <w:tr>
        <w:trPr>
          <w:trHeight w:val="201"/>
        </w:trPr>
        <w:tc>
          <w:tcPr>
            <w:tcW w:w="23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agreements - commercial</w:t>
            </w: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76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380" w:type="dxa"/>
            <w:vAlign w:val="bottom"/>
          </w:tcPr>
          <w:p>
            <w:pPr>
              <w:ind w:left="180"/>
              <w:spacing w:after="0" w:line="160" w:lineRule="exact"/>
              <w:rPr>
                <w:sz w:val="20"/>
                <w:szCs w:val="20"/>
                <w:color w:val="auto"/>
              </w:rPr>
            </w:pPr>
            <w:r>
              <w:rPr>
                <w:rFonts w:ascii="Arial" w:cs="Arial" w:eastAsia="Arial" w:hAnsi="Arial"/>
                <w:sz w:val="15"/>
                <w:szCs w:val="15"/>
                <w:color w:val="auto"/>
                <w:w w:val="99"/>
              </w:rPr>
              <w:t>Interest rate swaption agreement</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60" w:type="dxa"/>
            <w:vAlign w:val="bottom"/>
          </w:tcPr>
          <w:p>
            <w:pPr>
              <w:ind w:left="180"/>
              <w:spacing w:after="0" w:line="160" w:lineRule="exact"/>
              <w:rPr>
                <w:sz w:val="20"/>
                <w:szCs w:val="20"/>
                <w:color w:val="auto"/>
              </w:rPr>
            </w:pPr>
            <w:r>
              <w:rPr>
                <w:rFonts w:ascii="Arial" w:cs="Arial" w:eastAsia="Arial" w:hAnsi="Arial"/>
                <w:sz w:val="15"/>
                <w:szCs w:val="15"/>
                <w:color w:val="auto"/>
              </w:rPr>
              <w:t>Net gains on mortgage</w:t>
            </w:r>
          </w:p>
        </w:tc>
        <w:tc>
          <w:tcPr>
            <w:tcW w:w="20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vMerge w:val="restart"/>
          </w:tcPr>
          <w:p>
            <w:pPr>
              <w:jc w:val="right"/>
              <w:ind w:right="43"/>
              <w:spacing w:after="0"/>
              <w:rPr>
                <w:sz w:val="20"/>
                <w:szCs w:val="20"/>
                <w:color w:val="auto"/>
              </w:rPr>
            </w:pPr>
            <w:r>
              <w:rPr>
                <w:rFonts w:ascii="Arial" w:cs="Arial" w:eastAsia="Arial" w:hAnsi="Arial"/>
                <w:sz w:val="15"/>
                <w:szCs w:val="15"/>
                <w:color w:val="auto"/>
                <w:w w:val="95"/>
              </w:rPr>
              <w:t>$</w:t>
            </w: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2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60" w:type="dxa"/>
            <w:vAlign w:val="bottom"/>
          </w:tcPr>
          <w:p>
            <w:pPr>
              <w:ind w:left="340"/>
              <w:spacing w:after="0"/>
              <w:rPr>
                <w:sz w:val="20"/>
                <w:szCs w:val="20"/>
                <w:color w:val="auto"/>
              </w:rPr>
            </w:pPr>
            <w:r>
              <w:rPr>
                <w:rFonts w:ascii="Arial" w:cs="Arial" w:eastAsia="Arial" w:hAnsi="Arial"/>
                <w:sz w:val="15"/>
                <w:szCs w:val="15"/>
                <w:color w:val="auto"/>
              </w:rPr>
              <w:t>loans</w:t>
            </w:r>
          </w:p>
        </w:tc>
        <w:tc>
          <w:tcPr>
            <w:tcW w:w="20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Pay-fixed interest rate swap</w:t>
            </w: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76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Net gains on mortgage</w:t>
            </w:r>
          </w:p>
        </w:tc>
        <w:tc>
          <w:tcPr>
            <w:tcW w:w="20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(650)</w:t>
            </w:r>
          </w:p>
        </w:tc>
        <w:tc>
          <w:tcPr>
            <w:tcW w:w="0" w:type="dxa"/>
            <w:vAlign w:val="bottom"/>
          </w:tcPr>
          <w:p>
            <w:pPr>
              <w:spacing w:after="0"/>
              <w:rPr>
                <w:sz w:val="1"/>
                <w:szCs w:val="1"/>
                <w:color w:val="auto"/>
              </w:rPr>
            </w:pPr>
          </w:p>
        </w:tc>
      </w:tr>
      <w:tr>
        <w:trPr>
          <w:trHeight w:val="201"/>
        </w:trPr>
        <w:tc>
          <w:tcPr>
            <w:tcW w:w="23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agreements - mortgage</w:t>
            </w: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7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loans</w:t>
            </w:r>
          </w:p>
        </w:tc>
        <w:tc>
          <w:tcPr>
            <w:tcW w:w="2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380" w:type="dxa"/>
            <w:vAlign w:val="bottom"/>
          </w:tcPr>
          <w:p>
            <w:pPr>
              <w:ind w:left="180"/>
              <w:spacing w:after="0" w:line="160" w:lineRule="exact"/>
              <w:rPr>
                <w:sz w:val="20"/>
                <w:szCs w:val="20"/>
                <w:color w:val="auto"/>
              </w:rPr>
            </w:pPr>
            <w:r>
              <w:rPr>
                <w:rFonts w:ascii="Arial" w:cs="Arial" w:eastAsia="Arial" w:hAnsi="Arial"/>
                <w:sz w:val="15"/>
                <w:szCs w:val="15"/>
                <w:color w:val="auto"/>
              </w:rPr>
              <w:t>Pay-variable interest rate swap</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60" w:type="dxa"/>
            <w:vAlign w:val="bottom"/>
          </w:tcPr>
          <w:p>
            <w:pPr>
              <w:ind w:left="180"/>
              <w:spacing w:after="0" w:line="160" w:lineRule="exact"/>
              <w:rPr>
                <w:sz w:val="20"/>
                <w:szCs w:val="20"/>
                <w:color w:val="auto"/>
              </w:rPr>
            </w:pPr>
            <w:r>
              <w:rPr>
                <w:rFonts w:ascii="Arial" w:cs="Arial" w:eastAsia="Arial" w:hAnsi="Arial"/>
                <w:sz w:val="15"/>
                <w:szCs w:val="15"/>
                <w:color w:val="auto"/>
              </w:rPr>
              <w:t>Non-interest expense -</w:t>
            </w:r>
          </w:p>
        </w:tc>
        <w:tc>
          <w:tcPr>
            <w:tcW w:w="20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vMerge w:val="restart"/>
          </w:tcPr>
          <w:p>
            <w:pPr>
              <w:jc w:val="right"/>
              <w:ind w:right="43"/>
              <w:spacing w:after="0"/>
              <w:rPr>
                <w:sz w:val="20"/>
                <w:szCs w:val="20"/>
                <w:color w:val="auto"/>
              </w:rPr>
            </w:pPr>
            <w:r>
              <w:rPr>
                <w:rFonts w:ascii="Arial" w:cs="Arial" w:eastAsia="Arial" w:hAnsi="Arial"/>
                <w:sz w:val="15"/>
                <w:szCs w:val="15"/>
                <w:color w:val="auto"/>
                <w:w w:val="95"/>
              </w:rPr>
              <w:t>$</w:t>
            </w: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2380" w:type="dxa"/>
            <w:vAlign w:val="bottom"/>
          </w:tcPr>
          <w:p>
            <w:pPr>
              <w:ind w:left="320"/>
              <w:spacing w:after="0"/>
              <w:rPr>
                <w:sz w:val="20"/>
                <w:szCs w:val="20"/>
                <w:color w:val="auto"/>
              </w:rPr>
            </w:pPr>
            <w:r>
              <w:rPr>
                <w:rFonts w:ascii="Arial" w:cs="Arial" w:eastAsia="Arial" w:hAnsi="Arial"/>
                <w:sz w:val="15"/>
                <w:szCs w:val="15"/>
                <w:color w:val="auto"/>
              </w:rPr>
              <w:t>agreement</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60" w:type="dxa"/>
            <w:vAlign w:val="bottom"/>
          </w:tcPr>
          <w:p>
            <w:pPr>
              <w:ind w:left="340"/>
              <w:spacing w:after="0"/>
              <w:rPr>
                <w:sz w:val="20"/>
                <w:szCs w:val="20"/>
                <w:color w:val="auto"/>
              </w:rPr>
            </w:pPr>
            <w:r>
              <w:rPr>
                <w:rFonts w:ascii="Arial" w:cs="Arial" w:eastAsia="Arial" w:hAnsi="Arial"/>
                <w:sz w:val="15"/>
                <w:szCs w:val="15"/>
                <w:color w:val="auto"/>
              </w:rPr>
              <w:t>other</w:t>
            </w:r>
          </w:p>
        </w:tc>
        <w:tc>
          <w:tcPr>
            <w:tcW w:w="20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Interest rate cap agreements</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Interest expense</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2380" w:type="dxa"/>
            <w:vAlign w:val="bottom"/>
          </w:tcPr>
          <w:p>
            <w:pPr>
              <w:ind w:left="320"/>
              <w:spacing w:after="0"/>
              <w:rPr>
                <w:sz w:val="20"/>
                <w:szCs w:val="20"/>
                <w:color w:val="auto"/>
              </w:rPr>
            </w:pPr>
            <w:r>
              <w:rPr>
                <w:rFonts w:ascii="Arial" w:cs="Arial" w:eastAsia="Arial" w:hAnsi="Arial"/>
                <w:sz w:val="15"/>
                <w:szCs w:val="15"/>
                <w:color w:val="auto"/>
              </w:rPr>
              <w:t>Total</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91</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316</w:t>
            </w:r>
          </w:p>
        </w:tc>
        <w:tc>
          <w:tcPr>
            <w:tcW w:w="0" w:type="dxa"/>
            <w:vAlign w:val="bottom"/>
          </w:tcPr>
          <w:p>
            <w:pPr>
              <w:spacing w:after="0"/>
              <w:rPr>
                <w:sz w:val="1"/>
                <w:szCs w:val="1"/>
                <w:color w:val="auto"/>
              </w:rPr>
            </w:pPr>
          </w:p>
        </w:tc>
      </w:tr>
      <w:tr>
        <w:trPr>
          <w:trHeight w:val="21"/>
        </w:trPr>
        <w:tc>
          <w:tcPr>
            <w:tcW w:w="2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4"/>
            <w:vMerge w:val="restart"/>
          </w:tcPr>
          <w:p>
            <w:pPr>
              <w:jc w:val="center"/>
              <w:ind w:right="23"/>
              <w:spacing w:after="0"/>
              <w:rPr>
                <w:sz w:val="20"/>
                <w:szCs w:val="20"/>
                <w:color w:val="auto"/>
              </w:rPr>
            </w:pPr>
            <w:r>
              <w:rPr>
                <w:rFonts w:ascii="Arial" w:cs="Arial" w:eastAsia="Arial" w:hAnsi="Arial"/>
                <w:sz w:val="15"/>
                <w:szCs w:val="15"/>
                <w:color w:val="auto"/>
                <w:w w:val="93"/>
              </w:rPr>
              <w:t>Loss Recognized in Other</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4"/>
          </w:tcPr>
          <w:p>
            <w:pPr>
              <w:jc w:val="center"/>
              <w:ind w:right="23"/>
              <w:spacing w:after="0"/>
              <w:rPr>
                <w:sz w:val="20"/>
                <w:szCs w:val="20"/>
                <w:color w:val="auto"/>
              </w:rPr>
            </w:pPr>
            <w:r>
              <w:rPr>
                <w:rFonts w:ascii="Arial" w:cs="Arial" w:eastAsia="Arial" w:hAnsi="Arial"/>
                <w:sz w:val="15"/>
                <w:szCs w:val="15"/>
                <w:color w:val="auto"/>
                <w:w w:val="94"/>
              </w:rPr>
              <w:t>Loss Reclassified from</w:t>
            </w:r>
          </w:p>
        </w:tc>
        <w:tc>
          <w:tcPr>
            <w:tcW w:w="1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4"/>
            <w:vMerge w:val="restart"/>
          </w:tcPr>
          <w:p>
            <w:pPr>
              <w:jc w:val="center"/>
              <w:ind w:right="103"/>
              <w:spacing w:after="0"/>
              <w:rPr>
                <w:sz w:val="20"/>
                <w:szCs w:val="20"/>
                <w:color w:val="auto"/>
              </w:rPr>
            </w:pPr>
            <w:r>
              <w:rPr>
                <w:rFonts w:ascii="Arial" w:cs="Arial" w:eastAsia="Arial" w:hAnsi="Arial"/>
                <w:sz w:val="15"/>
                <w:szCs w:val="15"/>
                <w:color w:val="auto"/>
                <w:w w:val="95"/>
              </w:rPr>
              <w:t>Gain (Loss)</w:t>
            </w:r>
          </w:p>
        </w:tc>
        <w:tc>
          <w:tcPr>
            <w:tcW w:w="0" w:type="dxa"/>
            <w:vAlign w:val="bottom"/>
          </w:tcPr>
          <w:p>
            <w:pPr>
              <w:spacing w:after="0"/>
              <w:rPr>
                <w:sz w:val="1"/>
                <w:szCs w:val="1"/>
                <w:color w:val="auto"/>
              </w:rPr>
            </w:pPr>
          </w:p>
        </w:tc>
      </w:tr>
      <w:tr>
        <w:trPr>
          <w:trHeight w:val="155"/>
        </w:trPr>
        <w:tc>
          <w:tcPr>
            <w:tcW w:w="2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4"/>
            <w:vMerge w:val="continue"/>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4"/>
          </w:tcPr>
          <w:p>
            <w:pPr>
              <w:jc w:val="center"/>
              <w:ind w:right="23"/>
              <w:spacing w:after="0" w:line="155" w:lineRule="exact"/>
              <w:rPr>
                <w:sz w:val="20"/>
                <w:szCs w:val="20"/>
                <w:color w:val="auto"/>
              </w:rPr>
            </w:pPr>
            <w:r>
              <w:rPr>
                <w:rFonts w:ascii="Arial" w:cs="Arial" w:eastAsia="Arial" w:hAnsi="Arial"/>
                <w:sz w:val="15"/>
                <w:szCs w:val="15"/>
                <w:color w:val="auto"/>
                <w:w w:val="94"/>
              </w:rPr>
              <w:t>Accumulated Other</w:t>
            </w:r>
          </w:p>
        </w:tc>
        <w:tc>
          <w:tcPr>
            <w:tcW w:w="1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4"/>
          </w:tcPr>
          <w:p>
            <w:pPr>
              <w:jc w:val="center"/>
              <w:ind w:right="23"/>
              <w:spacing w:after="0" w:line="155" w:lineRule="exact"/>
              <w:rPr>
                <w:sz w:val="20"/>
                <w:szCs w:val="20"/>
                <w:color w:val="auto"/>
              </w:rPr>
            </w:pPr>
            <w:r>
              <w:rPr>
                <w:rFonts w:ascii="Arial" w:cs="Arial" w:eastAsia="Arial" w:hAnsi="Arial"/>
                <w:sz w:val="15"/>
                <w:szCs w:val="15"/>
                <w:color w:val="auto"/>
                <w:w w:val="92"/>
              </w:rPr>
              <w:t>Comprehensive Income</w:t>
            </w:r>
          </w:p>
        </w:tc>
        <w:tc>
          <w:tcPr>
            <w:tcW w:w="1580" w:type="dxa"/>
            <w:vAlign w:val="bottom"/>
            <w:vMerge w:val="restart"/>
          </w:tcPr>
          <w:p>
            <w:pPr>
              <w:jc w:val="center"/>
              <w:spacing w:after="0"/>
              <w:rPr>
                <w:sz w:val="20"/>
                <w:szCs w:val="20"/>
                <w:color w:val="auto"/>
              </w:rPr>
            </w:pPr>
            <w:r>
              <w:rPr>
                <w:rFonts w:ascii="Arial" w:cs="Arial" w:eastAsia="Arial" w:hAnsi="Arial"/>
                <w:sz w:val="15"/>
                <w:szCs w:val="15"/>
                <w:color w:val="auto"/>
                <w:w w:val="96"/>
              </w:rPr>
              <w:t>Location of Loss</w:t>
            </w:r>
          </w:p>
        </w:tc>
        <w:tc>
          <w:tcPr>
            <w:tcW w:w="100" w:type="dxa"/>
            <w:vAlign w:val="bottom"/>
          </w:tcPr>
          <w:p>
            <w:pPr>
              <w:spacing w:after="0"/>
              <w:rPr>
                <w:sz w:val="13"/>
                <w:szCs w:val="13"/>
                <w:color w:val="auto"/>
              </w:rPr>
            </w:pPr>
          </w:p>
        </w:tc>
        <w:tc>
          <w:tcPr>
            <w:tcW w:w="1720" w:type="dxa"/>
            <w:vAlign w:val="bottom"/>
            <w:gridSpan w:val="4"/>
          </w:tcPr>
          <w:p>
            <w:pPr>
              <w:jc w:val="center"/>
              <w:ind w:right="23"/>
              <w:spacing w:after="0" w:line="155" w:lineRule="exact"/>
              <w:rPr>
                <w:sz w:val="20"/>
                <w:szCs w:val="20"/>
                <w:color w:val="auto"/>
              </w:rPr>
            </w:pPr>
            <w:r>
              <w:rPr>
                <w:rFonts w:ascii="Arial" w:cs="Arial" w:eastAsia="Arial" w:hAnsi="Arial"/>
                <w:sz w:val="15"/>
                <w:szCs w:val="15"/>
                <w:color w:val="auto"/>
                <w:w w:val="93"/>
              </w:rPr>
              <w:t>Comprehensive Loss into</w:t>
            </w:r>
          </w:p>
        </w:tc>
        <w:tc>
          <w:tcPr>
            <w:tcW w:w="1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4"/>
          </w:tcPr>
          <w:p>
            <w:pPr>
              <w:jc w:val="center"/>
              <w:ind w:right="83"/>
              <w:spacing w:after="0" w:line="155" w:lineRule="exact"/>
              <w:rPr>
                <w:sz w:val="20"/>
                <w:szCs w:val="20"/>
                <w:color w:val="auto"/>
              </w:rPr>
            </w:pPr>
            <w:r>
              <w:rPr>
                <w:rFonts w:ascii="Arial" w:cs="Arial" w:eastAsia="Arial" w:hAnsi="Arial"/>
                <w:sz w:val="15"/>
                <w:szCs w:val="15"/>
                <w:color w:val="auto"/>
                <w:w w:val="90"/>
              </w:rPr>
              <w:t>Recognized</w:t>
            </w:r>
          </w:p>
        </w:tc>
        <w:tc>
          <w:tcPr>
            <w:tcW w:w="0" w:type="dxa"/>
            <w:vAlign w:val="bottom"/>
          </w:tcPr>
          <w:p>
            <w:pPr>
              <w:spacing w:after="0"/>
              <w:rPr>
                <w:sz w:val="1"/>
                <w:szCs w:val="1"/>
                <w:color w:val="auto"/>
              </w:rPr>
            </w:pPr>
          </w:p>
        </w:tc>
      </w:tr>
      <w:tr>
        <w:trPr>
          <w:trHeight w:val="90"/>
        </w:trPr>
        <w:tc>
          <w:tcPr>
            <w:tcW w:w="2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20" w:type="dxa"/>
            <w:vAlign w:val="bottom"/>
            <w:gridSpan w:val="4"/>
            <w:vMerge w:val="restart"/>
          </w:tcPr>
          <w:p>
            <w:pPr>
              <w:jc w:val="center"/>
              <w:ind w:right="23"/>
              <w:spacing w:after="0"/>
              <w:rPr>
                <w:sz w:val="20"/>
                <w:szCs w:val="20"/>
                <w:color w:val="auto"/>
              </w:rPr>
            </w:pPr>
            <w:r>
              <w:rPr>
                <w:rFonts w:ascii="Arial" w:cs="Arial" w:eastAsia="Arial" w:hAnsi="Arial"/>
                <w:sz w:val="15"/>
                <w:szCs w:val="15"/>
                <w:color w:val="auto"/>
                <w:w w:val="95"/>
              </w:rPr>
              <w:t>(Loss) (Effective Portion)</w:t>
            </w:r>
          </w:p>
        </w:tc>
        <w:tc>
          <w:tcPr>
            <w:tcW w:w="1580" w:type="dxa"/>
            <w:vAlign w:val="bottom"/>
            <w:vMerge w:val="continue"/>
          </w:tcPr>
          <w:p>
            <w:pPr>
              <w:spacing w:after="0"/>
              <w:rPr>
                <w:sz w:val="7"/>
                <w:szCs w:val="7"/>
                <w:color w:val="auto"/>
              </w:rPr>
            </w:pPr>
          </w:p>
        </w:tc>
        <w:tc>
          <w:tcPr>
            <w:tcW w:w="1820" w:type="dxa"/>
            <w:vAlign w:val="bottom"/>
            <w:gridSpan w:val="5"/>
            <w:vMerge w:val="restart"/>
          </w:tcPr>
          <w:p>
            <w:pPr>
              <w:jc w:val="center"/>
              <w:spacing w:after="0"/>
              <w:rPr>
                <w:sz w:val="20"/>
                <w:szCs w:val="20"/>
                <w:color w:val="auto"/>
              </w:rPr>
            </w:pPr>
            <w:r>
              <w:rPr>
                <w:rFonts w:ascii="Arial" w:cs="Arial" w:eastAsia="Arial" w:hAnsi="Arial"/>
                <w:sz w:val="15"/>
                <w:szCs w:val="15"/>
                <w:color w:val="auto"/>
                <w:w w:val="96"/>
              </w:rPr>
              <w:t>Income (Effective Portion)</w:t>
            </w:r>
          </w:p>
        </w:tc>
        <w:tc>
          <w:tcPr>
            <w:tcW w:w="1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0" w:type="dxa"/>
            <w:vAlign w:val="bottom"/>
            <w:gridSpan w:val="4"/>
            <w:vMerge w:val="restart"/>
          </w:tcPr>
          <w:p>
            <w:pPr>
              <w:jc w:val="center"/>
              <w:ind w:right="103"/>
              <w:spacing w:after="0"/>
              <w:rPr>
                <w:sz w:val="20"/>
                <w:szCs w:val="20"/>
                <w:color w:val="auto"/>
              </w:rPr>
            </w:pPr>
            <w:r>
              <w:rPr>
                <w:rFonts w:ascii="Arial" w:cs="Arial" w:eastAsia="Arial" w:hAnsi="Arial"/>
                <w:sz w:val="15"/>
                <w:szCs w:val="15"/>
                <w:color w:val="auto"/>
                <w:w w:val="95"/>
              </w:rPr>
              <w:t>in Income</w:t>
            </w:r>
          </w:p>
        </w:tc>
        <w:tc>
          <w:tcPr>
            <w:tcW w:w="0" w:type="dxa"/>
            <w:vAlign w:val="bottom"/>
          </w:tcPr>
          <w:p>
            <w:pPr>
              <w:spacing w:after="0"/>
              <w:rPr>
                <w:sz w:val="1"/>
                <w:szCs w:val="1"/>
                <w:color w:val="auto"/>
              </w:rPr>
            </w:pPr>
          </w:p>
        </w:tc>
      </w:tr>
      <w:tr>
        <w:trPr>
          <w:trHeight w:val="108"/>
        </w:trPr>
        <w:tc>
          <w:tcPr>
            <w:tcW w:w="2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gridSpan w:val="4"/>
            <w:vMerge w:val="continue"/>
          </w:tcPr>
          <w:p>
            <w:pPr>
              <w:spacing w:after="0"/>
              <w:rPr>
                <w:sz w:val="9"/>
                <w:szCs w:val="9"/>
                <w:color w:val="auto"/>
              </w:rPr>
            </w:pPr>
          </w:p>
        </w:tc>
        <w:tc>
          <w:tcPr>
            <w:tcW w:w="1580" w:type="dxa"/>
            <w:vAlign w:val="bottom"/>
            <w:vMerge w:val="restart"/>
          </w:tcPr>
          <w:p>
            <w:pPr>
              <w:jc w:val="center"/>
              <w:spacing w:after="0" w:line="155" w:lineRule="exact"/>
              <w:rPr>
                <w:sz w:val="20"/>
                <w:szCs w:val="20"/>
                <w:color w:val="auto"/>
              </w:rPr>
            </w:pPr>
            <w:r>
              <w:rPr>
                <w:rFonts w:ascii="Arial" w:cs="Arial" w:eastAsia="Arial" w:hAnsi="Arial"/>
                <w:sz w:val="15"/>
                <w:szCs w:val="15"/>
                <w:color w:val="auto"/>
                <w:w w:val="95"/>
              </w:rPr>
              <w:t>Reclassified from</w:t>
            </w:r>
          </w:p>
        </w:tc>
        <w:tc>
          <w:tcPr>
            <w:tcW w:w="1820" w:type="dxa"/>
            <w:vAlign w:val="bottom"/>
            <w:tcBorders>
              <w:bottom w:val="single" w:sz="8" w:color="auto"/>
            </w:tcBorders>
            <w:gridSpan w:val="5"/>
            <w:vMerge w:val="continue"/>
          </w:tcPr>
          <w:p>
            <w:pPr>
              <w:spacing w:after="0"/>
              <w:rPr>
                <w:sz w:val="9"/>
                <w:szCs w:val="9"/>
                <w:color w:val="auto"/>
              </w:rPr>
            </w:pPr>
          </w:p>
        </w:tc>
        <w:tc>
          <w:tcPr>
            <w:tcW w:w="18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vMerge w:val="restart"/>
          </w:tcPr>
          <w:p>
            <w:pPr>
              <w:jc w:val="center"/>
              <w:ind w:left="63"/>
              <w:spacing w:after="0"/>
              <w:rPr>
                <w:sz w:val="20"/>
                <w:szCs w:val="20"/>
                <w:color w:val="auto"/>
              </w:rPr>
            </w:pPr>
            <w:r>
              <w:rPr>
                <w:rFonts w:ascii="Arial" w:cs="Arial" w:eastAsia="Arial" w:hAnsi="Arial"/>
                <w:sz w:val="15"/>
                <w:szCs w:val="15"/>
                <w:color w:val="auto"/>
                <w:w w:val="96"/>
              </w:rPr>
              <w:t>Nine Month</w:t>
            </w:r>
          </w:p>
        </w:tc>
        <w:tc>
          <w:tcPr>
            <w:tcW w:w="240" w:type="dxa"/>
            <w:vAlign w:val="bottom"/>
          </w:tcPr>
          <w:p>
            <w:pPr>
              <w:spacing w:after="0"/>
              <w:rPr>
                <w:sz w:val="13"/>
                <w:szCs w:val="13"/>
                <w:color w:val="auto"/>
              </w:rPr>
            </w:pPr>
          </w:p>
        </w:tc>
        <w:tc>
          <w:tcPr>
            <w:tcW w:w="1580" w:type="dxa"/>
            <w:vAlign w:val="bottom"/>
          </w:tcPr>
          <w:p>
            <w:pPr>
              <w:jc w:val="center"/>
              <w:spacing w:after="0" w:line="155" w:lineRule="exact"/>
              <w:rPr>
                <w:sz w:val="20"/>
                <w:szCs w:val="20"/>
                <w:color w:val="auto"/>
              </w:rPr>
            </w:pPr>
            <w:r>
              <w:rPr>
                <w:rFonts w:ascii="Arial" w:cs="Arial" w:eastAsia="Arial" w:hAnsi="Arial"/>
                <w:sz w:val="15"/>
                <w:szCs w:val="15"/>
                <w:color w:val="auto"/>
                <w:w w:val="94"/>
              </w:rPr>
              <w:t>Accumulated Other</w:t>
            </w:r>
          </w:p>
        </w:tc>
        <w:tc>
          <w:tcPr>
            <w:tcW w:w="100" w:type="dxa"/>
            <w:vAlign w:val="bottom"/>
          </w:tcPr>
          <w:p>
            <w:pPr>
              <w:spacing w:after="0"/>
              <w:rPr>
                <w:sz w:val="13"/>
                <w:szCs w:val="13"/>
                <w:color w:val="auto"/>
              </w:rPr>
            </w:pPr>
          </w:p>
        </w:tc>
        <w:tc>
          <w:tcPr>
            <w:tcW w:w="1720" w:type="dxa"/>
            <w:vAlign w:val="bottom"/>
            <w:gridSpan w:val="4"/>
            <w:vMerge w:val="restart"/>
          </w:tcPr>
          <w:p>
            <w:pPr>
              <w:jc w:val="center"/>
              <w:ind w:right="23"/>
              <w:spacing w:after="0"/>
              <w:rPr>
                <w:sz w:val="20"/>
                <w:szCs w:val="20"/>
                <w:color w:val="auto"/>
              </w:rPr>
            </w:pPr>
            <w:r>
              <w:rPr>
                <w:rFonts w:ascii="Arial" w:cs="Arial" w:eastAsia="Arial" w:hAnsi="Arial"/>
                <w:sz w:val="15"/>
                <w:szCs w:val="15"/>
                <w:color w:val="auto"/>
                <w:w w:val="96"/>
              </w:rPr>
              <w:t>Nine Month</w:t>
            </w:r>
          </w:p>
        </w:tc>
        <w:tc>
          <w:tcPr>
            <w:tcW w:w="1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4"/>
            <w:vMerge w:val="restart"/>
          </w:tcPr>
          <w:p>
            <w:pPr>
              <w:jc w:val="center"/>
              <w:ind w:right="83"/>
              <w:spacing w:after="0"/>
              <w:rPr>
                <w:sz w:val="20"/>
                <w:szCs w:val="20"/>
                <w:color w:val="auto"/>
              </w:rPr>
            </w:pPr>
            <w:r>
              <w:rPr>
                <w:rFonts w:ascii="Arial" w:cs="Arial" w:eastAsia="Arial" w:hAnsi="Arial"/>
                <w:sz w:val="15"/>
                <w:szCs w:val="15"/>
                <w:color w:val="auto"/>
                <w:w w:val="99"/>
              </w:rPr>
              <w:t>Nine Month</w:t>
            </w:r>
          </w:p>
        </w:tc>
        <w:tc>
          <w:tcPr>
            <w:tcW w:w="0" w:type="dxa"/>
            <w:vAlign w:val="bottom"/>
          </w:tcPr>
          <w:p>
            <w:pPr>
              <w:spacing w:after="0"/>
              <w:rPr>
                <w:sz w:val="1"/>
                <w:szCs w:val="1"/>
                <w:color w:val="auto"/>
              </w:rPr>
            </w:pPr>
          </w:p>
        </w:tc>
      </w:tr>
      <w:tr>
        <w:trPr>
          <w:trHeight w:val="52"/>
        </w:trPr>
        <w:tc>
          <w:tcPr>
            <w:tcW w:w="2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1580" w:type="dxa"/>
            <w:vAlign w:val="bottom"/>
            <w:vMerge w:val="restart"/>
          </w:tcPr>
          <w:p>
            <w:pPr>
              <w:jc w:val="center"/>
              <w:spacing w:after="0" w:line="155" w:lineRule="exact"/>
              <w:rPr>
                <w:sz w:val="20"/>
                <w:szCs w:val="20"/>
                <w:color w:val="auto"/>
              </w:rPr>
            </w:pPr>
            <w:r>
              <w:rPr>
                <w:rFonts w:ascii="Arial" w:cs="Arial" w:eastAsia="Arial" w:hAnsi="Arial"/>
                <w:sz w:val="15"/>
                <w:szCs w:val="15"/>
                <w:color w:val="auto"/>
                <w:w w:val="93"/>
              </w:rPr>
              <w:t>Comprehensive</w:t>
            </w:r>
          </w:p>
        </w:tc>
        <w:tc>
          <w:tcPr>
            <w:tcW w:w="10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1800" w:type="dxa"/>
            <w:vAlign w:val="bottom"/>
            <w:vMerge w:val="restart"/>
          </w:tcPr>
          <w:p>
            <w:pPr>
              <w:jc w:val="center"/>
              <w:ind w:left="3"/>
              <w:spacing w:after="0" w:line="155" w:lineRule="exact"/>
              <w:rPr>
                <w:sz w:val="20"/>
                <w:szCs w:val="20"/>
                <w:color w:val="auto"/>
              </w:rPr>
            </w:pPr>
            <w:r>
              <w:rPr>
                <w:rFonts w:ascii="Arial" w:cs="Arial" w:eastAsia="Arial" w:hAnsi="Arial"/>
                <w:sz w:val="15"/>
                <w:szCs w:val="15"/>
                <w:color w:val="auto"/>
                <w:w w:val="98"/>
              </w:rPr>
              <w:t>Location of</w:t>
            </w:r>
          </w:p>
        </w:tc>
        <w:tc>
          <w:tcPr>
            <w:tcW w:w="180" w:type="dxa"/>
            <w:vAlign w:val="bottom"/>
          </w:tcPr>
          <w:p>
            <w:pPr>
              <w:spacing w:after="0"/>
              <w:rPr>
                <w:sz w:val="4"/>
                <w:szCs w:val="4"/>
                <w:color w:val="auto"/>
              </w:rPr>
            </w:pPr>
          </w:p>
        </w:tc>
        <w:tc>
          <w:tcPr>
            <w:tcW w:w="16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3"/>
            <w:vMerge w:val="restart"/>
          </w:tcPr>
          <w:p>
            <w:pPr>
              <w:jc w:val="center"/>
              <w:ind w:left="63"/>
              <w:spacing w:after="0" w:line="155" w:lineRule="exact"/>
              <w:rPr>
                <w:sz w:val="20"/>
                <w:szCs w:val="20"/>
                <w:color w:val="auto"/>
              </w:rPr>
            </w:pPr>
            <w:r>
              <w:rPr>
                <w:rFonts w:ascii="Arial" w:cs="Arial" w:eastAsia="Arial" w:hAnsi="Arial"/>
                <w:sz w:val="15"/>
                <w:szCs w:val="15"/>
                <w:color w:val="auto"/>
                <w:w w:val="91"/>
              </w:rPr>
              <w:t>Periods Ended</w:t>
            </w:r>
          </w:p>
        </w:tc>
        <w:tc>
          <w:tcPr>
            <w:tcW w:w="24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gridSpan w:val="4"/>
            <w:vMerge w:val="restart"/>
          </w:tcPr>
          <w:p>
            <w:pPr>
              <w:jc w:val="center"/>
              <w:ind w:right="23"/>
              <w:spacing w:after="0" w:line="155" w:lineRule="exact"/>
              <w:rPr>
                <w:sz w:val="20"/>
                <w:szCs w:val="20"/>
                <w:color w:val="auto"/>
              </w:rPr>
            </w:pPr>
            <w:r>
              <w:rPr>
                <w:rFonts w:ascii="Arial" w:cs="Arial" w:eastAsia="Arial" w:hAnsi="Arial"/>
                <w:sz w:val="15"/>
                <w:szCs w:val="15"/>
                <w:color w:val="auto"/>
                <w:w w:val="91"/>
              </w:rPr>
              <w:t>Periods Ended</w:t>
            </w:r>
          </w:p>
        </w:tc>
        <w:tc>
          <w:tcPr>
            <w:tcW w:w="18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600" w:type="dxa"/>
            <w:vAlign w:val="bottom"/>
            <w:gridSpan w:val="4"/>
            <w:vMerge w:val="restart"/>
          </w:tcPr>
          <w:p>
            <w:pPr>
              <w:jc w:val="center"/>
              <w:ind w:right="103"/>
              <w:spacing w:after="0" w:line="155" w:lineRule="exact"/>
              <w:rPr>
                <w:sz w:val="20"/>
                <w:szCs w:val="20"/>
                <w:color w:val="auto"/>
              </w:rPr>
            </w:pPr>
            <w:r>
              <w:rPr>
                <w:rFonts w:ascii="Arial" w:cs="Arial" w:eastAsia="Arial" w:hAnsi="Arial"/>
                <w:sz w:val="15"/>
                <w:szCs w:val="15"/>
                <w:color w:val="auto"/>
                <w:w w:val="91"/>
              </w:rPr>
              <w:t>Periods Ended</w:t>
            </w:r>
          </w:p>
        </w:tc>
        <w:tc>
          <w:tcPr>
            <w:tcW w:w="0" w:type="dxa"/>
            <w:vAlign w:val="bottom"/>
          </w:tcPr>
          <w:p>
            <w:pPr>
              <w:spacing w:after="0"/>
              <w:rPr>
                <w:sz w:val="1"/>
                <w:szCs w:val="1"/>
                <w:color w:val="auto"/>
              </w:rPr>
            </w:pPr>
          </w:p>
        </w:tc>
      </w:tr>
      <w:tr>
        <w:trPr>
          <w:trHeight w:val="52"/>
        </w:trPr>
        <w:tc>
          <w:tcPr>
            <w:tcW w:w="2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1580" w:type="dxa"/>
            <w:vAlign w:val="bottom"/>
            <w:vMerge w:val="restart"/>
          </w:tcPr>
          <w:p>
            <w:pPr>
              <w:jc w:val="center"/>
              <w:spacing w:after="0" w:line="155" w:lineRule="exact"/>
              <w:rPr>
                <w:sz w:val="20"/>
                <w:szCs w:val="20"/>
                <w:color w:val="auto"/>
              </w:rPr>
            </w:pPr>
            <w:r>
              <w:rPr>
                <w:rFonts w:ascii="Arial" w:cs="Arial" w:eastAsia="Arial" w:hAnsi="Arial"/>
                <w:sz w:val="15"/>
                <w:szCs w:val="15"/>
                <w:color w:val="auto"/>
                <w:w w:val="95"/>
              </w:rPr>
              <w:t>Income (Loss) into</w:t>
            </w:r>
          </w:p>
        </w:tc>
        <w:tc>
          <w:tcPr>
            <w:tcW w:w="10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1800" w:type="dxa"/>
            <w:vAlign w:val="bottom"/>
            <w:vMerge w:val="restart"/>
          </w:tcPr>
          <w:p>
            <w:pPr>
              <w:jc w:val="center"/>
              <w:ind w:left="3"/>
              <w:spacing w:after="0" w:line="155" w:lineRule="exact"/>
              <w:rPr>
                <w:sz w:val="20"/>
                <w:szCs w:val="20"/>
                <w:color w:val="auto"/>
              </w:rPr>
            </w:pPr>
            <w:r>
              <w:rPr>
                <w:rFonts w:ascii="Arial" w:cs="Arial" w:eastAsia="Arial" w:hAnsi="Arial"/>
                <w:sz w:val="15"/>
                <w:szCs w:val="15"/>
                <w:color w:val="auto"/>
                <w:w w:val="92"/>
              </w:rPr>
              <w:t>Gain (Loss)</w:t>
            </w:r>
          </w:p>
        </w:tc>
        <w:tc>
          <w:tcPr>
            <w:tcW w:w="180" w:type="dxa"/>
            <w:vAlign w:val="bottom"/>
          </w:tcPr>
          <w:p>
            <w:pPr>
              <w:spacing w:after="0"/>
              <w:rPr>
                <w:sz w:val="4"/>
                <w:szCs w:val="4"/>
                <w:color w:val="auto"/>
              </w:rPr>
            </w:pPr>
          </w:p>
        </w:tc>
        <w:tc>
          <w:tcPr>
            <w:tcW w:w="16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3"/>
            <w:vMerge w:val="restart"/>
          </w:tcPr>
          <w:p>
            <w:pPr>
              <w:jc w:val="center"/>
              <w:ind w:left="63"/>
              <w:spacing w:after="0"/>
              <w:rPr>
                <w:sz w:val="20"/>
                <w:szCs w:val="20"/>
                <w:color w:val="auto"/>
              </w:rPr>
            </w:pPr>
            <w:r>
              <w:rPr>
                <w:rFonts w:ascii="Arial" w:cs="Arial" w:eastAsia="Arial" w:hAnsi="Arial"/>
                <w:sz w:val="15"/>
                <w:szCs w:val="15"/>
                <w:color w:val="auto"/>
                <w:w w:val="91"/>
              </w:rPr>
              <w:t>September 30,</w:t>
            </w:r>
          </w:p>
        </w:tc>
        <w:tc>
          <w:tcPr>
            <w:tcW w:w="24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gridSpan w:val="4"/>
            <w:vMerge w:val="restart"/>
          </w:tcPr>
          <w:p>
            <w:pPr>
              <w:jc w:val="center"/>
              <w:ind w:right="23"/>
              <w:spacing w:after="0"/>
              <w:rPr>
                <w:sz w:val="20"/>
                <w:szCs w:val="20"/>
                <w:color w:val="auto"/>
              </w:rPr>
            </w:pPr>
            <w:r>
              <w:rPr>
                <w:rFonts w:ascii="Arial" w:cs="Arial" w:eastAsia="Arial" w:hAnsi="Arial"/>
                <w:sz w:val="15"/>
                <w:szCs w:val="15"/>
                <w:color w:val="auto"/>
                <w:w w:val="91"/>
              </w:rPr>
              <w:t>September 30,</w:t>
            </w:r>
          </w:p>
        </w:tc>
        <w:tc>
          <w:tcPr>
            <w:tcW w:w="18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600" w:type="dxa"/>
            <w:vAlign w:val="bottom"/>
            <w:gridSpan w:val="4"/>
            <w:vMerge w:val="restart"/>
          </w:tcPr>
          <w:p>
            <w:pPr>
              <w:jc w:val="center"/>
              <w:ind w:right="103"/>
              <w:spacing w:after="0"/>
              <w:rPr>
                <w:sz w:val="20"/>
                <w:szCs w:val="20"/>
                <w:color w:val="auto"/>
              </w:rPr>
            </w:pPr>
            <w:r>
              <w:rPr>
                <w:rFonts w:ascii="Arial" w:cs="Arial" w:eastAsia="Arial" w:hAnsi="Arial"/>
                <w:sz w:val="15"/>
                <w:szCs w:val="15"/>
                <w:color w:val="auto"/>
                <w:w w:val="91"/>
              </w:rPr>
              <w:t>September 30,</w:t>
            </w:r>
          </w:p>
        </w:tc>
        <w:tc>
          <w:tcPr>
            <w:tcW w:w="0" w:type="dxa"/>
            <w:vAlign w:val="bottom"/>
          </w:tcPr>
          <w:p>
            <w:pPr>
              <w:spacing w:after="0"/>
              <w:rPr>
                <w:sz w:val="1"/>
                <w:szCs w:val="1"/>
                <w:color w:val="auto"/>
              </w:rPr>
            </w:pPr>
          </w:p>
        </w:tc>
      </w:tr>
      <w:tr>
        <w:trPr>
          <w:trHeight w:val="95"/>
        </w:trPr>
        <w:tc>
          <w:tcPr>
            <w:tcW w:w="2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gridSpan w:val="3"/>
            <w:vMerge w:val="continue"/>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580" w:type="dxa"/>
            <w:vAlign w:val="bottom"/>
            <w:vMerge w:val="restart"/>
          </w:tcPr>
          <w:p>
            <w:pPr>
              <w:jc w:val="center"/>
              <w:spacing w:after="0" w:line="155" w:lineRule="exact"/>
              <w:rPr>
                <w:sz w:val="20"/>
                <w:szCs w:val="20"/>
                <w:color w:val="auto"/>
              </w:rPr>
            </w:pPr>
            <w:r>
              <w:rPr>
                <w:rFonts w:ascii="Arial" w:cs="Arial" w:eastAsia="Arial" w:hAnsi="Arial"/>
                <w:sz w:val="15"/>
                <w:szCs w:val="15"/>
                <w:color w:val="auto"/>
                <w:w w:val="94"/>
              </w:rPr>
              <w:t>Income (Effective</w:t>
            </w:r>
          </w:p>
        </w:tc>
        <w:tc>
          <w:tcPr>
            <w:tcW w:w="10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gridSpan w:val="4"/>
            <w:vMerge w:val="continue"/>
          </w:tcPr>
          <w:p>
            <w:pPr>
              <w:spacing w:after="0"/>
              <w:rPr>
                <w:sz w:val="8"/>
                <w:szCs w:val="8"/>
                <w:color w:val="auto"/>
              </w:rPr>
            </w:pPr>
          </w:p>
        </w:tc>
        <w:tc>
          <w:tcPr>
            <w:tcW w:w="1800" w:type="dxa"/>
            <w:vAlign w:val="bottom"/>
            <w:vMerge w:val="restart"/>
          </w:tcPr>
          <w:p>
            <w:pPr>
              <w:jc w:val="center"/>
              <w:ind w:left="3"/>
              <w:spacing w:after="0" w:line="155" w:lineRule="exact"/>
              <w:rPr>
                <w:sz w:val="20"/>
                <w:szCs w:val="20"/>
                <w:color w:val="auto"/>
              </w:rPr>
            </w:pPr>
            <w:r>
              <w:rPr>
                <w:rFonts w:ascii="Arial" w:cs="Arial" w:eastAsia="Arial" w:hAnsi="Arial"/>
                <w:sz w:val="15"/>
                <w:szCs w:val="15"/>
                <w:color w:val="auto"/>
                <w:w w:val="90"/>
              </w:rPr>
              <w:t>Recognized</w:t>
            </w:r>
          </w:p>
        </w:tc>
        <w:tc>
          <w:tcPr>
            <w:tcW w:w="1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2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vMerge w:val="restart"/>
          </w:tcPr>
          <w:p>
            <w:pPr>
              <w:jc w:val="right"/>
              <w:ind w:right="183"/>
              <w:spacing w:after="0"/>
              <w:rPr>
                <w:sz w:val="20"/>
                <w:szCs w:val="20"/>
                <w:color w:val="auto"/>
              </w:rPr>
            </w:pPr>
            <w:r>
              <w:rPr>
                <w:rFonts w:ascii="Arial" w:cs="Arial" w:eastAsia="Arial" w:hAnsi="Arial"/>
                <w:sz w:val="15"/>
                <w:szCs w:val="15"/>
                <w:color w:val="auto"/>
              </w:rPr>
              <w:t>2023</w:t>
            </w:r>
          </w:p>
        </w:tc>
        <w:tc>
          <w:tcPr>
            <w:tcW w:w="180" w:type="dxa"/>
            <w:vAlign w:val="bottom"/>
          </w:tcPr>
          <w:p>
            <w:pPr>
              <w:spacing w:after="0"/>
              <w:rPr>
                <w:sz w:val="3"/>
                <w:szCs w:val="3"/>
                <w:color w:val="auto"/>
              </w:rPr>
            </w:pP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2022</w:t>
            </w:r>
          </w:p>
        </w:tc>
        <w:tc>
          <w:tcPr>
            <w:tcW w:w="240" w:type="dxa"/>
            <w:vAlign w:val="bottom"/>
          </w:tcPr>
          <w:p>
            <w:pPr>
              <w:spacing w:after="0"/>
              <w:rPr>
                <w:sz w:val="3"/>
                <w:szCs w:val="3"/>
                <w:color w:val="auto"/>
              </w:rPr>
            </w:pPr>
          </w:p>
        </w:tc>
        <w:tc>
          <w:tcPr>
            <w:tcW w:w="15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vMerge w:val="restart"/>
          </w:tcPr>
          <w:p>
            <w:pPr>
              <w:jc w:val="right"/>
              <w:ind w:right="163"/>
              <w:spacing w:after="0"/>
              <w:rPr>
                <w:sz w:val="20"/>
                <w:szCs w:val="20"/>
                <w:color w:val="auto"/>
              </w:rPr>
            </w:pPr>
            <w:r>
              <w:rPr>
                <w:rFonts w:ascii="Arial" w:cs="Arial" w:eastAsia="Arial" w:hAnsi="Arial"/>
                <w:sz w:val="15"/>
                <w:szCs w:val="15"/>
                <w:color w:val="auto"/>
              </w:rPr>
              <w:t>2023</w:t>
            </w: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vMerge w:val="restart"/>
          </w:tcPr>
          <w:p>
            <w:pPr>
              <w:ind w:left="80"/>
              <w:spacing w:after="0"/>
              <w:rPr>
                <w:sz w:val="20"/>
                <w:szCs w:val="20"/>
                <w:color w:val="auto"/>
              </w:rPr>
            </w:pPr>
            <w:r>
              <w:rPr>
                <w:rFonts w:ascii="Arial" w:cs="Arial" w:eastAsia="Arial" w:hAnsi="Arial"/>
                <w:sz w:val="15"/>
                <w:szCs w:val="15"/>
                <w:color w:val="auto"/>
              </w:rPr>
              <w:t>2022</w:t>
            </w:r>
          </w:p>
        </w:tc>
        <w:tc>
          <w:tcPr>
            <w:tcW w:w="180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vMerge w:val="restart"/>
          </w:tcPr>
          <w:p>
            <w:pPr>
              <w:jc w:val="right"/>
              <w:ind w:right="183"/>
              <w:spacing w:after="0"/>
              <w:rPr>
                <w:sz w:val="20"/>
                <w:szCs w:val="20"/>
                <w:color w:val="auto"/>
              </w:rPr>
            </w:pPr>
            <w:r>
              <w:rPr>
                <w:rFonts w:ascii="Arial" w:cs="Arial" w:eastAsia="Arial" w:hAnsi="Arial"/>
                <w:sz w:val="15"/>
                <w:szCs w:val="15"/>
                <w:color w:val="auto"/>
              </w:rPr>
              <w:t>2023</w:t>
            </w: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vMerge w:val="restart"/>
          </w:tcPr>
          <w:p>
            <w:pPr>
              <w:jc w:val="right"/>
              <w:ind w:right="183"/>
              <w:spacing w:after="0"/>
              <w:rPr>
                <w:sz w:val="20"/>
                <w:szCs w:val="20"/>
                <w:color w:val="auto"/>
              </w:rPr>
            </w:pPr>
            <w:r>
              <w:rPr>
                <w:rFonts w:ascii="Arial" w:cs="Arial" w:eastAsia="Arial" w:hAnsi="Arial"/>
                <w:sz w:val="15"/>
                <w:szCs w:val="15"/>
                <w:color w:val="auto"/>
              </w:rPr>
              <w:t>2022</w:t>
            </w:r>
          </w:p>
        </w:tc>
        <w:tc>
          <w:tcPr>
            <w:tcW w:w="0" w:type="dxa"/>
            <w:vAlign w:val="bottom"/>
          </w:tcPr>
          <w:p>
            <w:pPr>
              <w:spacing w:after="0" w:line="20" w:lineRule="exact"/>
              <w:rPr>
                <w:sz w:val="1"/>
                <w:szCs w:val="1"/>
                <w:color w:val="auto"/>
              </w:rPr>
            </w:pPr>
          </w:p>
        </w:tc>
      </w:tr>
      <w:tr>
        <w:trPr>
          <w:trHeight w:val="199"/>
        </w:trPr>
        <w:tc>
          <w:tcPr>
            <w:tcW w:w="24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5"/>
              </w:rPr>
              <w:t>Portion)</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800" w:type="dxa"/>
            <w:vAlign w:val="bottom"/>
            <w:tcBorders>
              <w:bottom w:val="single" w:sz="8" w:color="auto"/>
            </w:tcBorders>
          </w:tcPr>
          <w:p>
            <w:pPr>
              <w:jc w:val="center"/>
              <w:ind w:left="23"/>
              <w:spacing w:after="0"/>
              <w:rPr>
                <w:sz w:val="20"/>
                <w:szCs w:val="20"/>
                <w:color w:val="auto"/>
              </w:rPr>
            </w:pPr>
            <w:r>
              <w:rPr>
                <w:rFonts w:ascii="Arial" w:cs="Arial" w:eastAsia="Arial" w:hAnsi="Arial"/>
                <w:sz w:val="15"/>
                <w:szCs w:val="15"/>
                <w:color w:val="auto"/>
                <w:w w:val="95"/>
              </w:rPr>
              <w:t>in Income</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4"/>
          </w:tcPr>
          <w:p>
            <w:pPr>
              <w:ind w:left="460"/>
              <w:spacing w:after="0"/>
              <w:rPr>
                <w:sz w:val="20"/>
                <w:szCs w:val="20"/>
                <w:color w:val="auto"/>
              </w:rPr>
            </w:pPr>
            <w:r>
              <w:rPr>
                <w:rFonts w:ascii="Arial" w:cs="Arial" w:eastAsia="Arial" w:hAnsi="Arial"/>
                <w:sz w:val="15"/>
                <w:szCs w:val="15"/>
                <w:color w:val="auto"/>
              </w:rPr>
              <w:t>(In thousands)</w:t>
            </w:r>
          </w:p>
        </w:tc>
        <w:tc>
          <w:tcPr>
            <w:tcW w:w="1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Fair Value Hedges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440" w:type="dxa"/>
            <w:vAlign w:val="bottom"/>
          </w:tcPr>
          <w:p>
            <w:pPr>
              <w:ind w:left="180"/>
              <w:spacing w:after="0" w:line="160" w:lineRule="exact"/>
              <w:rPr>
                <w:sz w:val="20"/>
                <w:szCs w:val="20"/>
                <w:color w:val="auto"/>
              </w:rPr>
            </w:pPr>
            <w:r>
              <w:rPr>
                <w:rFonts w:ascii="Arial" w:cs="Arial" w:eastAsia="Arial" w:hAnsi="Arial"/>
                <w:sz w:val="15"/>
                <w:szCs w:val="15"/>
                <w:color w:val="auto"/>
              </w:rPr>
              <w:t>Pay-fixed interest rate swap</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0" w:type="dxa"/>
            <w:vAlign w:val="bottom"/>
          </w:tcPr>
          <w:p>
            <w:pPr>
              <w:ind w:left="180"/>
              <w:spacing w:after="0" w:line="160" w:lineRule="exact"/>
              <w:rPr>
                <w:sz w:val="20"/>
                <w:szCs w:val="20"/>
                <w:color w:val="auto"/>
              </w:rPr>
            </w:pPr>
            <w:r>
              <w:rPr>
                <w:rFonts w:ascii="Arial" w:cs="Arial" w:eastAsia="Arial" w:hAnsi="Arial"/>
                <w:sz w:val="15"/>
                <w:szCs w:val="15"/>
                <w:color w:val="auto"/>
              </w:rPr>
              <w:t>Interest and fees on</w:t>
            </w:r>
          </w:p>
        </w:tc>
        <w:tc>
          <w:tcPr>
            <w:tcW w:w="180" w:type="dxa"/>
            <w:vAlign w:val="bottom"/>
            <w:vMerge w:val="restart"/>
          </w:tcPr>
          <w:p>
            <w:pPr>
              <w:jc w:val="right"/>
              <w:ind w:right="3"/>
              <w:spacing w:after="0"/>
              <w:rPr>
                <w:sz w:val="20"/>
                <w:szCs w:val="20"/>
                <w:color w:val="auto"/>
              </w:rPr>
            </w:pPr>
            <w:r>
              <w:rPr>
                <w:rFonts w:ascii="Arial" w:cs="Arial" w:eastAsia="Arial" w:hAnsi="Arial"/>
                <w:sz w:val="15"/>
                <w:szCs w:val="15"/>
                <w:color w:val="auto"/>
                <w:w w:val="95"/>
              </w:rPr>
              <w:t>$</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113</w:t>
            </w:r>
          </w:p>
        </w:tc>
        <w:tc>
          <w:tcPr>
            <w:tcW w:w="100" w:type="dxa"/>
            <w:vAlign w:val="bottom"/>
          </w:tcPr>
          <w:p>
            <w:pPr>
              <w:spacing w:after="0"/>
              <w:rPr>
                <w:sz w:val="13"/>
                <w:szCs w:val="13"/>
                <w:color w:val="auto"/>
              </w:rPr>
            </w:pPr>
          </w:p>
        </w:tc>
        <w:tc>
          <w:tcPr>
            <w:tcW w:w="180" w:type="dxa"/>
            <w:vAlign w:val="bottom"/>
            <w:vMerge w:val="restart"/>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868</w:t>
            </w:r>
          </w:p>
        </w:tc>
        <w:tc>
          <w:tcPr>
            <w:tcW w:w="0" w:type="dxa"/>
            <w:vAlign w:val="bottom"/>
          </w:tcPr>
          <w:p>
            <w:pPr>
              <w:spacing w:after="0"/>
              <w:rPr>
                <w:sz w:val="1"/>
                <w:szCs w:val="1"/>
                <w:color w:val="auto"/>
              </w:rPr>
            </w:pPr>
          </w:p>
        </w:tc>
      </w:tr>
      <w:tr>
        <w:trPr>
          <w:trHeight w:val="199"/>
        </w:trPr>
        <w:tc>
          <w:tcPr>
            <w:tcW w:w="2440" w:type="dxa"/>
            <w:vAlign w:val="bottom"/>
          </w:tcPr>
          <w:p>
            <w:pPr>
              <w:ind w:left="320"/>
              <w:spacing w:after="0"/>
              <w:rPr>
                <w:sz w:val="20"/>
                <w:szCs w:val="20"/>
                <w:color w:val="auto"/>
              </w:rPr>
            </w:pPr>
            <w:r>
              <w:rPr>
                <w:rFonts w:ascii="Arial" w:cs="Arial" w:eastAsia="Arial" w:hAnsi="Arial"/>
                <w:sz w:val="15"/>
                <w:szCs w:val="15"/>
                <w:color w:val="auto"/>
              </w:rPr>
              <w:t>agreement - commercial</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0" w:type="dxa"/>
            <w:vAlign w:val="bottom"/>
          </w:tcPr>
          <w:p>
            <w:pPr>
              <w:ind w:left="340"/>
              <w:spacing w:after="0"/>
              <w:rPr>
                <w:sz w:val="20"/>
                <w:szCs w:val="20"/>
                <w:color w:val="auto"/>
              </w:rPr>
            </w:pPr>
            <w:r>
              <w:rPr>
                <w:rFonts w:ascii="Arial" w:cs="Arial" w:eastAsia="Arial" w:hAnsi="Arial"/>
                <w:sz w:val="15"/>
                <w:szCs w:val="15"/>
                <w:color w:val="auto"/>
              </w:rPr>
              <w:t>loans</w:t>
            </w:r>
          </w:p>
        </w:tc>
        <w:tc>
          <w:tcPr>
            <w:tcW w:w="18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Pay-fixed interest rate swap</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Interest on securities</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440" w:type="dxa"/>
            <w:vAlign w:val="bottom"/>
            <w:shd w:val="clear" w:color="auto" w:fill="CCEEFF"/>
          </w:tcPr>
          <w:p>
            <w:pPr>
              <w:ind w:left="320"/>
              <w:spacing w:after="0" w:line="155" w:lineRule="exact"/>
              <w:rPr>
                <w:sz w:val="20"/>
                <w:szCs w:val="20"/>
                <w:color w:val="auto"/>
              </w:rPr>
            </w:pPr>
            <w:r>
              <w:rPr>
                <w:rFonts w:ascii="Arial" w:cs="Arial" w:eastAsia="Arial" w:hAnsi="Arial"/>
                <w:sz w:val="15"/>
                <w:szCs w:val="15"/>
                <w:color w:val="auto"/>
                <w:w w:val="95"/>
              </w:rPr>
              <w:t>agreements - securities available</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0" w:type="dxa"/>
            <w:vAlign w:val="bottom"/>
            <w:shd w:val="clear" w:color="auto" w:fill="CCEEFF"/>
          </w:tcPr>
          <w:p>
            <w:pPr>
              <w:ind w:left="340"/>
              <w:spacing w:after="0" w:line="155" w:lineRule="exact"/>
              <w:rPr>
                <w:sz w:val="20"/>
                <w:szCs w:val="20"/>
                <w:color w:val="auto"/>
              </w:rPr>
            </w:pPr>
            <w:r>
              <w:rPr>
                <w:rFonts w:ascii="Arial" w:cs="Arial" w:eastAsia="Arial" w:hAnsi="Arial"/>
                <w:sz w:val="15"/>
                <w:szCs w:val="15"/>
                <w:color w:val="auto"/>
              </w:rPr>
              <w:t>available for sale -</w:t>
            </w:r>
          </w:p>
        </w:tc>
        <w:tc>
          <w:tcPr>
            <w:tcW w:w="1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550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16,929</w:t>
            </w:r>
          </w:p>
        </w:tc>
        <w:tc>
          <w:tcPr>
            <w:tcW w:w="0" w:type="dxa"/>
            <w:vAlign w:val="bottom"/>
          </w:tcPr>
          <w:p>
            <w:pPr>
              <w:spacing w:after="0"/>
              <w:rPr>
                <w:sz w:val="1"/>
                <w:szCs w:val="1"/>
                <w:color w:val="auto"/>
              </w:rPr>
            </w:pPr>
          </w:p>
        </w:tc>
      </w:tr>
      <w:tr>
        <w:trPr>
          <w:trHeight w:val="201"/>
        </w:trPr>
        <w:tc>
          <w:tcPr>
            <w:tcW w:w="24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for sale</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tax - exempt</w:t>
            </w: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440" w:type="dxa"/>
            <w:vAlign w:val="bottom"/>
          </w:tcPr>
          <w:p>
            <w:pPr>
              <w:ind w:left="180"/>
              <w:spacing w:after="0" w:line="160" w:lineRule="exact"/>
              <w:rPr>
                <w:sz w:val="20"/>
                <w:szCs w:val="20"/>
                <w:color w:val="auto"/>
              </w:rPr>
            </w:pPr>
            <w:r>
              <w:rPr>
                <w:rFonts w:ascii="Arial" w:cs="Arial" w:eastAsia="Arial" w:hAnsi="Arial"/>
                <w:sz w:val="15"/>
                <w:szCs w:val="15"/>
                <w:color w:val="auto"/>
              </w:rPr>
              <w:t>Pay-fixed interest rate swap</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0" w:type="dxa"/>
            <w:vAlign w:val="bottom"/>
          </w:tcPr>
          <w:p>
            <w:pPr>
              <w:ind w:left="180"/>
              <w:spacing w:after="0" w:line="160" w:lineRule="exact"/>
              <w:rPr>
                <w:sz w:val="20"/>
                <w:szCs w:val="20"/>
                <w:color w:val="auto"/>
              </w:rPr>
            </w:pPr>
            <w:r>
              <w:rPr>
                <w:rFonts w:ascii="Arial" w:cs="Arial" w:eastAsia="Arial" w:hAnsi="Arial"/>
                <w:sz w:val="15"/>
                <w:szCs w:val="15"/>
                <w:color w:val="auto"/>
              </w:rPr>
              <w:t>Interest and fees on</w:t>
            </w:r>
          </w:p>
        </w:tc>
        <w:tc>
          <w:tcPr>
            <w:tcW w:w="1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1,362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2440" w:type="dxa"/>
            <w:vAlign w:val="bottom"/>
          </w:tcPr>
          <w:p>
            <w:pPr>
              <w:ind w:left="320"/>
              <w:spacing w:after="0"/>
              <w:rPr>
                <w:sz w:val="20"/>
                <w:szCs w:val="20"/>
                <w:color w:val="auto"/>
              </w:rPr>
            </w:pPr>
            <w:r>
              <w:rPr>
                <w:rFonts w:ascii="Arial" w:cs="Arial" w:eastAsia="Arial" w:hAnsi="Arial"/>
                <w:sz w:val="15"/>
                <w:szCs w:val="15"/>
                <w:color w:val="auto"/>
              </w:rPr>
              <w:t>agreements - Installment</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0" w:type="dxa"/>
            <w:vAlign w:val="bottom"/>
          </w:tcPr>
          <w:p>
            <w:pPr>
              <w:ind w:left="340"/>
              <w:spacing w:after="0"/>
              <w:rPr>
                <w:sz w:val="20"/>
                <w:szCs w:val="20"/>
                <w:color w:val="auto"/>
              </w:rPr>
            </w:pPr>
            <w:r>
              <w:rPr>
                <w:rFonts w:ascii="Arial" w:cs="Arial" w:eastAsia="Arial" w:hAnsi="Arial"/>
                <w:sz w:val="15"/>
                <w:szCs w:val="15"/>
                <w:color w:val="auto"/>
              </w:rPr>
              <w:t>loans</w:t>
            </w: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Pay-fixed interest rate swap</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Interest and fees on</w:t>
            </w:r>
          </w:p>
        </w:tc>
        <w:tc>
          <w:tcPr>
            <w:tcW w:w="1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785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24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agreements - Mortgage</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loans</w:t>
            </w: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440" w:type="dxa"/>
            <w:vAlign w:val="bottom"/>
          </w:tcPr>
          <w:p>
            <w:pPr>
              <w:ind w:left="180"/>
              <w:spacing w:after="0" w:line="160" w:lineRule="exact"/>
              <w:rPr>
                <w:sz w:val="20"/>
                <w:szCs w:val="20"/>
                <w:color w:val="auto"/>
              </w:rPr>
            </w:pPr>
            <w:r>
              <w:rPr>
                <w:rFonts w:ascii="Arial" w:cs="Arial" w:eastAsia="Arial" w:hAnsi="Arial"/>
                <w:sz w:val="15"/>
                <w:szCs w:val="15"/>
                <w:color w:val="auto"/>
              </w:rPr>
              <w:t>Interest rate cap agreements -</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tcPr>
          <w:p>
            <w:pPr>
              <w:ind w:left="180"/>
              <w:spacing w:after="0" w:line="160" w:lineRule="exact"/>
              <w:rPr>
                <w:sz w:val="20"/>
                <w:szCs w:val="20"/>
                <w:color w:val="auto"/>
              </w:rPr>
            </w:pPr>
            <w:r>
              <w:rPr>
                <w:rFonts w:ascii="Arial" w:cs="Arial" w:eastAsia="Arial" w:hAnsi="Arial"/>
                <w:sz w:val="15"/>
                <w:szCs w:val="15"/>
                <w:color w:val="auto"/>
              </w:rPr>
              <w:t>Interest on</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0" w:type="dxa"/>
            <w:vAlign w:val="bottom"/>
          </w:tcPr>
          <w:p>
            <w:pPr>
              <w:ind w:left="180"/>
              <w:spacing w:after="0" w:line="160" w:lineRule="exact"/>
              <w:rPr>
                <w:sz w:val="20"/>
                <w:szCs w:val="20"/>
                <w:color w:val="auto"/>
              </w:rPr>
            </w:pPr>
            <w:r>
              <w:rPr>
                <w:rFonts w:ascii="Arial" w:cs="Arial" w:eastAsia="Arial" w:hAnsi="Arial"/>
                <w:sz w:val="15"/>
                <w:szCs w:val="15"/>
                <w:color w:val="auto"/>
              </w:rPr>
              <w:t>Interest on securities</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40" w:type="dxa"/>
            <w:vAlign w:val="bottom"/>
          </w:tcPr>
          <w:p>
            <w:pPr>
              <w:ind w:left="320"/>
              <w:spacing w:after="0" w:line="155" w:lineRule="exact"/>
              <w:rPr>
                <w:sz w:val="20"/>
                <w:szCs w:val="20"/>
                <w:color w:val="auto"/>
              </w:rPr>
            </w:pPr>
            <w:r>
              <w:rPr>
                <w:rFonts w:ascii="Arial" w:cs="Arial" w:eastAsia="Arial" w:hAnsi="Arial"/>
                <w:sz w:val="15"/>
                <w:szCs w:val="15"/>
                <w:color w:val="auto"/>
              </w:rPr>
              <w:t>securities available for sale</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tcPr>
          <w:p>
            <w:pPr>
              <w:ind w:left="340"/>
              <w:spacing w:after="0" w:line="155" w:lineRule="exact"/>
              <w:rPr>
                <w:sz w:val="20"/>
                <w:szCs w:val="20"/>
                <w:color w:val="auto"/>
              </w:rPr>
            </w:pPr>
            <w:r>
              <w:rPr>
                <w:rFonts w:ascii="Arial" w:cs="Arial" w:eastAsia="Arial" w:hAnsi="Arial"/>
                <w:sz w:val="15"/>
                <w:szCs w:val="15"/>
                <w:color w:val="auto"/>
              </w:rPr>
              <w:t>securities</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0" w:type="dxa"/>
            <w:vAlign w:val="bottom"/>
          </w:tcPr>
          <w:p>
            <w:pPr>
              <w:ind w:left="340"/>
              <w:spacing w:after="0" w:line="155" w:lineRule="exact"/>
              <w:rPr>
                <w:sz w:val="20"/>
                <w:szCs w:val="20"/>
                <w:color w:val="auto"/>
              </w:rPr>
            </w:pPr>
            <w:r>
              <w:rPr>
                <w:rFonts w:ascii="Arial" w:cs="Arial" w:eastAsia="Arial" w:hAnsi="Arial"/>
                <w:sz w:val="15"/>
                <w:szCs w:val="15"/>
                <w:color w:val="auto"/>
              </w:rPr>
              <w:t>available for sale -</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4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(438)</w:t>
            </w:r>
          </w:p>
        </w:tc>
        <w:tc>
          <w:tcPr>
            <w:tcW w:w="180" w:type="dxa"/>
            <w:vAlign w:val="bottom"/>
          </w:tcPr>
          <w:p>
            <w:pPr>
              <w:spacing w:after="0"/>
              <w:rPr>
                <w:sz w:val="13"/>
                <w:szCs w:val="13"/>
                <w:color w:val="auto"/>
              </w:rPr>
            </w:pPr>
          </w:p>
        </w:tc>
        <w:tc>
          <w:tcPr>
            <w:tcW w:w="580" w:type="dxa"/>
            <w:vAlign w:val="bottom"/>
            <w:vMerge w:val="restart"/>
          </w:tcPr>
          <w:p>
            <w:pPr>
              <w:jc w:val="right"/>
              <w:ind w:right="423"/>
              <w:spacing w:after="0"/>
              <w:rPr>
                <w:sz w:val="20"/>
                <w:szCs w:val="20"/>
                <w:color w:val="auto"/>
              </w:rPr>
            </w:pPr>
            <w:r>
              <w:rPr>
                <w:rFonts w:ascii="Arial" w:cs="Arial" w:eastAsia="Arial" w:hAnsi="Arial"/>
                <w:sz w:val="15"/>
                <w:szCs w:val="15"/>
                <w:color w:val="auto"/>
                <w:w w:val="71"/>
              </w:rPr>
              <w:t>$</w:t>
            </w:r>
          </w:p>
        </w:tc>
        <w:tc>
          <w:tcPr>
            <w:tcW w:w="24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1580" w:type="dxa"/>
            <w:vAlign w:val="bottom"/>
          </w:tcPr>
          <w:p>
            <w:pPr>
              <w:ind w:left="340"/>
              <w:spacing w:after="0" w:line="155" w:lineRule="exact"/>
              <w:rPr>
                <w:sz w:val="20"/>
                <w:szCs w:val="20"/>
                <w:color w:val="auto"/>
              </w:rPr>
            </w:pPr>
            <w:r>
              <w:rPr>
                <w:rFonts w:ascii="Arial" w:cs="Arial" w:eastAsia="Arial" w:hAnsi="Arial"/>
                <w:sz w:val="15"/>
                <w:szCs w:val="15"/>
                <w:color w:val="auto"/>
              </w:rPr>
              <w:t>available for sale</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(207)</w:t>
            </w:r>
          </w:p>
        </w:tc>
        <w:tc>
          <w:tcPr>
            <w:tcW w:w="180" w:type="dxa"/>
            <w:vAlign w:val="bottom"/>
          </w:tcPr>
          <w:p>
            <w:pPr>
              <w:spacing w:after="0"/>
              <w:rPr>
                <w:sz w:val="13"/>
                <w:szCs w:val="13"/>
                <w:color w:val="auto"/>
              </w:rPr>
            </w:pPr>
          </w:p>
        </w:tc>
        <w:tc>
          <w:tcPr>
            <w:tcW w:w="180" w:type="dxa"/>
            <w:vAlign w:val="bottom"/>
            <w:vMerge w:val="restart"/>
          </w:tcPr>
          <w:p>
            <w:pPr>
              <w:jc w:val="right"/>
              <w:ind w:right="3"/>
              <w:spacing w:after="0"/>
              <w:rPr>
                <w:sz w:val="20"/>
                <w:szCs w:val="20"/>
                <w:color w:val="auto"/>
              </w:rPr>
            </w:pPr>
            <w:r>
              <w:rPr>
                <w:rFonts w:ascii="Arial" w:cs="Arial" w:eastAsia="Arial" w:hAnsi="Arial"/>
                <w:sz w:val="15"/>
                <w:szCs w:val="15"/>
                <w:color w:val="auto"/>
                <w:w w:val="95"/>
              </w:rPr>
              <w:t>$</w:t>
            </w:r>
          </w:p>
        </w:tc>
        <w:tc>
          <w:tcPr>
            <w:tcW w:w="640" w:type="dxa"/>
            <w:vAlign w:val="bottom"/>
            <w:vMerge w:val="restart"/>
          </w:tcPr>
          <w:p>
            <w:pPr>
              <w:ind w:left="420"/>
              <w:spacing w:after="0"/>
              <w:rPr>
                <w:sz w:val="20"/>
                <w:szCs w:val="20"/>
                <w:color w:val="auto"/>
              </w:rPr>
            </w:pPr>
            <w:r>
              <w:rPr>
                <w:rFonts w:ascii="Arial" w:cs="Arial" w:eastAsia="Arial" w:hAnsi="Arial"/>
                <w:sz w:val="15"/>
                <w:szCs w:val="15"/>
                <w:color w:val="auto"/>
              </w:rPr>
              <w:t>—</w:t>
            </w:r>
          </w:p>
        </w:tc>
        <w:tc>
          <w:tcPr>
            <w:tcW w:w="1800" w:type="dxa"/>
            <w:vAlign w:val="bottom"/>
          </w:tcPr>
          <w:p>
            <w:pPr>
              <w:ind w:left="340"/>
              <w:spacing w:after="0" w:line="155" w:lineRule="exact"/>
              <w:rPr>
                <w:sz w:val="20"/>
                <w:szCs w:val="20"/>
                <w:color w:val="auto"/>
              </w:rPr>
            </w:pPr>
            <w:r>
              <w:rPr>
                <w:rFonts w:ascii="Arial" w:cs="Arial" w:eastAsia="Arial" w:hAnsi="Arial"/>
                <w:sz w:val="15"/>
                <w:szCs w:val="15"/>
                <w:color w:val="auto"/>
              </w:rPr>
              <w:t>tax - exempt</w:t>
            </w:r>
          </w:p>
        </w:tc>
        <w:tc>
          <w:tcPr>
            <w:tcW w:w="1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286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244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580" w:type="dxa"/>
            <w:vAlign w:val="bottom"/>
          </w:tcPr>
          <w:p>
            <w:pPr>
              <w:ind w:left="340"/>
              <w:spacing w:after="0"/>
              <w:rPr>
                <w:sz w:val="20"/>
                <w:szCs w:val="20"/>
                <w:color w:val="auto"/>
              </w:rPr>
            </w:pPr>
            <w:r>
              <w:rPr>
                <w:rFonts w:ascii="Arial" w:cs="Arial" w:eastAsia="Arial" w:hAnsi="Arial"/>
                <w:sz w:val="15"/>
                <w:szCs w:val="15"/>
                <w:color w:val="auto"/>
              </w:rPr>
              <w:t>- tax - exempt</w:t>
            </w:r>
          </w:p>
        </w:tc>
        <w:tc>
          <w:tcPr>
            <w:tcW w:w="10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Interest rate cap agreements -</w:t>
            </w:r>
          </w:p>
        </w:tc>
        <w:tc>
          <w:tcPr>
            <w:tcW w:w="10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58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0"/>
              </w:rPr>
              <w:t>Interest and fees on</w:t>
            </w:r>
          </w:p>
        </w:tc>
        <w:tc>
          <w:tcPr>
            <w:tcW w:w="10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80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Interest and fees on</w:t>
            </w:r>
          </w:p>
        </w:tc>
        <w:tc>
          <w:tcPr>
            <w:tcW w:w="1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24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installment</w:t>
            </w: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5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loans</w:t>
            </w: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8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loans</w:t>
            </w: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40" w:type="dxa"/>
            <w:vAlign w:val="bottom"/>
          </w:tcPr>
          <w:p>
            <w:pPr>
              <w:ind w:left="320"/>
              <w:spacing w:after="0"/>
              <w:rPr>
                <w:sz w:val="20"/>
                <w:szCs w:val="20"/>
                <w:color w:val="auto"/>
              </w:rPr>
            </w:pPr>
            <w:r>
              <w:rPr>
                <w:rFonts w:ascii="Arial" w:cs="Arial" w:eastAsia="Arial" w:hAnsi="Arial"/>
                <w:sz w:val="15"/>
                <w:szCs w:val="15"/>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(438)</w:t>
            </w:r>
          </w:p>
        </w:tc>
        <w:tc>
          <w:tcPr>
            <w:tcW w:w="180" w:type="dxa"/>
            <w:vAlign w:val="bottom"/>
            <w:tcBorders>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5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(207)</w:t>
            </w:r>
          </w:p>
        </w:tc>
        <w:tc>
          <w:tcPr>
            <w:tcW w:w="18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5"/>
                <w:szCs w:val="15"/>
                <w:color w:val="auto"/>
              </w:rPr>
              <w:t>—</w:t>
            </w:r>
          </w:p>
        </w:tc>
        <w:tc>
          <w:tcPr>
            <w:tcW w:w="18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3,082</w:t>
            </w:r>
          </w:p>
        </w:tc>
        <w:tc>
          <w:tcPr>
            <w:tcW w:w="10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17,797</w:t>
            </w:r>
          </w:p>
        </w:tc>
        <w:tc>
          <w:tcPr>
            <w:tcW w:w="0" w:type="dxa"/>
            <w:vAlign w:val="bottom"/>
          </w:tcPr>
          <w:p>
            <w:pPr>
              <w:spacing w:after="0"/>
              <w:rPr>
                <w:sz w:val="1"/>
                <w:szCs w:val="1"/>
                <w:color w:val="auto"/>
              </w:rPr>
            </w:pPr>
          </w:p>
        </w:tc>
      </w:tr>
      <w:tr>
        <w:trPr>
          <w:trHeight w:val="20"/>
        </w:trPr>
        <w:tc>
          <w:tcPr>
            <w:tcW w:w="2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440" w:type="dxa"/>
            <w:vAlign w:val="bottom"/>
          </w:tcPr>
          <w:p>
            <w:pPr>
              <w:ind w:left="20"/>
              <w:spacing w:after="0"/>
              <w:rPr>
                <w:sz w:val="20"/>
                <w:szCs w:val="20"/>
                <w:color w:val="auto"/>
              </w:rPr>
            </w:pPr>
            <w:r>
              <w:rPr>
                <w:rFonts w:ascii="Arial" w:cs="Arial" w:eastAsia="Arial" w:hAnsi="Arial"/>
                <w:sz w:val="15"/>
                <w:szCs w:val="15"/>
                <w:color w:val="auto"/>
              </w:rPr>
              <w:t>Cash Flow Hedges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Interest rate floor agreements -</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(502)</w:t>
            </w:r>
          </w:p>
        </w:tc>
        <w:tc>
          <w:tcPr>
            <w:tcW w:w="18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ind w:right="423"/>
              <w:spacing w:after="0"/>
              <w:rPr>
                <w:sz w:val="20"/>
                <w:szCs w:val="20"/>
                <w:color w:val="auto"/>
              </w:rPr>
            </w:pPr>
            <w:r>
              <w:rPr>
                <w:rFonts w:ascii="Arial" w:cs="Arial" w:eastAsia="Arial" w:hAnsi="Arial"/>
                <w:sz w:val="15"/>
                <w:szCs w:val="15"/>
                <w:color w:val="auto"/>
                <w:w w:val="71"/>
              </w:rPr>
              <w:t>$</w:t>
            </w: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580" w:type="dxa"/>
            <w:vAlign w:val="bottom"/>
            <w:shd w:val="clear" w:color="auto" w:fill="CCEEFF"/>
          </w:tcPr>
          <w:p>
            <w:pPr>
              <w:jc w:val="center"/>
              <w:spacing w:after="0" w:line="162" w:lineRule="exact"/>
              <w:rPr>
                <w:sz w:val="20"/>
                <w:szCs w:val="20"/>
                <w:color w:val="auto"/>
              </w:rPr>
            </w:pPr>
            <w:r>
              <w:rPr>
                <w:rFonts w:ascii="Arial" w:cs="Arial" w:eastAsia="Arial" w:hAnsi="Arial"/>
                <w:sz w:val="15"/>
                <w:szCs w:val="15"/>
                <w:color w:val="auto"/>
                <w:w w:val="90"/>
              </w:rPr>
              <w:t>Interest and fees on</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1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640" w:type="dxa"/>
            <w:vAlign w:val="bottom"/>
            <w:vMerge w:val="restart"/>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80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Interest and fees on</w:t>
            </w:r>
          </w:p>
        </w:tc>
        <w:tc>
          <w:tcPr>
            <w:tcW w:w="1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commercial</w:t>
            </w: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loans</w:t>
            </w: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5"/>
                <w:szCs w:val="15"/>
                <w:color w:val="auto"/>
              </w:rPr>
              <w:t>loans</w:t>
            </w: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 hedge designation</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440" w:type="dxa"/>
            <w:vAlign w:val="bottom"/>
          </w:tcPr>
          <w:p>
            <w:pPr>
              <w:ind w:left="180"/>
              <w:spacing w:after="0" w:line="160" w:lineRule="exact"/>
              <w:rPr>
                <w:sz w:val="20"/>
                <w:szCs w:val="20"/>
                <w:color w:val="auto"/>
              </w:rPr>
            </w:pPr>
            <w:r>
              <w:rPr>
                <w:rFonts w:ascii="Arial" w:cs="Arial" w:eastAsia="Arial" w:hAnsi="Arial"/>
                <w:sz w:val="15"/>
                <w:szCs w:val="15"/>
                <w:color w:val="auto"/>
              </w:rPr>
              <w:t>Rate-lock mortgage loan</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0" w:type="dxa"/>
            <w:vAlign w:val="bottom"/>
          </w:tcPr>
          <w:p>
            <w:pPr>
              <w:ind w:left="180"/>
              <w:spacing w:after="0" w:line="160" w:lineRule="exact"/>
              <w:rPr>
                <w:sz w:val="20"/>
                <w:szCs w:val="20"/>
                <w:color w:val="auto"/>
              </w:rPr>
            </w:pPr>
            <w:r>
              <w:rPr>
                <w:rFonts w:ascii="Arial" w:cs="Arial" w:eastAsia="Arial" w:hAnsi="Arial"/>
                <w:sz w:val="15"/>
                <w:szCs w:val="15"/>
                <w:color w:val="auto"/>
              </w:rPr>
              <w:t>Net gains on mortgage</w:t>
            </w:r>
          </w:p>
        </w:tc>
        <w:tc>
          <w:tcPr>
            <w:tcW w:w="180" w:type="dxa"/>
            <w:vAlign w:val="bottom"/>
            <w:vMerge w:val="restart"/>
          </w:tcPr>
          <w:p>
            <w:pPr>
              <w:jc w:val="right"/>
              <w:ind w:right="3"/>
              <w:spacing w:after="0"/>
              <w:rPr>
                <w:sz w:val="20"/>
                <w:szCs w:val="20"/>
                <w:color w:val="auto"/>
              </w:rPr>
            </w:pPr>
            <w:r>
              <w:rPr>
                <w:rFonts w:ascii="Arial" w:cs="Arial" w:eastAsia="Arial" w:hAnsi="Arial"/>
                <w:sz w:val="15"/>
                <w:szCs w:val="15"/>
                <w:color w:val="auto"/>
                <w:w w:val="95"/>
              </w:rPr>
              <w:t>$</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916</w:t>
            </w:r>
          </w:p>
        </w:tc>
        <w:tc>
          <w:tcPr>
            <w:tcW w:w="100" w:type="dxa"/>
            <w:vAlign w:val="bottom"/>
          </w:tcPr>
          <w:p>
            <w:pPr>
              <w:spacing w:after="0"/>
              <w:rPr>
                <w:sz w:val="13"/>
                <w:szCs w:val="13"/>
                <w:color w:val="auto"/>
              </w:rPr>
            </w:pPr>
          </w:p>
        </w:tc>
        <w:tc>
          <w:tcPr>
            <w:tcW w:w="180" w:type="dxa"/>
            <w:vAlign w:val="bottom"/>
            <w:vMerge w:val="restart"/>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(8,496)</w:t>
            </w:r>
          </w:p>
        </w:tc>
        <w:tc>
          <w:tcPr>
            <w:tcW w:w="0" w:type="dxa"/>
            <w:vAlign w:val="bottom"/>
          </w:tcPr>
          <w:p>
            <w:pPr>
              <w:spacing w:after="0"/>
              <w:rPr>
                <w:sz w:val="1"/>
                <w:szCs w:val="1"/>
                <w:color w:val="auto"/>
              </w:rPr>
            </w:pPr>
          </w:p>
        </w:tc>
      </w:tr>
      <w:tr>
        <w:trPr>
          <w:trHeight w:val="199"/>
        </w:trPr>
        <w:tc>
          <w:tcPr>
            <w:tcW w:w="2440" w:type="dxa"/>
            <w:vAlign w:val="bottom"/>
          </w:tcPr>
          <w:p>
            <w:pPr>
              <w:ind w:left="320"/>
              <w:spacing w:after="0"/>
              <w:rPr>
                <w:sz w:val="20"/>
                <w:szCs w:val="20"/>
                <w:color w:val="auto"/>
              </w:rPr>
            </w:pPr>
            <w:r>
              <w:rPr>
                <w:rFonts w:ascii="Arial" w:cs="Arial" w:eastAsia="Arial" w:hAnsi="Arial"/>
                <w:sz w:val="15"/>
                <w:szCs w:val="15"/>
                <w:color w:val="auto"/>
              </w:rPr>
              <w:t>commitments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0" w:type="dxa"/>
            <w:vAlign w:val="bottom"/>
          </w:tcPr>
          <w:p>
            <w:pPr>
              <w:ind w:left="340"/>
              <w:spacing w:after="0"/>
              <w:rPr>
                <w:sz w:val="20"/>
                <w:szCs w:val="20"/>
                <w:color w:val="auto"/>
              </w:rPr>
            </w:pPr>
            <w:r>
              <w:rPr>
                <w:rFonts w:ascii="Arial" w:cs="Arial" w:eastAsia="Arial" w:hAnsi="Arial"/>
                <w:sz w:val="15"/>
                <w:szCs w:val="15"/>
                <w:color w:val="auto"/>
              </w:rPr>
              <w:t>loans</w:t>
            </w:r>
          </w:p>
        </w:tc>
        <w:tc>
          <w:tcPr>
            <w:tcW w:w="18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Mandatory commitments to sell</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Net gains on mortgage</w:t>
            </w:r>
          </w:p>
        </w:tc>
        <w:tc>
          <w:tcPr>
            <w:tcW w:w="1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2,874</w:t>
            </w:r>
          </w:p>
        </w:tc>
        <w:tc>
          <w:tcPr>
            <w:tcW w:w="0" w:type="dxa"/>
            <w:vAlign w:val="bottom"/>
          </w:tcPr>
          <w:p>
            <w:pPr>
              <w:spacing w:after="0"/>
              <w:rPr>
                <w:sz w:val="1"/>
                <w:szCs w:val="1"/>
                <w:color w:val="auto"/>
              </w:rPr>
            </w:pPr>
          </w:p>
        </w:tc>
      </w:tr>
      <w:tr>
        <w:trPr>
          <w:trHeight w:val="201"/>
        </w:trPr>
        <w:tc>
          <w:tcPr>
            <w:tcW w:w="24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mortgage loans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loans</w:t>
            </w: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440" w:type="dxa"/>
            <w:vAlign w:val="bottom"/>
          </w:tcPr>
          <w:p>
            <w:pPr>
              <w:ind w:left="180"/>
              <w:spacing w:after="0" w:line="160" w:lineRule="exact"/>
              <w:rPr>
                <w:sz w:val="20"/>
                <w:szCs w:val="20"/>
                <w:color w:val="auto"/>
              </w:rPr>
            </w:pPr>
            <w:r>
              <w:rPr>
                <w:rFonts w:ascii="Arial" w:cs="Arial" w:eastAsia="Arial" w:hAnsi="Arial"/>
                <w:sz w:val="15"/>
                <w:szCs w:val="15"/>
                <w:color w:val="auto"/>
              </w:rPr>
              <w:t>Pay-fixed interest rate swap</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0" w:type="dxa"/>
            <w:vAlign w:val="bottom"/>
            <w:vMerge w:val="restart"/>
          </w:tcPr>
          <w:p>
            <w:pPr>
              <w:ind w:left="180"/>
              <w:spacing w:after="0"/>
              <w:rPr>
                <w:sz w:val="20"/>
                <w:szCs w:val="20"/>
                <w:color w:val="auto"/>
              </w:rPr>
            </w:pPr>
            <w:r>
              <w:rPr>
                <w:rFonts w:ascii="Arial" w:cs="Arial" w:eastAsia="Arial" w:hAnsi="Arial"/>
                <w:sz w:val="15"/>
                <w:szCs w:val="15"/>
                <w:color w:val="auto"/>
              </w:rPr>
              <w:t>Interest income</w:t>
            </w:r>
          </w:p>
        </w:tc>
        <w:tc>
          <w:tcPr>
            <w:tcW w:w="1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4,694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23,739</w:t>
            </w:r>
          </w:p>
        </w:tc>
        <w:tc>
          <w:tcPr>
            <w:tcW w:w="0" w:type="dxa"/>
            <w:vAlign w:val="bottom"/>
          </w:tcPr>
          <w:p>
            <w:pPr>
              <w:spacing w:after="0"/>
              <w:rPr>
                <w:sz w:val="1"/>
                <w:szCs w:val="1"/>
                <w:color w:val="auto"/>
              </w:rPr>
            </w:pPr>
          </w:p>
        </w:tc>
      </w:tr>
      <w:tr>
        <w:trPr>
          <w:trHeight w:val="199"/>
        </w:trPr>
        <w:tc>
          <w:tcPr>
            <w:tcW w:w="2440" w:type="dxa"/>
            <w:vAlign w:val="bottom"/>
          </w:tcPr>
          <w:p>
            <w:pPr>
              <w:ind w:left="320"/>
              <w:spacing w:after="0"/>
              <w:rPr>
                <w:sz w:val="20"/>
                <w:szCs w:val="20"/>
                <w:color w:val="auto"/>
              </w:rPr>
            </w:pPr>
            <w:r>
              <w:rPr>
                <w:rFonts w:ascii="Arial" w:cs="Arial" w:eastAsia="Arial" w:hAnsi="Arial"/>
                <w:sz w:val="15"/>
                <w:szCs w:val="15"/>
                <w:color w:val="auto"/>
              </w:rPr>
              <w:t>agreements - commercial</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Pay-variable interest rate swap</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0" w:type="dxa"/>
            <w:vAlign w:val="bottom"/>
            <w:vMerge w:val="restart"/>
            <w:shd w:val="clear" w:color="auto" w:fill="CCEEFF"/>
          </w:tcPr>
          <w:p>
            <w:pPr>
              <w:ind w:left="180"/>
              <w:spacing w:after="0"/>
              <w:rPr>
                <w:sz w:val="20"/>
                <w:szCs w:val="20"/>
                <w:color w:val="auto"/>
              </w:rPr>
            </w:pPr>
            <w:r>
              <w:rPr>
                <w:rFonts w:ascii="Arial" w:cs="Arial" w:eastAsia="Arial" w:hAnsi="Arial"/>
                <w:sz w:val="15"/>
                <w:szCs w:val="15"/>
                <w:color w:val="auto"/>
              </w:rPr>
              <w:t>Interest income</w:t>
            </w:r>
          </w:p>
        </w:tc>
        <w:tc>
          <w:tcPr>
            <w:tcW w:w="1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(4,694)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(23,739)</w:t>
            </w:r>
          </w:p>
        </w:tc>
        <w:tc>
          <w:tcPr>
            <w:tcW w:w="0" w:type="dxa"/>
            <w:vAlign w:val="bottom"/>
          </w:tcPr>
          <w:p>
            <w:pPr>
              <w:spacing w:after="0"/>
              <w:rPr>
                <w:sz w:val="1"/>
                <w:szCs w:val="1"/>
                <w:color w:val="auto"/>
              </w:rPr>
            </w:pPr>
          </w:p>
        </w:tc>
      </w:tr>
      <w:tr>
        <w:trPr>
          <w:trHeight w:val="201"/>
        </w:trPr>
        <w:tc>
          <w:tcPr>
            <w:tcW w:w="24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agreements - commercial</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440" w:type="dxa"/>
            <w:vAlign w:val="bottom"/>
          </w:tcPr>
          <w:p>
            <w:pPr>
              <w:ind w:left="180"/>
              <w:spacing w:after="0" w:line="160" w:lineRule="exact"/>
              <w:rPr>
                <w:sz w:val="20"/>
                <w:szCs w:val="20"/>
                <w:color w:val="auto"/>
              </w:rPr>
            </w:pPr>
            <w:r>
              <w:rPr>
                <w:rFonts w:ascii="Arial" w:cs="Arial" w:eastAsia="Arial" w:hAnsi="Arial"/>
                <w:sz w:val="15"/>
                <w:szCs w:val="15"/>
                <w:color w:val="auto"/>
              </w:rPr>
              <w:t>Interest rate swaption agreement</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0" w:type="dxa"/>
            <w:vAlign w:val="bottom"/>
          </w:tcPr>
          <w:p>
            <w:pPr>
              <w:ind w:left="180"/>
              <w:spacing w:after="0" w:line="160" w:lineRule="exact"/>
              <w:rPr>
                <w:sz w:val="20"/>
                <w:szCs w:val="20"/>
                <w:color w:val="auto"/>
              </w:rPr>
            </w:pPr>
            <w:r>
              <w:rPr>
                <w:rFonts w:ascii="Arial" w:cs="Arial" w:eastAsia="Arial" w:hAnsi="Arial"/>
                <w:sz w:val="15"/>
                <w:szCs w:val="15"/>
                <w:color w:val="auto"/>
              </w:rPr>
              <w:t>Net gains on mortgage</w:t>
            </w:r>
          </w:p>
        </w:tc>
        <w:tc>
          <w:tcPr>
            <w:tcW w:w="180" w:type="dxa"/>
            <w:vAlign w:val="bottom"/>
          </w:tcPr>
          <w:p>
            <w:pPr>
              <w:spacing w:after="0"/>
              <w:rPr>
                <w:sz w:val="13"/>
                <w:szCs w:val="13"/>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(186)</w:t>
            </w:r>
          </w:p>
        </w:tc>
        <w:tc>
          <w:tcPr>
            <w:tcW w:w="0" w:type="dxa"/>
            <w:vAlign w:val="bottom"/>
          </w:tcPr>
          <w:p>
            <w:pPr>
              <w:spacing w:after="0"/>
              <w:rPr>
                <w:sz w:val="1"/>
                <w:szCs w:val="1"/>
                <w:color w:val="auto"/>
              </w:rPr>
            </w:pPr>
          </w:p>
        </w:tc>
      </w:tr>
      <w:tr>
        <w:trPr>
          <w:trHeight w:val="199"/>
        </w:trPr>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0" w:type="dxa"/>
            <w:vAlign w:val="bottom"/>
          </w:tcPr>
          <w:p>
            <w:pPr>
              <w:ind w:left="340"/>
              <w:spacing w:after="0"/>
              <w:rPr>
                <w:sz w:val="20"/>
                <w:szCs w:val="20"/>
                <w:color w:val="auto"/>
              </w:rPr>
            </w:pPr>
            <w:r>
              <w:rPr>
                <w:rFonts w:ascii="Arial" w:cs="Arial" w:eastAsia="Arial" w:hAnsi="Arial"/>
                <w:sz w:val="15"/>
                <w:szCs w:val="15"/>
                <w:color w:val="auto"/>
              </w:rPr>
              <w:t>loans</w:t>
            </w:r>
          </w:p>
        </w:tc>
        <w:tc>
          <w:tcPr>
            <w:tcW w:w="18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44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Pay-fixed interest rate swap</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Net gains on mortgage</w:t>
            </w:r>
          </w:p>
        </w:tc>
        <w:tc>
          <w:tcPr>
            <w:tcW w:w="18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633</w:t>
            </w:r>
          </w:p>
        </w:tc>
        <w:tc>
          <w:tcPr>
            <w:tcW w:w="0" w:type="dxa"/>
            <w:vAlign w:val="bottom"/>
          </w:tcPr>
          <w:p>
            <w:pPr>
              <w:spacing w:after="0"/>
              <w:rPr>
                <w:sz w:val="1"/>
                <w:szCs w:val="1"/>
                <w:color w:val="auto"/>
              </w:rPr>
            </w:pPr>
          </w:p>
        </w:tc>
      </w:tr>
      <w:tr>
        <w:trPr>
          <w:trHeight w:val="201"/>
        </w:trPr>
        <w:tc>
          <w:tcPr>
            <w:tcW w:w="24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agreements - mortgage</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loans</w:t>
            </w:r>
          </w:p>
        </w:tc>
        <w:tc>
          <w:tcPr>
            <w:tcW w:w="18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440" w:type="dxa"/>
            <w:vAlign w:val="bottom"/>
          </w:tcPr>
          <w:p>
            <w:pPr>
              <w:ind w:left="180"/>
              <w:spacing w:after="0" w:line="160" w:lineRule="exact"/>
              <w:rPr>
                <w:sz w:val="20"/>
                <w:szCs w:val="20"/>
                <w:color w:val="auto"/>
              </w:rPr>
            </w:pPr>
            <w:r>
              <w:rPr>
                <w:rFonts w:ascii="Arial" w:cs="Arial" w:eastAsia="Arial" w:hAnsi="Arial"/>
                <w:sz w:val="15"/>
                <w:szCs w:val="15"/>
                <w:color w:val="auto"/>
              </w:rPr>
              <w:t>Pay-variable interest rate swap</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0" w:type="dxa"/>
            <w:vAlign w:val="bottom"/>
          </w:tcPr>
          <w:p>
            <w:pPr>
              <w:ind w:left="180"/>
              <w:spacing w:after="0" w:line="160" w:lineRule="exact"/>
              <w:rPr>
                <w:sz w:val="20"/>
                <w:szCs w:val="20"/>
                <w:color w:val="auto"/>
              </w:rPr>
            </w:pPr>
            <w:r>
              <w:rPr>
                <w:rFonts w:ascii="Arial" w:cs="Arial" w:eastAsia="Arial" w:hAnsi="Arial"/>
                <w:sz w:val="15"/>
                <w:szCs w:val="15"/>
                <w:color w:val="auto"/>
              </w:rPr>
              <w:t>Non-interest expense -</w:t>
            </w:r>
          </w:p>
        </w:tc>
        <w:tc>
          <w:tcPr>
            <w:tcW w:w="1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2440" w:type="dxa"/>
            <w:vAlign w:val="bottom"/>
          </w:tcPr>
          <w:p>
            <w:pPr>
              <w:ind w:left="320"/>
              <w:spacing w:after="0"/>
              <w:rPr>
                <w:sz w:val="20"/>
                <w:szCs w:val="20"/>
                <w:color w:val="auto"/>
              </w:rPr>
            </w:pPr>
            <w:r>
              <w:rPr>
                <w:rFonts w:ascii="Arial" w:cs="Arial" w:eastAsia="Arial" w:hAnsi="Arial"/>
                <w:sz w:val="15"/>
                <w:szCs w:val="15"/>
                <w:color w:val="auto"/>
              </w:rPr>
              <w:t>agreement</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0" w:type="dxa"/>
            <w:vAlign w:val="bottom"/>
          </w:tcPr>
          <w:p>
            <w:pPr>
              <w:ind w:left="340"/>
              <w:spacing w:after="0"/>
              <w:rPr>
                <w:sz w:val="20"/>
                <w:szCs w:val="20"/>
                <w:color w:val="auto"/>
              </w:rPr>
            </w:pPr>
            <w:r>
              <w:rPr>
                <w:rFonts w:ascii="Arial" w:cs="Arial" w:eastAsia="Arial" w:hAnsi="Arial"/>
                <w:sz w:val="15"/>
                <w:szCs w:val="15"/>
                <w:color w:val="auto"/>
              </w:rPr>
              <w:t>other</w:t>
            </w: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Interest rate cap agreements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Interest expense</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w:t>
            </w:r>
          </w:p>
        </w:tc>
        <w:tc>
          <w:tcPr>
            <w:tcW w:w="0" w:type="dxa"/>
            <w:vAlign w:val="bottom"/>
          </w:tcPr>
          <w:p>
            <w:pPr>
              <w:spacing w:after="0"/>
              <w:rPr>
                <w:sz w:val="1"/>
                <w:szCs w:val="1"/>
                <w:color w:val="auto"/>
              </w:rPr>
            </w:pPr>
          </w:p>
        </w:tc>
      </w:tr>
      <w:tr>
        <w:trPr>
          <w:trHeight w:val="196"/>
        </w:trPr>
        <w:tc>
          <w:tcPr>
            <w:tcW w:w="2440" w:type="dxa"/>
            <w:vAlign w:val="bottom"/>
          </w:tcPr>
          <w:p>
            <w:pPr>
              <w:ind w:left="320"/>
              <w:spacing w:after="0"/>
              <w:rPr>
                <w:sz w:val="20"/>
                <w:szCs w:val="20"/>
                <w:color w:val="auto"/>
              </w:rPr>
            </w:pPr>
            <w:r>
              <w:rPr>
                <w:rFonts w:ascii="Arial" w:cs="Arial" w:eastAsia="Arial" w:hAnsi="Arial"/>
                <w:sz w:val="15"/>
                <w:szCs w:val="15"/>
                <w:color w:val="auto"/>
              </w:rPr>
              <w:t>Total</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1,073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(4,930)</w:t>
            </w:r>
          </w:p>
        </w:tc>
        <w:tc>
          <w:tcPr>
            <w:tcW w:w="0" w:type="dxa"/>
            <w:vAlign w:val="bottom"/>
          </w:tcPr>
          <w:p>
            <w:pPr>
              <w:spacing w:after="0"/>
              <w:rPr>
                <w:sz w:val="1"/>
                <w:szCs w:val="1"/>
                <w:color w:val="auto"/>
              </w:rPr>
            </w:pPr>
          </w:p>
        </w:tc>
      </w:tr>
      <w:tr>
        <w:trPr>
          <w:trHeight w:val="21"/>
        </w:trPr>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gridSpan w:val="3"/>
          </w:tcPr>
          <w:p>
            <w:pPr>
              <w:spacing w:after="0"/>
              <w:rPr>
                <w:sz w:val="20"/>
                <w:szCs w:val="20"/>
                <w:color w:val="auto"/>
              </w:rPr>
            </w:pPr>
            <w:r>
              <w:rPr>
                <w:rFonts w:ascii="Arial" w:cs="Arial" w:eastAsia="Arial" w:hAnsi="Arial"/>
                <w:sz w:val="17"/>
                <w:szCs w:val="17"/>
                <w:color w:val="auto"/>
              </w:rPr>
              <w:t>7.  Goodwill and Other Intangibles</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5040" w:type="dxa"/>
            <w:vAlign w:val="bottom"/>
            <w:gridSpan w:val="3"/>
          </w:tcPr>
          <w:p>
            <w:pPr>
              <w:spacing w:after="0"/>
              <w:rPr>
                <w:sz w:val="20"/>
                <w:szCs w:val="20"/>
                <w:color w:val="auto"/>
              </w:rPr>
            </w:pPr>
            <w:r>
              <w:rPr>
                <w:rFonts w:ascii="Arial" w:cs="Arial" w:eastAsia="Arial" w:hAnsi="Arial"/>
                <w:sz w:val="17"/>
                <w:szCs w:val="17"/>
                <w:color w:val="auto"/>
                <w:w w:val="95"/>
              </w:rPr>
              <w:t>The following table summarizes intangible assets, net of amortization:</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ind w:left="560"/>
              <w:spacing w:after="0"/>
              <w:rPr>
                <w:sz w:val="20"/>
                <w:szCs w:val="20"/>
                <w:color w:val="auto"/>
              </w:rPr>
            </w:pPr>
            <w:r>
              <w:rPr>
                <w:rFonts w:ascii="Arial" w:cs="Arial" w:eastAsia="Arial" w:hAnsi="Arial"/>
                <w:sz w:val="17"/>
                <w:szCs w:val="17"/>
                <w:color w:val="auto"/>
              </w:rPr>
              <w:t>September 30, 2023</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7"/>
                <w:szCs w:val="17"/>
                <w:color w:val="auto"/>
              </w:rPr>
              <w:t>December 31, 2022</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194"/>
              <w:spacing w:after="0" w:line="162" w:lineRule="exact"/>
              <w:rPr>
                <w:sz w:val="20"/>
                <w:szCs w:val="20"/>
                <w:color w:val="auto"/>
              </w:rPr>
            </w:pPr>
            <w:r>
              <w:rPr>
                <w:rFonts w:ascii="Arial" w:cs="Arial" w:eastAsia="Arial" w:hAnsi="Arial"/>
                <w:sz w:val="17"/>
                <w:szCs w:val="17"/>
                <w:color w:val="auto"/>
                <w:w w:val="88"/>
              </w:rPr>
              <w:t>Gross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vMerge w:val="restart"/>
          </w:tcPr>
          <w:p>
            <w:pPr>
              <w:ind w:left="100"/>
              <w:spacing w:after="0"/>
              <w:rPr>
                <w:sz w:val="20"/>
                <w:szCs w:val="20"/>
                <w:color w:val="auto"/>
              </w:rPr>
            </w:pPr>
            <w:r>
              <w:rPr>
                <w:rFonts w:ascii="Arial" w:cs="Arial" w:eastAsia="Arial" w:hAnsi="Arial"/>
                <w:sz w:val="17"/>
                <w:szCs w:val="17"/>
                <w:color w:val="auto"/>
              </w:rPr>
              <w:t>Accumulated</w:t>
            </w:r>
          </w:p>
        </w:tc>
        <w:tc>
          <w:tcPr>
            <w:tcW w:w="280" w:type="dxa"/>
            <w:vAlign w:val="bottom"/>
          </w:tcPr>
          <w:p>
            <w:pPr>
              <w:spacing w:after="0"/>
              <w:rPr>
                <w:sz w:val="14"/>
                <w:szCs w:val="14"/>
                <w:color w:val="auto"/>
              </w:rPr>
            </w:pPr>
          </w:p>
        </w:tc>
        <w:tc>
          <w:tcPr>
            <w:tcW w:w="1220" w:type="dxa"/>
            <w:vAlign w:val="bottom"/>
          </w:tcPr>
          <w:p>
            <w:pPr>
              <w:jc w:val="center"/>
              <w:ind w:right="174"/>
              <w:spacing w:after="0" w:line="162" w:lineRule="exact"/>
              <w:rPr>
                <w:sz w:val="20"/>
                <w:szCs w:val="20"/>
                <w:color w:val="auto"/>
              </w:rPr>
            </w:pPr>
            <w:r>
              <w:rPr>
                <w:rFonts w:ascii="Arial" w:cs="Arial" w:eastAsia="Arial" w:hAnsi="Arial"/>
                <w:sz w:val="17"/>
                <w:szCs w:val="17"/>
                <w:color w:val="auto"/>
                <w:w w:val="88"/>
              </w:rPr>
              <w:t>Gross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vMerge w:val="restart"/>
          </w:tcPr>
          <w:p>
            <w:pPr>
              <w:jc w:val="center"/>
              <w:ind w:right="94"/>
              <w:spacing w:after="0"/>
              <w:rPr>
                <w:sz w:val="20"/>
                <w:szCs w:val="20"/>
                <w:color w:val="auto"/>
              </w:rPr>
            </w:pPr>
            <w:r>
              <w:rPr>
                <w:rFonts w:ascii="Arial" w:cs="Arial" w:eastAsia="Arial" w:hAnsi="Arial"/>
                <w:sz w:val="17"/>
                <w:szCs w:val="17"/>
                <w:color w:val="auto"/>
                <w:w w:val="93"/>
              </w:rPr>
              <w:t>Accumulated</w:t>
            </w: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174"/>
              <w:spacing w:after="0" w:line="167" w:lineRule="exact"/>
              <w:rPr>
                <w:sz w:val="20"/>
                <w:szCs w:val="20"/>
                <w:color w:val="auto"/>
              </w:rPr>
            </w:pPr>
            <w:r>
              <w:rPr>
                <w:rFonts w:ascii="Arial" w:cs="Arial" w:eastAsia="Arial" w:hAnsi="Arial"/>
                <w:sz w:val="17"/>
                <w:szCs w:val="17"/>
                <w:color w:val="auto"/>
                <w:w w:val="96"/>
              </w:rPr>
              <w:t>Carrying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center"/>
              <w:ind w:right="194"/>
              <w:spacing w:after="0" w:line="167" w:lineRule="exact"/>
              <w:rPr>
                <w:sz w:val="20"/>
                <w:szCs w:val="20"/>
                <w:color w:val="auto"/>
              </w:rPr>
            </w:pPr>
            <w:r>
              <w:rPr>
                <w:rFonts w:ascii="Arial" w:cs="Arial" w:eastAsia="Arial" w:hAnsi="Arial"/>
                <w:sz w:val="17"/>
                <w:szCs w:val="17"/>
                <w:color w:val="auto"/>
                <w:w w:val="96"/>
              </w:rPr>
              <w:t>Carrying</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3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4"/>
              <w:spacing w:after="0"/>
              <w:rPr>
                <w:sz w:val="20"/>
                <w:szCs w:val="20"/>
                <w:color w:val="auto"/>
              </w:rPr>
            </w:pPr>
            <w:r>
              <w:rPr>
                <w:rFonts w:ascii="Arial" w:cs="Arial" w:eastAsia="Arial" w:hAnsi="Arial"/>
                <w:sz w:val="17"/>
                <w:szCs w:val="17"/>
                <w:color w:val="auto"/>
                <w:w w:val="95"/>
              </w:rPr>
              <w:t>Amount</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Amortization</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94"/>
              <w:spacing w:after="0"/>
              <w:rPr>
                <w:sz w:val="20"/>
                <w:szCs w:val="20"/>
                <w:color w:val="auto"/>
              </w:rPr>
            </w:pPr>
            <w:r>
              <w:rPr>
                <w:rFonts w:ascii="Arial" w:cs="Arial" w:eastAsia="Arial" w:hAnsi="Arial"/>
                <w:sz w:val="17"/>
                <w:szCs w:val="17"/>
                <w:color w:val="auto"/>
                <w:w w:val="98"/>
              </w:rPr>
              <w:t>Amount</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4"/>
              <w:spacing w:after="0"/>
              <w:rPr>
                <w:sz w:val="20"/>
                <w:szCs w:val="20"/>
                <w:color w:val="auto"/>
              </w:rPr>
            </w:pPr>
            <w:r>
              <w:rPr>
                <w:rFonts w:ascii="Arial" w:cs="Arial" w:eastAsia="Arial" w:hAnsi="Arial"/>
                <w:sz w:val="17"/>
                <w:szCs w:val="17"/>
                <w:color w:val="auto"/>
                <w:w w:val="97"/>
              </w:rPr>
              <w:t>Amortization</w:t>
            </w: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4"/>
          </w:tcPr>
          <w:p>
            <w:pPr>
              <w:ind w:left="860"/>
              <w:spacing w:after="0"/>
              <w:rPr>
                <w:sz w:val="20"/>
                <w:szCs w:val="20"/>
                <w:color w:val="auto"/>
              </w:rPr>
            </w:pPr>
            <w:r>
              <w:rPr>
                <w:rFonts w:ascii="Arial" w:cs="Arial" w:eastAsia="Arial" w:hAnsi="Arial"/>
                <w:sz w:val="17"/>
                <w:szCs w:val="17"/>
                <w:color w:val="auto"/>
              </w:rPr>
              <w:t>(In thousands)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5040" w:type="dxa"/>
            <w:vAlign w:val="bottom"/>
            <w:gridSpan w:val="3"/>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50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Amortized intangible assets - core deposits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11,916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ind w:left="840"/>
              <w:spacing w:after="0"/>
              <w:rPr>
                <w:sz w:val="20"/>
                <w:szCs w:val="20"/>
                <w:color w:val="auto"/>
              </w:rPr>
            </w:pPr>
            <w:r>
              <w:rPr>
                <w:rFonts w:ascii="Arial" w:cs="Arial" w:eastAsia="Arial" w:hAnsi="Arial"/>
                <w:sz w:val="17"/>
                <w:szCs w:val="17"/>
                <w:color w:val="auto"/>
              </w:rPr>
              <w:t>9,775</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11,916</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9,365</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gridSpan w:val="3"/>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040" w:type="dxa"/>
            <w:vAlign w:val="bottom"/>
            <w:gridSpan w:val="3"/>
          </w:tcPr>
          <w:p>
            <w:pPr>
              <w:ind w:left="20"/>
              <w:spacing w:after="0" w:line="191" w:lineRule="exact"/>
              <w:rPr>
                <w:sz w:val="20"/>
                <w:szCs w:val="20"/>
                <w:color w:val="auto"/>
              </w:rPr>
            </w:pPr>
            <w:r>
              <w:rPr>
                <w:rFonts w:ascii="Arial" w:cs="Arial" w:eastAsia="Arial" w:hAnsi="Arial"/>
                <w:sz w:val="17"/>
                <w:szCs w:val="17"/>
                <w:color w:val="auto"/>
              </w:rPr>
              <w:t>Unamortized intangible assets - goodwill</w:t>
            </w:r>
          </w:p>
        </w:tc>
        <w:tc>
          <w:tcPr>
            <w:tcW w:w="280" w:type="dxa"/>
            <w:vAlign w:val="bottom"/>
            <w:tcBorders>
              <w:bottom w:val="single" w:sz="8" w:color="auto"/>
            </w:tcBorders>
          </w:tcPr>
          <w:p>
            <w:pPr>
              <w:jc w:val="right"/>
              <w:ind w:right="94"/>
              <w:spacing w:after="0" w:line="191" w:lineRule="exact"/>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28,300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74"/>
              <w:spacing w:after="0" w:line="191"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28,300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40" w:type="dxa"/>
            <w:vAlign w:val="bottom"/>
            <w:gridSpan w:val="3"/>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6520" w:type="dxa"/>
            <w:vAlign w:val="bottom"/>
            <w:gridSpan w:val="5"/>
          </w:tcPr>
          <w:p>
            <w:pPr>
              <w:spacing w:after="0"/>
              <w:rPr>
                <w:sz w:val="20"/>
                <w:szCs w:val="20"/>
                <w:color w:val="auto"/>
              </w:rPr>
            </w:pPr>
            <w:r>
              <w:rPr>
                <w:rFonts w:ascii="Arial" w:cs="Arial" w:eastAsia="Arial" w:hAnsi="Arial"/>
                <w:sz w:val="17"/>
                <w:szCs w:val="17"/>
                <w:color w:val="auto"/>
                <w:w w:val="92"/>
              </w:rPr>
              <w:t>A summary of estimated core deposits intangible amortization at September 30, 2023 follows: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94"/>
              <w:spacing w:after="0"/>
              <w:rPr>
                <w:sz w:val="20"/>
                <w:szCs w:val="20"/>
                <w:color w:val="auto"/>
              </w:rPr>
            </w:pPr>
            <w:r>
              <w:rPr>
                <w:rFonts w:ascii="Arial" w:cs="Arial" w:eastAsia="Arial" w:hAnsi="Arial"/>
                <w:sz w:val="17"/>
                <w:szCs w:val="17"/>
                <w:color w:val="auto"/>
                <w:w w:val="91"/>
              </w:rPr>
              <w:t>(In thousands)</w:t>
            </w:r>
          </w:p>
        </w:tc>
        <w:tc>
          <w:tcPr>
            <w:tcW w:w="0" w:type="dxa"/>
            <w:vAlign w:val="bottom"/>
          </w:tcPr>
          <w:p>
            <w:pPr>
              <w:spacing w:after="0"/>
              <w:rPr>
                <w:sz w:val="1"/>
                <w:szCs w:val="1"/>
                <w:color w:val="auto"/>
              </w:rPr>
            </w:pPr>
          </w:p>
        </w:tc>
      </w:tr>
      <w:tr>
        <w:trPr>
          <w:trHeight w:val="259"/>
        </w:trPr>
        <w:tc>
          <w:tcPr>
            <w:tcW w:w="5040" w:type="dxa"/>
            <w:vAlign w:val="bottom"/>
            <w:gridSpan w:val="3"/>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50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Three months ending December 31, 2023</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r>
        <w:trPr>
          <w:trHeight w:val="218"/>
        </w:trPr>
        <w:tc>
          <w:tcPr>
            <w:tcW w:w="2480" w:type="dxa"/>
            <w:vAlign w:val="bottom"/>
            <w:gridSpan w:val="2"/>
          </w:tcPr>
          <w:p>
            <w:pPr>
              <w:ind w:left="20"/>
              <w:spacing w:after="0"/>
              <w:rPr>
                <w:sz w:val="20"/>
                <w:szCs w:val="20"/>
                <w:color w:val="auto"/>
              </w:rPr>
            </w:pPr>
            <w:r>
              <w:rPr>
                <w:rFonts w:ascii="Arial" w:cs="Arial" w:eastAsia="Arial" w:hAnsi="Arial"/>
                <w:sz w:val="17"/>
                <w:szCs w:val="17"/>
                <w:color w:val="auto"/>
              </w:rPr>
              <w:t>2024</w:t>
            </w: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516</w:t>
            </w:r>
          </w:p>
        </w:tc>
        <w:tc>
          <w:tcPr>
            <w:tcW w:w="0" w:type="dxa"/>
            <w:vAlign w:val="bottom"/>
          </w:tcPr>
          <w:p>
            <w:pPr>
              <w:spacing w:after="0"/>
              <w:rPr>
                <w:sz w:val="1"/>
                <w:szCs w:val="1"/>
                <w:color w:val="auto"/>
              </w:rPr>
            </w:pPr>
          </w:p>
        </w:tc>
      </w:tr>
      <w:tr>
        <w:trPr>
          <w:trHeight w:val="220"/>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2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w:t>
            </w:r>
          </w:p>
        </w:tc>
        <w:tc>
          <w:tcPr>
            <w:tcW w:w="0" w:type="dxa"/>
            <w:vAlign w:val="bottom"/>
          </w:tcPr>
          <w:p>
            <w:pPr>
              <w:spacing w:after="0"/>
              <w:rPr>
                <w:sz w:val="1"/>
                <w:szCs w:val="1"/>
                <w:color w:val="auto"/>
              </w:rPr>
            </w:pPr>
          </w:p>
        </w:tc>
      </w:tr>
      <w:tr>
        <w:trPr>
          <w:trHeight w:val="218"/>
        </w:trPr>
        <w:tc>
          <w:tcPr>
            <w:tcW w:w="2480" w:type="dxa"/>
            <w:vAlign w:val="bottom"/>
            <w:gridSpan w:val="2"/>
          </w:tcPr>
          <w:p>
            <w:pPr>
              <w:ind w:left="20"/>
              <w:spacing w:after="0"/>
              <w:rPr>
                <w:sz w:val="20"/>
                <w:szCs w:val="20"/>
                <w:color w:val="auto"/>
              </w:rPr>
            </w:pPr>
            <w:r>
              <w:rPr>
                <w:rFonts w:ascii="Arial" w:cs="Arial" w:eastAsia="Arial" w:hAnsi="Arial"/>
                <w:sz w:val="17"/>
                <w:szCs w:val="17"/>
                <w:color w:val="auto"/>
              </w:rPr>
              <w:t>2026</w:t>
            </w: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460</w:t>
            </w:r>
          </w:p>
        </w:tc>
        <w:tc>
          <w:tcPr>
            <w:tcW w:w="0" w:type="dxa"/>
            <w:vAlign w:val="bottom"/>
          </w:tcPr>
          <w:p>
            <w:pPr>
              <w:spacing w:after="0"/>
              <w:rPr>
                <w:sz w:val="1"/>
                <w:szCs w:val="1"/>
                <w:color w:val="auto"/>
              </w:rPr>
            </w:pPr>
          </w:p>
        </w:tc>
      </w:tr>
      <w:tr>
        <w:trPr>
          <w:trHeight w:val="220"/>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2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w:t>
            </w:r>
          </w:p>
        </w:tc>
        <w:tc>
          <w:tcPr>
            <w:tcW w:w="0" w:type="dxa"/>
            <w:vAlign w:val="bottom"/>
          </w:tcPr>
          <w:p>
            <w:pPr>
              <w:spacing w:after="0"/>
              <w:rPr>
                <w:sz w:val="1"/>
                <w:szCs w:val="1"/>
                <w:color w:val="auto"/>
              </w:rPr>
            </w:pPr>
          </w:p>
        </w:tc>
      </w:tr>
      <w:tr>
        <w:trPr>
          <w:trHeight w:val="218"/>
        </w:trPr>
        <w:tc>
          <w:tcPr>
            <w:tcW w:w="504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2028 and thereafter</w:t>
            </w:r>
          </w:p>
        </w:tc>
        <w:tc>
          <w:tcPr>
            <w:tcW w:w="28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33"/>
        </w:trPr>
        <w:tc>
          <w:tcPr>
            <w:tcW w:w="50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2,141</w:t>
            </w:r>
          </w:p>
        </w:tc>
        <w:tc>
          <w:tcPr>
            <w:tcW w:w="0" w:type="dxa"/>
            <w:vAlign w:val="bottom"/>
          </w:tcPr>
          <w:p>
            <w:pPr>
              <w:spacing w:after="0"/>
              <w:rPr>
                <w:sz w:val="1"/>
                <w:szCs w:val="1"/>
                <w:color w:val="auto"/>
              </w:rPr>
            </w:pP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ind w:left="300" w:hanging="297"/>
        <w:spacing w:after="0"/>
        <w:tabs>
          <w:tab w:leader="none" w:pos="300"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Share Based Compensation</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maintain share based payment plans that include a non-employee director stock purchase plan and a long-term incentive plan that permits the issuance of share based compensation, including stock options and non-vested share awards. The long-term incentive plan, which is shareholder approved, permits the grant of additional share based awards for up to 0.6 million shares of common stock as of September 30, 2023. The non-employee director stock purchase plan permits the issuance of additional share based payments for up to 0.1 million shares of common stock as of September 30, 2023. Share based awards and payments are measured at fair value at the date of grant and are expensed over the requisite service period. Common shares issued upon exercise of stock options come from currently authorized but unissued shares.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A summary of restricted stock and performance stock units (“PSU”) granted pursuant to our long-term incentive plan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2580" w:type="dxa"/>
            <w:vAlign w:val="bottom"/>
            <w:gridSpan w:val="4"/>
          </w:tcPr>
          <w:p>
            <w:pPr>
              <w:jc w:val="center"/>
              <w:ind w:left="394"/>
              <w:spacing w:after="0"/>
              <w:rPr>
                <w:sz w:val="20"/>
                <w:szCs w:val="20"/>
                <w:color w:val="auto"/>
              </w:rPr>
            </w:pPr>
            <w:r>
              <w:rPr>
                <w:rFonts w:ascii="Arial" w:cs="Arial" w:eastAsia="Arial" w:hAnsi="Arial"/>
                <w:sz w:val="17"/>
                <w:szCs w:val="17"/>
                <w:color w:val="auto"/>
                <w:w w:val="91"/>
              </w:rPr>
              <w:t>Three Months Ended</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60" w:type="dxa"/>
            <w:vAlign w:val="bottom"/>
            <w:gridSpan w:val="4"/>
          </w:tcPr>
          <w:p>
            <w:pPr>
              <w:jc w:val="center"/>
              <w:spacing w:after="0"/>
              <w:rPr>
                <w:sz w:val="20"/>
                <w:szCs w:val="20"/>
                <w:color w:val="auto"/>
              </w:rPr>
            </w:pPr>
            <w:r>
              <w:rPr>
                <w:rFonts w:ascii="Arial" w:cs="Arial" w:eastAsia="Arial" w:hAnsi="Arial"/>
                <w:sz w:val="17"/>
                <w:szCs w:val="17"/>
                <w:color w:val="auto"/>
                <w:w w:val="92"/>
              </w:rPr>
              <w:t>Nine Months Ended</w:t>
            </w:r>
          </w:p>
        </w:tc>
      </w:tr>
      <w:tr>
        <w:trPr>
          <w:trHeight w:val="218"/>
        </w:trPr>
        <w:tc>
          <w:tcPr>
            <w:tcW w:w="50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7"/>
                <w:szCs w:val="17"/>
                <w:color w:val="auto"/>
                <w:w w:val="87"/>
              </w:rPr>
              <w:t>September 30,</w:t>
            </w:r>
          </w:p>
        </w:tc>
        <w:tc>
          <w:tcPr>
            <w:tcW w:w="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Borders>
              <w:bottom w:val="single" w:sz="8" w:color="auto"/>
            </w:tcBorders>
            <w:gridSpan w:val="3"/>
          </w:tcPr>
          <w:p>
            <w:pPr>
              <w:jc w:val="center"/>
              <w:ind w:left="894"/>
              <w:spacing w:after="0"/>
              <w:rPr>
                <w:sz w:val="20"/>
                <w:szCs w:val="20"/>
                <w:color w:val="auto"/>
              </w:rPr>
            </w:pPr>
            <w:r>
              <w:rPr>
                <w:rFonts w:ascii="Arial" w:cs="Arial" w:eastAsia="Arial" w:hAnsi="Arial"/>
                <w:sz w:val="17"/>
                <w:szCs w:val="17"/>
                <w:color w:val="auto"/>
                <w:w w:val="89"/>
              </w:rPr>
              <w:t>September 30,</w:t>
            </w:r>
          </w:p>
        </w:tc>
        <w:tc>
          <w:tcPr>
            <w:tcW w:w="960" w:type="dxa"/>
            <w:vAlign w:val="bottom"/>
            <w:tcBorders>
              <w:bottom w:val="single" w:sz="8" w:color="auto"/>
            </w:tcBorders>
          </w:tcPr>
          <w:p>
            <w:pPr>
              <w:spacing w:after="0"/>
              <w:rPr>
                <w:sz w:val="18"/>
                <w:szCs w:val="18"/>
                <w:color w:val="auto"/>
              </w:rPr>
            </w:pPr>
          </w:p>
        </w:tc>
      </w:tr>
      <w:tr>
        <w:trPr>
          <w:trHeight w:val="212"/>
        </w:trPr>
        <w:tc>
          <w:tcPr>
            <w:tcW w:w="6020" w:type="dxa"/>
            <w:vAlign w:val="bottom"/>
            <w:gridSpan w:val="2"/>
          </w:tcPr>
          <w:p>
            <w:pPr>
              <w:jc w:val="right"/>
              <w:spacing w:after="0"/>
              <w:rPr>
                <w:sz w:val="20"/>
                <w:szCs w:val="20"/>
                <w:color w:val="auto"/>
              </w:rPr>
            </w:pPr>
            <w:r>
              <w:rPr>
                <w:rFonts w:ascii="Arial" w:cs="Arial" w:eastAsia="Arial" w:hAnsi="Arial"/>
                <w:sz w:val="17"/>
                <w:szCs w:val="17"/>
                <w:color w:val="auto"/>
              </w:rPr>
              <w:t>2023</w:t>
            </w:r>
          </w:p>
        </w:tc>
        <w:tc>
          <w:tcPr>
            <w:tcW w:w="1600" w:type="dxa"/>
            <w:vAlign w:val="bottom"/>
            <w:gridSpan w:val="3"/>
          </w:tcPr>
          <w:p>
            <w:pPr>
              <w:jc w:val="right"/>
              <w:ind w:right="100"/>
              <w:spacing w:after="0"/>
              <w:rPr>
                <w:sz w:val="20"/>
                <w:szCs w:val="20"/>
                <w:color w:val="auto"/>
              </w:rPr>
            </w:pPr>
            <w:r>
              <w:rPr>
                <w:rFonts w:ascii="Arial" w:cs="Arial" w:eastAsia="Arial" w:hAnsi="Arial"/>
                <w:sz w:val="17"/>
                <w:szCs w:val="17"/>
                <w:color w:val="auto"/>
              </w:rPr>
              <w:t>2022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jc w:val="right"/>
              <w:ind w:right="494"/>
              <w:spacing w:after="0"/>
              <w:rPr>
                <w:sz w:val="20"/>
                <w:szCs w:val="20"/>
                <w:color w:val="auto"/>
              </w:rPr>
            </w:pPr>
            <w:r>
              <w:rPr>
                <w:rFonts w:ascii="Arial" w:cs="Arial" w:eastAsia="Arial" w:hAnsi="Arial"/>
                <w:sz w:val="17"/>
                <w:szCs w:val="17"/>
                <w:color w:val="auto"/>
              </w:rPr>
              <w:t>2023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ind w:right="474"/>
              <w:spacing w:after="0"/>
              <w:rPr>
                <w:sz w:val="20"/>
                <w:szCs w:val="20"/>
                <w:color w:val="auto"/>
              </w:rPr>
            </w:pPr>
            <w:r>
              <w:rPr>
                <w:rFonts w:ascii="Arial" w:cs="Arial" w:eastAsia="Arial" w:hAnsi="Arial"/>
                <w:sz w:val="17"/>
                <w:szCs w:val="17"/>
                <w:color w:val="auto"/>
              </w:rPr>
              <w:t>2022</w:t>
            </w:r>
          </w:p>
        </w:tc>
      </w:tr>
      <w:tr>
        <w:trPr>
          <w:trHeight w:val="239"/>
        </w:trPr>
        <w:tc>
          <w:tcPr>
            <w:tcW w:w="504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39"/>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Restricted stock</w:t>
            </w:r>
          </w:p>
        </w:tc>
        <w:tc>
          <w:tcPr>
            <w:tcW w:w="9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w w:val="93"/>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2,000</w:t>
            </w: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84,846</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60,787</w:t>
            </w:r>
          </w:p>
        </w:tc>
      </w:tr>
      <w:tr>
        <w:trPr>
          <w:trHeight w:val="20"/>
        </w:trPr>
        <w:tc>
          <w:tcPr>
            <w:tcW w:w="5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1"/>
        </w:trPr>
        <w:tc>
          <w:tcPr>
            <w:tcW w:w="6020" w:type="dxa"/>
            <w:vAlign w:val="bottom"/>
            <w:gridSpan w:val="2"/>
          </w:tcPr>
          <w:p>
            <w:pPr>
              <w:ind w:left="20"/>
              <w:spacing w:after="0" w:line="191" w:lineRule="exact"/>
              <w:rPr>
                <w:sz w:val="20"/>
                <w:szCs w:val="20"/>
                <w:color w:val="auto"/>
              </w:rPr>
            </w:pPr>
            <w:r>
              <w:rPr>
                <w:rFonts w:ascii="Arial" w:cs="Arial" w:eastAsia="Arial" w:hAnsi="Arial"/>
                <w:sz w:val="17"/>
                <w:szCs w:val="17"/>
                <w:color w:val="auto"/>
              </w:rPr>
              <w:t>PSU</w:t>
            </w:r>
          </w:p>
        </w:tc>
        <w:tc>
          <w:tcPr>
            <w:tcW w:w="1600" w:type="dxa"/>
            <w:vAlign w:val="bottom"/>
            <w:gridSpan w:val="3"/>
          </w:tcPr>
          <w:p>
            <w:pPr>
              <w:ind w:left="320"/>
              <w:spacing w:after="0" w:line="191" w:lineRule="exact"/>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100"/>
              <w:spacing w:after="0" w:line="191" w:lineRule="exact"/>
              <w:rPr>
                <w:sz w:val="20"/>
                <w:szCs w:val="20"/>
                <w:color w:val="auto"/>
              </w:rPr>
            </w:pPr>
            <w:r>
              <w:rPr>
                <w:rFonts w:ascii="Arial" w:cs="Arial" w:eastAsia="Arial" w:hAnsi="Arial"/>
                <w:sz w:val="17"/>
                <w:szCs w:val="17"/>
                <w:color w:val="auto"/>
              </w:rPr>
              <w:t>—</w:t>
            </w:r>
          </w:p>
        </w:tc>
        <w:tc>
          <w:tcPr>
            <w:tcW w:w="1500" w:type="dxa"/>
            <w:vAlign w:val="bottom"/>
          </w:tcPr>
          <w:p>
            <w:pPr>
              <w:jc w:val="right"/>
              <w:spacing w:after="0" w:line="191" w:lineRule="exact"/>
              <w:rPr>
                <w:sz w:val="20"/>
                <w:szCs w:val="20"/>
                <w:color w:val="auto"/>
              </w:rPr>
            </w:pPr>
            <w:r>
              <w:rPr>
                <w:rFonts w:ascii="Arial" w:cs="Arial" w:eastAsia="Arial" w:hAnsi="Arial"/>
                <w:sz w:val="17"/>
                <w:szCs w:val="17"/>
                <w:color w:val="auto"/>
              </w:rPr>
              <w:t>18,790</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line="191" w:lineRule="exact"/>
              <w:rPr>
                <w:sz w:val="20"/>
                <w:szCs w:val="20"/>
                <w:color w:val="auto"/>
              </w:rPr>
            </w:pPr>
            <w:r>
              <w:rPr>
                <w:rFonts w:ascii="Arial" w:cs="Arial" w:eastAsia="Arial" w:hAnsi="Arial"/>
                <w:sz w:val="17"/>
                <w:szCs w:val="17"/>
                <w:color w:val="auto"/>
              </w:rPr>
              <w:t>19,748</w:t>
            </w:r>
          </w:p>
        </w:tc>
      </w:tr>
      <w:tr>
        <w:trPr>
          <w:trHeight w:val="20"/>
        </w:trPr>
        <w:tc>
          <w:tcPr>
            <w:tcW w:w="50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shares of restricted stock and PSUs shown in the above table cliff vest after a period of three years. The performance criteria of the PSUs is split evenly between a comparison of (i) our total shareholder return and (ii) our return on average assets each over the three year period starting on the grant date to these same criteria over that period to an index of our banking peers.</w:t>
      </w:r>
    </w:p>
    <w:p>
      <w:pPr>
        <w:spacing w:after="0" w:line="14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directors may elect to receive all or a portion of their cash retainer fees in the form of common stock (either on a current basis or on a deferred basis) pursuant to the non-employee director stock purchase plan referenced above. Shares equal in value to that portion of each director’s fees that he or she has elected to receive in stock on a current basis are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issued each quarter and vest immediately. Shares issued on a deferred basis are credited at the rate of 90% of the current fair value of our common stock and vest immediately. During the nine month periods ended September 30, 2023 and 2022 we issued 0.014 million and 0.013 million shares, respectively and expensed their value during those same periods.</w:t>
      </w:r>
    </w:p>
    <w:p>
      <w:pPr>
        <w:spacing w:after="0" w:line="14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Total compensation expense recognized for grants pursuant to our long-term incentive plan was $0.5 million and $1.4 million during the three and nine month periods ended September 30, 2023, respectively, and was $0.4 million and $1.3 million during the same periods in 2022, respectively. The corresponding tax benefit relating to this expense was $0.1 million and $0.3 million for the three and nine month periods ended September 30, 2023, respectively and $0.1 million and $0.3 million for the same periods in 2022. Total expense recognized for non-employee director share based payments was $0.09 million and $0.27 million during the three and nine month periods ended September 30, 2023, respectively, and was $0.09 million and $0.28 million during the same periods in 2022, respectively. The corresponding tax benefit relating to this expense was $0.02 million and $0.06 million for the three and nine month periods ended September 30, 2023, respectively and $0.02 million and $0.06 million during the same periods in 2022.</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September 30, 2023, the total expected compensation cost related to non-vested restricted stock and PSUs not yet recognized was $3.0 million. The weighted-average period over which this amount will be recognized is 1.9 years.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A summary of outstanding stock option grants and related transactions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7"/>
                <w:szCs w:val="17"/>
                <w:color w:val="auto"/>
                <w:w w:val="90"/>
              </w:rPr>
              <w:t>Weighted-</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80"/>
              <w:spacing w:after="0" w:line="167" w:lineRule="exact"/>
              <w:rPr>
                <w:sz w:val="20"/>
                <w:szCs w:val="20"/>
                <w:color w:val="auto"/>
              </w:rPr>
            </w:pPr>
            <w:r>
              <w:rPr>
                <w:rFonts w:ascii="Arial" w:cs="Arial" w:eastAsia="Arial" w:hAnsi="Arial"/>
                <w:sz w:val="17"/>
                <w:szCs w:val="17"/>
                <w:color w:val="auto"/>
                <w:w w:val="91"/>
              </w:rPr>
              <w:t>Average</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vMerge w:val="restart"/>
          </w:tcPr>
          <w:p>
            <w:pPr>
              <w:jc w:val="center"/>
              <w:ind w:right="400"/>
              <w:spacing w:after="0"/>
              <w:rPr>
                <w:sz w:val="20"/>
                <w:szCs w:val="20"/>
                <w:color w:val="auto"/>
              </w:rPr>
            </w:pPr>
            <w:r>
              <w:rPr>
                <w:rFonts w:ascii="Arial" w:cs="Arial" w:eastAsia="Arial" w:hAnsi="Arial"/>
                <w:sz w:val="17"/>
                <w:szCs w:val="17"/>
                <w:color w:val="auto"/>
                <w:w w:val="93"/>
              </w:rPr>
              <w:t>Number of</w:t>
            </w:r>
          </w:p>
        </w:tc>
        <w:tc>
          <w:tcPr>
            <w:tcW w:w="280" w:type="dxa"/>
            <w:vAlign w:val="bottom"/>
          </w:tcPr>
          <w:p>
            <w:pPr>
              <w:spacing w:after="0"/>
              <w:rPr>
                <w:sz w:val="15"/>
                <w:szCs w:val="15"/>
                <w:color w:val="auto"/>
              </w:rPr>
            </w:pPr>
          </w:p>
        </w:tc>
        <w:tc>
          <w:tcPr>
            <w:tcW w:w="1280" w:type="dxa"/>
            <w:vAlign w:val="bottom"/>
            <w:gridSpan w:val="2"/>
          </w:tcPr>
          <w:p>
            <w:pPr>
              <w:jc w:val="center"/>
              <w:ind w:right="360"/>
              <w:spacing w:after="0" w:line="180" w:lineRule="exact"/>
              <w:rPr>
                <w:sz w:val="20"/>
                <w:szCs w:val="20"/>
                <w:color w:val="auto"/>
              </w:rPr>
            </w:pPr>
            <w:r>
              <w:rPr>
                <w:rFonts w:ascii="Arial" w:cs="Arial" w:eastAsia="Arial" w:hAnsi="Arial"/>
                <w:sz w:val="17"/>
                <w:szCs w:val="17"/>
                <w:color w:val="auto"/>
                <w:w w:val="88"/>
              </w:rPr>
              <w:t>Average</w:t>
            </w:r>
          </w:p>
        </w:tc>
        <w:tc>
          <w:tcPr>
            <w:tcW w:w="1580" w:type="dxa"/>
            <w:vAlign w:val="bottom"/>
            <w:gridSpan w:val="2"/>
          </w:tcPr>
          <w:p>
            <w:pPr>
              <w:jc w:val="center"/>
              <w:ind w:right="80"/>
              <w:spacing w:after="0" w:line="180" w:lineRule="exact"/>
              <w:rPr>
                <w:sz w:val="20"/>
                <w:szCs w:val="20"/>
                <w:color w:val="auto"/>
              </w:rPr>
            </w:pPr>
            <w:r>
              <w:rPr>
                <w:rFonts w:ascii="Arial" w:cs="Arial" w:eastAsia="Arial" w:hAnsi="Arial"/>
                <w:sz w:val="17"/>
                <w:szCs w:val="17"/>
                <w:color w:val="auto"/>
                <w:w w:val="91"/>
              </w:rPr>
              <w:t>Remaining</w:t>
            </w:r>
          </w:p>
        </w:tc>
        <w:tc>
          <w:tcPr>
            <w:tcW w:w="180" w:type="dxa"/>
            <w:vAlign w:val="bottom"/>
          </w:tcPr>
          <w:p>
            <w:pPr>
              <w:spacing w:after="0"/>
              <w:rPr>
                <w:sz w:val="15"/>
                <w:szCs w:val="15"/>
                <w:color w:val="auto"/>
              </w:rPr>
            </w:pPr>
          </w:p>
        </w:tc>
        <w:tc>
          <w:tcPr>
            <w:tcW w:w="1300" w:type="dxa"/>
            <w:vAlign w:val="bottom"/>
          </w:tcPr>
          <w:p>
            <w:pPr>
              <w:jc w:val="center"/>
              <w:ind w:right="94"/>
              <w:spacing w:after="0" w:line="180" w:lineRule="exact"/>
              <w:rPr>
                <w:sz w:val="20"/>
                <w:szCs w:val="20"/>
                <w:color w:val="auto"/>
              </w:rPr>
            </w:pPr>
            <w:r>
              <w:rPr>
                <w:rFonts w:ascii="Arial" w:cs="Arial" w:eastAsia="Arial" w:hAnsi="Arial"/>
                <w:sz w:val="17"/>
                <w:szCs w:val="17"/>
                <w:color w:val="auto"/>
                <w:w w:val="90"/>
              </w:rPr>
              <w:t>Aggregated</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center"/>
              <w:ind w:right="360"/>
              <w:spacing w:after="0" w:line="167" w:lineRule="exact"/>
              <w:rPr>
                <w:sz w:val="20"/>
                <w:szCs w:val="20"/>
                <w:color w:val="auto"/>
              </w:rPr>
            </w:pPr>
            <w:r>
              <w:rPr>
                <w:rFonts w:ascii="Arial" w:cs="Arial" w:eastAsia="Arial" w:hAnsi="Arial"/>
                <w:sz w:val="17"/>
                <w:szCs w:val="17"/>
                <w:color w:val="auto"/>
                <w:w w:val="91"/>
              </w:rPr>
              <w:t>Exercise</w:t>
            </w:r>
          </w:p>
        </w:tc>
        <w:tc>
          <w:tcPr>
            <w:tcW w:w="1580" w:type="dxa"/>
            <w:vAlign w:val="bottom"/>
            <w:gridSpan w:val="2"/>
          </w:tcPr>
          <w:p>
            <w:pPr>
              <w:jc w:val="center"/>
              <w:ind w:right="60"/>
              <w:spacing w:after="0" w:line="167" w:lineRule="exact"/>
              <w:rPr>
                <w:sz w:val="20"/>
                <w:szCs w:val="20"/>
                <w:color w:val="auto"/>
              </w:rPr>
            </w:pPr>
            <w:r>
              <w:rPr>
                <w:rFonts w:ascii="Arial" w:cs="Arial" w:eastAsia="Arial" w:hAnsi="Arial"/>
                <w:sz w:val="17"/>
                <w:szCs w:val="17"/>
                <w:color w:val="auto"/>
                <w:w w:val="91"/>
              </w:rPr>
              <w:t>Contractual</w:t>
            </w:r>
          </w:p>
        </w:tc>
        <w:tc>
          <w:tcPr>
            <w:tcW w:w="180" w:type="dxa"/>
            <w:vAlign w:val="bottom"/>
          </w:tcPr>
          <w:p>
            <w:pPr>
              <w:spacing w:after="0"/>
              <w:rPr>
                <w:sz w:val="14"/>
                <w:szCs w:val="14"/>
                <w:color w:val="auto"/>
              </w:rPr>
            </w:pPr>
          </w:p>
        </w:tc>
        <w:tc>
          <w:tcPr>
            <w:tcW w:w="1300" w:type="dxa"/>
            <w:vAlign w:val="bottom"/>
          </w:tcPr>
          <w:p>
            <w:pPr>
              <w:jc w:val="center"/>
              <w:ind w:right="74"/>
              <w:spacing w:after="0" w:line="167" w:lineRule="exact"/>
              <w:rPr>
                <w:sz w:val="20"/>
                <w:szCs w:val="20"/>
                <w:color w:val="auto"/>
              </w:rPr>
            </w:pPr>
            <w:r>
              <w:rPr>
                <w:rFonts w:ascii="Arial" w:cs="Arial" w:eastAsia="Arial" w:hAnsi="Arial"/>
                <w:sz w:val="17"/>
                <w:szCs w:val="17"/>
                <w:color w:val="auto"/>
                <w:w w:val="98"/>
              </w:rPr>
              <w:t>Intrinsic</w:t>
            </w:r>
          </w:p>
        </w:tc>
        <w:tc>
          <w:tcPr>
            <w:tcW w:w="0" w:type="dxa"/>
            <w:vAlign w:val="bottom"/>
          </w:tcPr>
          <w:p>
            <w:pPr>
              <w:spacing w:after="0"/>
              <w:rPr>
                <w:sz w:val="1"/>
                <w:szCs w:val="1"/>
                <w:color w:val="auto"/>
              </w:rPr>
            </w:pPr>
          </w:p>
        </w:tc>
      </w:tr>
      <w:tr>
        <w:trPr>
          <w:trHeight w:val="224"/>
        </w:trPr>
        <w:tc>
          <w:tcPr>
            <w:tcW w:w="5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7"/>
                <w:szCs w:val="17"/>
                <w:color w:val="auto"/>
                <w:w w:val="85"/>
              </w:rPr>
              <w:t>Shares</w:t>
            </w:r>
          </w:p>
        </w:tc>
        <w:tc>
          <w:tcPr>
            <w:tcW w:w="28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7"/>
                <w:szCs w:val="17"/>
                <w:color w:val="auto"/>
                <w:w w:val="92"/>
              </w:rPr>
              <w:t>Price</w:t>
            </w:r>
          </w:p>
        </w:tc>
        <w:tc>
          <w:tcPr>
            <w:tcW w:w="1580" w:type="dxa"/>
            <w:vAlign w:val="bottom"/>
            <w:gridSpan w:val="2"/>
          </w:tcPr>
          <w:p>
            <w:pPr>
              <w:jc w:val="center"/>
              <w:ind w:right="80"/>
              <w:spacing w:after="0"/>
              <w:rPr>
                <w:sz w:val="20"/>
                <w:szCs w:val="20"/>
                <w:color w:val="auto"/>
              </w:rPr>
            </w:pPr>
            <w:r>
              <w:rPr>
                <w:rFonts w:ascii="Arial" w:cs="Arial" w:eastAsia="Arial" w:hAnsi="Arial"/>
                <w:sz w:val="17"/>
                <w:szCs w:val="17"/>
                <w:color w:val="auto"/>
                <w:w w:val="89"/>
              </w:rPr>
              <w:t>Term (Years)</w:t>
            </w:r>
          </w:p>
        </w:tc>
        <w:tc>
          <w:tcPr>
            <w:tcW w:w="180" w:type="dxa"/>
            <w:vAlign w:val="bottom"/>
          </w:tcPr>
          <w:p>
            <w:pPr>
              <w:spacing w:after="0"/>
              <w:rPr>
                <w:sz w:val="19"/>
                <w:szCs w:val="19"/>
                <w:color w:val="auto"/>
              </w:rPr>
            </w:pPr>
          </w:p>
        </w:tc>
        <w:tc>
          <w:tcPr>
            <w:tcW w:w="1300" w:type="dxa"/>
            <w:vAlign w:val="bottom"/>
          </w:tcPr>
          <w:p>
            <w:pPr>
              <w:jc w:val="center"/>
              <w:ind w:right="94"/>
              <w:spacing w:after="0"/>
              <w:rPr>
                <w:sz w:val="20"/>
                <w:szCs w:val="20"/>
                <w:color w:val="auto"/>
              </w:rPr>
            </w:pPr>
            <w:r>
              <w:rPr>
                <w:rFonts w:ascii="Arial" w:cs="Arial" w:eastAsia="Arial" w:hAnsi="Arial"/>
                <w:sz w:val="17"/>
                <w:szCs w:val="17"/>
                <w:color w:val="auto"/>
                <w:w w:val="91"/>
              </w:rPr>
              <w:t>Value</w:t>
            </w:r>
          </w:p>
        </w:tc>
        <w:tc>
          <w:tcPr>
            <w:tcW w:w="0" w:type="dxa"/>
            <w:vAlign w:val="bottom"/>
          </w:tcPr>
          <w:p>
            <w:pPr>
              <w:spacing w:after="0"/>
              <w:rPr>
                <w:sz w:val="1"/>
                <w:szCs w:val="1"/>
                <w:color w:val="auto"/>
              </w:rPr>
            </w:pPr>
          </w:p>
        </w:tc>
      </w:tr>
      <w:tr>
        <w:trPr>
          <w:trHeight w:val="218"/>
        </w:trPr>
        <w:tc>
          <w:tcPr>
            <w:tcW w:w="50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94"/>
              <w:spacing w:after="0"/>
              <w:rPr>
                <w:sz w:val="20"/>
                <w:szCs w:val="20"/>
                <w:color w:val="auto"/>
              </w:rPr>
            </w:pPr>
            <w:r>
              <w:rPr>
                <w:rFonts w:ascii="Arial" w:cs="Arial" w:eastAsia="Arial" w:hAnsi="Arial"/>
                <w:sz w:val="17"/>
                <w:szCs w:val="17"/>
                <w:color w:val="auto"/>
                <w:w w:val="91"/>
              </w:rPr>
              <w:t>(In thousands)</w:t>
            </w:r>
          </w:p>
        </w:tc>
        <w:tc>
          <w:tcPr>
            <w:tcW w:w="0" w:type="dxa"/>
            <w:vAlign w:val="bottom"/>
          </w:tcPr>
          <w:p>
            <w:pPr>
              <w:spacing w:after="0"/>
              <w:rPr>
                <w:sz w:val="1"/>
                <w:szCs w:val="1"/>
                <w:color w:val="auto"/>
              </w:rPr>
            </w:pPr>
          </w:p>
        </w:tc>
      </w:tr>
      <w:tr>
        <w:trPr>
          <w:trHeight w:val="220"/>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January 1, 2023</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8.32</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60" w:type="dxa"/>
            <w:vAlign w:val="bottom"/>
            <w:gridSpan w:val="2"/>
          </w:tcPr>
          <w:p>
            <w:pPr>
              <w:ind w:left="180"/>
              <w:spacing w:after="0"/>
              <w:rPr>
                <w:sz w:val="20"/>
                <w:szCs w:val="20"/>
                <w:color w:val="auto"/>
              </w:rPr>
            </w:pPr>
            <w:r>
              <w:rPr>
                <w:rFonts w:ascii="Arial" w:cs="Arial" w:eastAsia="Arial" w:hAnsi="Arial"/>
                <w:sz w:val="17"/>
                <w:szCs w:val="17"/>
                <w:color w:val="auto"/>
              </w:rPr>
              <w:t>Granted</w:t>
            </w: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3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Exercised</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60" w:type="dxa"/>
            <w:vAlign w:val="bottom"/>
            <w:gridSpan w:val="2"/>
          </w:tcPr>
          <w:p>
            <w:pPr>
              <w:ind w:left="180"/>
              <w:spacing w:after="0"/>
              <w:rPr>
                <w:sz w:val="20"/>
                <w:szCs w:val="20"/>
                <w:color w:val="auto"/>
              </w:rPr>
            </w:pPr>
            <w:r>
              <w:rPr>
                <w:rFonts w:ascii="Arial" w:cs="Arial" w:eastAsia="Arial" w:hAnsi="Arial"/>
                <w:sz w:val="17"/>
                <w:szCs w:val="17"/>
                <w:color w:val="auto"/>
              </w:rPr>
              <w:t>Forfeited</w:t>
            </w: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Expired</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60" w:type="dxa"/>
            <w:vAlign w:val="bottom"/>
            <w:gridSpan w:val="2"/>
          </w:tcPr>
          <w:p>
            <w:pPr>
              <w:ind w:left="20"/>
              <w:spacing w:after="0"/>
              <w:rPr>
                <w:sz w:val="20"/>
                <w:szCs w:val="20"/>
                <w:color w:val="auto"/>
              </w:rPr>
            </w:pPr>
            <w:r>
              <w:rPr>
                <w:rFonts w:ascii="Arial" w:cs="Arial" w:eastAsia="Arial" w:hAnsi="Arial"/>
                <w:sz w:val="17"/>
                <w:szCs w:val="17"/>
                <w:color w:val="auto"/>
              </w:rPr>
              <w:t>Outstanding at September 30, 2023</w:t>
            </w:r>
          </w:p>
        </w:tc>
        <w:tc>
          <w:tcPr>
            <w:tcW w:w="1160" w:type="dxa"/>
            <w:vAlign w:val="bottom"/>
          </w:tcPr>
          <w:p>
            <w:pPr>
              <w:jc w:val="right"/>
              <w:spacing w:after="0"/>
              <w:rPr>
                <w:sz w:val="20"/>
                <w:szCs w:val="20"/>
                <w:color w:val="auto"/>
              </w:rPr>
            </w:pPr>
            <w:r>
              <w:rPr>
                <w:rFonts w:ascii="Arial" w:cs="Arial" w:eastAsia="Arial" w:hAnsi="Arial"/>
                <w:sz w:val="17"/>
                <w:szCs w:val="17"/>
                <w:color w:val="auto"/>
              </w:rPr>
              <w:t>17,307</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10.83</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2.0</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60" w:type="dxa"/>
            <w:vAlign w:val="bottom"/>
            <w:gridSpan w:val="2"/>
          </w:tcPr>
          <w:p>
            <w:pPr>
              <w:ind w:left="20"/>
              <w:spacing w:after="0"/>
              <w:rPr>
                <w:sz w:val="20"/>
                <w:szCs w:val="20"/>
                <w:color w:val="auto"/>
              </w:rPr>
            </w:pPr>
            <w:r>
              <w:rPr>
                <w:rFonts w:ascii="Arial" w:cs="Arial" w:eastAsia="Arial" w:hAnsi="Arial"/>
                <w:sz w:val="17"/>
                <w:szCs w:val="17"/>
                <w:color w:val="auto"/>
              </w:rPr>
              <w:t>Vested and expected to vest at September 30, 2023</w:t>
            </w:r>
          </w:p>
        </w:tc>
        <w:tc>
          <w:tcPr>
            <w:tcW w:w="1160" w:type="dxa"/>
            <w:vAlign w:val="bottom"/>
          </w:tcPr>
          <w:p>
            <w:pPr>
              <w:jc w:val="right"/>
              <w:spacing w:after="0"/>
              <w:rPr>
                <w:sz w:val="20"/>
                <w:szCs w:val="20"/>
                <w:color w:val="auto"/>
              </w:rPr>
            </w:pPr>
            <w:r>
              <w:rPr>
                <w:rFonts w:ascii="Arial" w:cs="Arial" w:eastAsia="Arial" w:hAnsi="Arial"/>
                <w:sz w:val="17"/>
                <w:szCs w:val="17"/>
                <w:color w:val="auto"/>
              </w:rPr>
              <w:t>17,307</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10.83</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Exercisable at September 30, 2023</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17,307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10.83</w:t>
            </w: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5360" w:type="dxa"/>
            <w:vAlign w:val="bottom"/>
            <w:gridSpan w:val="2"/>
          </w:tcPr>
          <w:p>
            <w:pPr>
              <w:spacing w:after="0"/>
              <w:rPr>
                <w:sz w:val="20"/>
                <w:szCs w:val="20"/>
                <w:color w:val="auto"/>
              </w:rPr>
            </w:pPr>
            <w:r>
              <w:rPr>
                <w:rFonts w:ascii="Arial" w:cs="Arial" w:eastAsia="Arial" w:hAnsi="Arial"/>
                <w:sz w:val="17"/>
                <w:szCs w:val="17"/>
                <w:color w:val="auto"/>
                <w:w w:val="92"/>
              </w:rPr>
              <w:t>A summary of outstanding non-vested stock and related transactions follows: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94"/>
              <w:spacing w:after="0"/>
              <w:rPr>
                <w:sz w:val="20"/>
                <w:szCs w:val="20"/>
                <w:color w:val="auto"/>
              </w:rPr>
            </w:pPr>
            <w:r>
              <w:rPr>
                <w:rFonts w:ascii="Arial" w:cs="Arial" w:eastAsia="Arial" w:hAnsi="Arial"/>
                <w:sz w:val="17"/>
                <w:szCs w:val="17"/>
                <w:color w:val="auto"/>
                <w:w w:val="92"/>
              </w:rPr>
              <w:t>Weighted-</w:t>
            </w:r>
          </w:p>
        </w:tc>
        <w:tc>
          <w:tcPr>
            <w:tcW w:w="0" w:type="dxa"/>
            <w:vAlign w:val="bottom"/>
          </w:tcPr>
          <w:p>
            <w:pPr>
              <w:spacing w:after="0"/>
              <w:rPr>
                <w:sz w:val="1"/>
                <w:szCs w:val="1"/>
                <w:color w:val="auto"/>
              </w:rPr>
            </w:pPr>
          </w:p>
        </w:tc>
      </w:tr>
      <w:tr>
        <w:trPr>
          <w:trHeight w:val="180"/>
        </w:trPr>
        <w:tc>
          <w:tcPr>
            <w:tcW w:w="5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auto"/>
                <w:w w:val="95"/>
              </w:rPr>
              <w:t>Number</w:t>
            </w:r>
          </w:p>
        </w:tc>
        <w:tc>
          <w:tcPr>
            <w:tcW w:w="180" w:type="dxa"/>
            <w:vAlign w:val="bottom"/>
          </w:tcPr>
          <w:p>
            <w:pPr>
              <w:spacing w:after="0"/>
              <w:rPr>
                <w:sz w:val="15"/>
                <w:szCs w:val="15"/>
                <w:color w:val="auto"/>
              </w:rPr>
            </w:pPr>
          </w:p>
        </w:tc>
        <w:tc>
          <w:tcPr>
            <w:tcW w:w="1300" w:type="dxa"/>
            <w:vAlign w:val="bottom"/>
          </w:tcPr>
          <w:p>
            <w:pPr>
              <w:jc w:val="center"/>
              <w:ind w:right="94"/>
              <w:spacing w:after="0" w:line="180" w:lineRule="exact"/>
              <w:rPr>
                <w:sz w:val="20"/>
                <w:szCs w:val="20"/>
                <w:color w:val="auto"/>
              </w:rPr>
            </w:pPr>
            <w:r>
              <w:rPr>
                <w:rFonts w:ascii="Arial" w:cs="Arial" w:eastAsia="Arial" w:hAnsi="Arial"/>
                <w:sz w:val="17"/>
                <w:szCs w:val="17"/>
                <w:color w:val="auto"/>
                <w:w w:val="88"/>
              </w:rPr>
              <w:t>Average</w:t>
            </w:r>
          </w:p>
        </w:tc>
        <w:tc>
          <w:tcPr>
            <w:tcW w:w="0" w:type="dxa"/>
            <w:vAlign w:val="bottom"/>
          </w:tcPr>
          <w:p>
            <w:pPr>
              <w:spacing w:after="0"/>
              <w:rPr>
                <w:sz w:val="1"/>
                <w:szCs w:val="1"/>
                <w:color w:val="auto"/>
              </w:rPr>
            </w:pPr>
          </w:p>
        </w:tc>
      </w:tr>
      <w:tr>
        <w:trPr>
          <w:trHeight w:val="167"/>
        </w:trPr>
        <w:tc>
          <w:tcPr>
            <w:tcW w:w="5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94"/>
              <w:spacing w:after="0" w:line="167" w:lineRule="exact"/>
              <w:rPr>
                <w:sz w:val="20"/>
                <w:szCs w:val="20"/>
                <w:color w:val="auto"/>
              </w:rPr>
            </w:pPr>
            <w:r>
              <w:rPr>
                <w:rFonts w:ascii="Arial" w:cs="Arial" w:eastAsia="Arial" w:hAnsi="Arial"/>
                <w:sz w:val="17"/>
                <w:szCs w:val="17"/>
                <w:color w:val="auto"/>
                <w:w w:val="91"/>
              </w:rPr>
              <w:t>Grant Date</w:t>
            </w:r>
          </w:p>
        </w:tc>
        <w:tc>
          <w:tcPr>
            <w:tcW w:w="0" w:type="dxa"/>
            <w:vAlign w:val="bottom"/>
          </w:tcPr>
          <w:p>
            <w:pPr>
              <w:spacing w:after="0"/>
              <w:rPr>
                <w:sz w:val="1"/>
                <w:szCs w:val="1"/>
                <w:color w:val="auto"/>
              </w:rPr>
            </w:pPr>
          </w:p>
        </w:tc>
      </w:tr>
      <w:tr>
        <w:trPr>
          <w:trHeight w:val="218"/>
        </w:trPr>
        <w:tc>
          <w:tcPr>
            <w:tcW w:w="5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7"/>
                <w:szCs w:val="17"/>
                <w:color w:val="auto"/>
                <w:w w:val="90"/>
              </w:rPr>
              <w:t>of Shares</w:t>
            </w:r>
          </w:p>
        </w:tc>
        <w:tc>
          <w:tcPr>
            <w:tcW w:w="180" w:type="dxa"/>
            <w:vAlign w:val="bottom"/>
          </w:tcPr>
          <w:p>
            <w:pPr>
              <w:spacing w:after="0"/>
              <w:rPr>
                <w:sz w:val="18"/>
                <w:szCs w:val="18"/>
                <w:color w:val="auto"/>
              </w:rPr>
            </w:pPr>
          </w:p>
        </w:tc>
        <w:tc>
          <w:tcPr>
            <w:tcW w:w="1300" w:type="dxa"/>
            <w:vAlign w:val="bottom"/>
          </w:tcPr>
          <w:p>
            <w:pPr>
              <w:jc w:val="center"/>
              <w:ind w:right="94"/>
              <w:spacing w:after="0"/>
              <w:rPr>
                <w:sz w:val="20"/>
                <w:szCs w:val="20"/>
                <w:color w:val="auto"/>
              </w:rPr>
            </w:pPr>
            <w:r>
              <w:rPr>
                <w:rFonts w:ascii="Arial" w:cs="Arial" w:eastAsia="Arial" w:hAnsi="Arial"/>
                <w:sz w:val="17"/>
                <w:szCs w:val="17"/>
                <w:color w:val="auto"/>
                <w:w w:val="92"/>
              </w:rPr>
              <w:t>Fair Value</w:t>
            </w:r>
          </w:p>
        </w:tc>
        <w:tc>
          <w:tcPr>
            <w:tcW w:w="0" w:type="dxa"/>
            <w:vAlign w:val="bottom"/>
          </w:tcPr>
          <w:p>
            <w:pPr>
              <w:spacing w:after="0"/>
              <w:rPr>
                <w:sz w:val="1"/>
                <w:szCs w:val="1"/>
                <w:color w:val="auto"/>
              </w:rPr>
            </w:pPr>
          </w:p>
        </w:tc>
      </w:tr>
      <w:tr>
        <w:trPr>
          <w:trHeight w:val="213"/>
        </w:trPr>
        <w:tc>
          <w:tcPr>
            <w:tcW w:w="53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January 1, 2023</w:t>
            </w:r>
          </w:p>
        </w:tc>
        <w:tc>
          <w:tcPr>
            <w:tcW w:w="1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246,136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22.82</w:t>
            </w:r>
          </w:p>
        </w:tc>
        <w:tc>
          <w:tcPr>
            <w:tcW w:w="0" w:type="dxa"/>
            <w:vAlign w:val="bottom"/>
          </w:tcPr>
          <w:p>
            <w:pPr>
              <w:spacing w:after="0"/>
              <w:rPr>
                <w:sz w:val="1"/>
                <w:szCs w:val="1"/>
                <w:color w:val="auto"/>
              </w:rPr>
            </w:pPr>
          </w:p>
        </w:tc>
      </w:tr>
      <w:tr>
        <w:trPr>
          <w:trHeight w:val="218"/>
        </w:trPr>
        <w:tc>
          <w:tcPr>
            <w:tcW w:w="5360" w:type="dxa"/>
            <w:vAlign w:val="bottom"/>
            <w:gridSpan w:val="2"/>
          </w:tcPr>
          <w:p>
            <w:pPr>
              <w:ind w:left="180"/>
              <w:spacing w:after="0"/>
              <w:rPr>
                <w:sz w:val="20"/>
                <w:szCs w:val="20"/>
                <w:color w:val="auto"/>
              </w:rPr>
            </w:pPr>
            <w:r>
              <w:rPr>
                <w:rFonts w:ascii="Arial" w:cs="Arial" w:eastAsia="Arial" w:hAnsi="Arial"/>
                <w:sz w:val="17"/>
                <w:szCs w:val="17"/>
                <w:color w:val="auto"/>
              </w:rPr>
              <w:t>Granted</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103,636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22.84</w:t>
            </w:r>
          </w:p>
        </w:tc>
        <w:tc>
          <w:tcPr>
            <w:tcW w:w="0" w:type="dxa"/>
            <w:vAlign w:val="bottom"/>
          </w:tcPr>
          <w:p>
            <w:pPr>
              <w:spacing w:after="0"/>
              <w:rPr>
                <w:sz w:val="1"/>
                <w:szCs w:val="1"/>
                <w:color w:val="auto"/>
              </w:rPr>
            </w:pPr>
          </w:p>
        </w:tc>
      </w:tr>
      <w:tr>
        <w:trPr>
          <w:trHeight w:val="220"/>
        </w:trPr>
        <w:tc>
          <w:tcPr>
            <w:tcW w:w="53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Vested</w:t>
            </w: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22.35</w:t>
            </w:r>
          </w:p>
        </w:tc>
        <w:tc>
          <w:tcPr>
            <w:tcW w:w="0" w:type="dxa"/>
            <w:vAlign w:val="bottom"/>
          </w:tcPr>
          <w:p>
            <w:pPr>
              <w:spacing w:after="0"/>
              <w:rPr>
                <w:sz w:val="1"/>
                <w:szCs w:val="1"/>
                <w:color w:val="auto"/>
              </w:rPr>
            </w:pPr>
          </w:p>
        </w:tc>
      </w:tr>
      <w:tr>
        <w:trPr>
          <w:trHeight w:val="218"/>
        </w:trPr>
        <w:tc>
          <w:tcPr>
            <w:tcW w:w="5360" w:type="dxa"/>
            <w:vAlign w:val="bottom"/>
            <w:tcBorders>
              <w:bottom w:val="single" w:sz="8" w:color="CCEEFF"/>
            </w:tcBorders>
            <w:gridSpan w:val="2"/>
          </w:tcPr>
          <w:p>
            <w:pPr>
              <w:ind w:left="180"/>
              <w:spacing w:after="0"/>
              <w:rPr>
                <w:sz w:val="20"/>
                <w:szCs w:val="20"/>
                <w:color w:val="auto"/>
              </w:rPr>
            </w:pPr>
            <w:r>
              <w:rPr>
                <w:rFonts w:ascii="Arial" w:cs="Arial" w:eastAsia="Arial" w:hAnsi="Arial"/>
                <w:sz w:val="17"/>
                <w:szCs w:val="17"/>
                <w:color w:val="auto"/>
              </w:rPr>
              <w:t>Forfeited</w:t>
            </w: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(13,888)</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23.23</w:t>
            </w:r>
          </w:p>
        </w:tc>
        <w:tc>
          <w:tcPr>
            <w:tcW w:w="0" w:type="dxa"/>
            <w:vAlign w:val="bottom"/>
          </w:tcPr>
          <w:p>
            <w:pPr>
              <w:spacing w:after="0"/>
              <w:rPr>
                <w:sz w:val="1"/>
                <w:szCs w:val="1"/>
                <w:color w:val="auto"/>
              </w:rPr>
            </w:pPr>
          </w:p>
        </w:tc>
      </w:tr>
      <w:tr>
        <w:trPr>
          <w:trHeight w:val="238"/>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September 30, 2023</w:t>
            </w: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275,261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24.78</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CCEEFF"/>
            </w:tcBorders>
            <w:vMerge w:val="restart"/>
          </w:tcPr>
          <w:p>
            <w:pPr>
              <w:jc w:val="right"/>
              <w:ind w:right="734"/>
              <w:spacing w:after="0"/>
              <w:rPr>
                <w:sz w:val="20"/>
                <w:szCs w:val="20"/>
                <w:color w:val="auto"/>
              </w:rPr>
            </w:pPr>
            <w:r>
              <w:rPr>
                <w:rFonts w:ascii="Arial" w:cs="Arial" w:eastAsia="Arial" w:hAnsi="Arial"/>
                <w:sz w:val="17"/>
                <w:szCs w:val="17"/>
                <w:color w:val="auto"/>
              </w:rPr>
              <w:t>41</w:t>
            </w: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4"/>
        </w:trPr>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0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Certain information regarding options exercised during the periods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2620" w:type="dxa"/>
            <w:vAlign w:val="bottom"/>
            <w:gridSpan w:val="4"/>
          </w:tcPr>
          <w:p>
            <w:pPr>
              <w:jc w:val="center"/>
              <w:ind w:left="354"/>
              <w:spacing w:after="0"/>
              <w:rPr>
                <w:sz w:val="20"/>
                <w:szCs w:val="20"/>
                <w:color w:val="auto"/>
              </w:rPr>
            </w:pPr>
            <w:r>
              <w:rPr>
                <w:rFonts w:ascii="Arial" w:cs="Arial" w:eastAsia="Arial" w:hAnsi="Arial"/>
                <w:sz w:val="17"/>
                <w:szCs w:val="17"/>
                <w:color w:val="auto"/>
                <w:w w:val="91"/>
              </w:rPr>
              <w:t>Three Months Ended</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20" w:type="dxa"/>
            <w:vAlign w:val="bottom"/>
            <w:gridSpan w:val="4"/>
          </w:tcPr>
          <w:p>
            <w:pPr>
              <w:jc w:val="right"/>
              <w:ind w:right="314"/>
              <w:spacing w:after="0"/>
              <w:rPr>
                <w:sz w:val="20"/>
                <w:szCs w:val="20"/>
                <w:color w:val="auto"/>
              </w:rPr>
            </w:pPr>
            <w:r>
              <w:rPr>
                <w:rFonts w:ascii="Arial" w:cs="Arial" w:eastAsia="Arial" w:hAnsi="Arial"/>
                <w:sz w:val="17"/>
                <w:szCs w:val="17"/>
                <w:color w:val="auto"/>
              </w:rPr>
              <w:t>Nine Months Ended</w:t>
            </w:r>
          </w:p>
        </w:tc>
        <w:tc>
          <w:tcPr>
            <w:tcW w:w="440" w:type="dxa"/>
            <w:vAlign w:val="bottom"/>
          </w:tcPr>
          <w:p>
            <w:pPr>
              <w:spacing w:after="0"/>
              <w:rPr>
                <w:sz w:val="16"/>
                <w:szCs w:val="16"/>
                <w:color w:val="auto"/>
              </w:rPr>
            </w:pPr>
          </w:p>
        </w:tc>
      </w:tr>
      <w:tr>
        <w:trPr>
          <w:trHeight w:val="224"/>
        </w:trPr>
        <w:tc>
          <w:tcPr>
            <w:tcW w:w="504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ind w:right="454"/>
              <w:spacing w:after="0"/>
              <w:rPr>
                <w:sz w:val="20"/>
                <w:szCs w:val="20"/>
                <w:color w:val="auto"/>
              </w:rPr>
            </w:pPr>
            <w:r>
              <w:rPr>
                <w:rFonts w:ascii="Arial" w:cs="Arial" w:eastAsia="Arial" w:hAnsi="Arial"/>
                <w:sz w:val="17"/>
                <w:szCs w:val="17"/>
                <w:color w:val="auto"/>
                <w:w w:val="87"/>
              </w:rPr>
              <w:t>September 30,</w:t>
            </w:r>
          </w:p>
        </w:tc>
        <w:tc>
          <w:tcPr>
            <w:tcW w:w="4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7"/>
                <w:szCs w:val="17"/>
                <w:color w:val="auto"/>
                <w:w w:val="93"/>
              </w:rPr>
              <w:t>September 30,</w:t>
            </w:r>
          </w:p>
        </w:tc>
        <w:tc>
          <w:tcPr>
            <w:tcW w:w="440" w:type="dxa"/>
            <w:vAlign w:val="bottom"/>
            <w:tcBorders>
              <w:bottom w:val="single" w:sz="8" w:color="auto"/>
            </w:tcBorders>
          </w:tcPr>
          <w:p>
            <w:pPr>
              <w:spacing w:after="0"/>
              <w:rPr>
                <w:sz w:val="19"/>
                <w:szCs w:val="19"/>
                <w:color w:val="auto"/>
              </w:rPr>
            </w:pPr>
          </w:p>
        </w:tc>
      </w:tr>
      <w:tr>
        <w:trPr>
          <w:trHeight w:val="218"/>
        </w:trPr>
        <w:tc>
          <w:tcPr>
            <w:tcW w:w="50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2022</w:t>
            </w:r>
          </w:p>
        </w:tc>
        <w:tc>
          <w:tcPr>
            <w:tcW w:w="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2022</w:t>
            </w:r>
          </w:p>
        </w:tc>
        <w:tc>
          <w:tcPr>
            <w:tcW w:w="440" w:type="dxa"/>
            <w:vAlign w:val="bottom"/>
            <w:tcBorders>
              <w:bottom w:val="single" w:sz="8" w:color="auto"/>
            </w:tcBorders>
          </w:tcPr>
          <w:p>
            <w:pPr>
              <w:spacing w:after="0"/>
              <w:rPr>
                <w:sz w:val="18"/>
                <w:szCs w:val="18"/>
                <w:color w:val="auto"/>
              </w:rPr>
            </w:pPr>
          </w:p>
        </w:tc>
      </w:tr>
      <w:tr>
        <w:trPr>
          <w:trHeight w:val="212"/>
        </w:trPr>
        <w:tc>
          <w:tcPr>
            <w:tcW w:w="5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40" w:type="dxa"/>
            <w:vAlign w:val="bottom"/>
            <w:gridSpan w:val="3"/>
          </w:tcPr>
          <w:p>
            <w:pPr>
              <w:jc w:val="center"/>
              <w:ind w:right="454"/>
              <w:spacing w:after="0"/>
              <w:rPr>
                <w:sz w:val="20"/>
                <w:szCs w:val="20"/>
                <w:color w:val="auto"/>
              </w:rPr>
            </w:pPr>
            <w:r>
              <w:rPr>
                <w:rFonts w:ascii="Arial" w:cs="Arial" w:eastAsia="Arial" w:hAnsi="Arial"/>
                <w:sz w:val="17"/>
                <w:szCs w:val="17"/>
                <w:color w:val="auto"/>
                <w:w w:val="90"/>
              </w:rPr>
              <w:t>(In thousands)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40" w:type="dxa"/>
            <w:vAlign w:val="bottom"/>
            <w:gridSpan w:val="3"/>
          </w:tcPr>
          <w:p>
            <w:pPr>
              <w:jc w:val="right"/>
              <w:ind w:right="494"/>
              <w:spacing w:after="0"/>
              <w:rPr>
                <w:sz w:val="20"/>
                <w:szCs w:val="20"/>
                <w:color w:val="auto"/>
              </w:rPr>
            </w:pPr>
            <w:r>
              <w:rPr>
                <w:rFonts w:ascii="Arial" w:cs="Arial" w:eastAsia="Arial" w:hAnsi="Arial"/>
                <w:sz w:val="17"/>
                <w:szCs w:val="17"/>
                <w:color w:val="auto"/>
                <w:w w:val="95"/>
              </w:rPr>
              <w:t>(In thousands)</w:t>
            </w:r>
          </w:p>
        </w:tc>
        <w:tc>
          <w:tcPr>
            <w:tcW w:w="440" w:type="dxa"/>
            <w:vAlign w:val="bottom"/>
          </w:tcPr>
          <w:p>
            <w:pPr>
              <w:spacing w:after="0"/>
              <w:rPr>
                <w:sz w:val="18"/>
                <w:szCs w:val="18"/>
                <w:color w:val="auto"/>
              </w:rPr>
            </w:pPr>
          </w:p>
        </w:tc>
      </w:tr>
      <w:tr>
        <w:trPr>
          <w:trHeight w:val="24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Intrinsic value</w:t>
            </w:r>
          </w:p>
        </w:tc>
        <w:tc>
          <w:tcPr>
            <w:tcW w:w="980" w:type="dxa"/>
            <w:vAlign w:val="bottom"/>
            <w:tcBorders>
              <w:bottom w:val="single" w:sz="8" w:color="auto"/>
            </w:tcBorders>
            <w:shd w:val="clear" w:color="auto" w:fill="CCEEFF"/>
          </w:tcPr>
          <w:p>
            <w:pPr>
              <w:jc w:val="right"/>
              <w:ind w:right="794"/>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746</w:t>
            </w:r>
          </w:p>
        </w:tc>
      </w:tr>
      <w:tr>
        <w:trPr>
          <w:trHeight w:val="20"/>
        </w:trPr>
        <w:tc>
          <w:tcPr>
            <w:tcW w:w="5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191"/>
        </w:trPr>
        <w:tc>
          <w:tcPr>
            <w:tcW w:w="5040" w:type="dxa"/>
            <w:vAlign w:val="bottom"/>
          </w:tcPr>
          <w:p>
            <w:pPr>
              <w:ind w:left="20"/>
              <w:spacing w:after="0" w:line="191" w:lineRule="exact"/>
              <w:rPr>
                <w:sz w:val="20"/>
                <w:szCs w:val="20"/>
                <w:color w:val="auto"/>
              </w:rPr>
            </w:pPr>
            <w:r>
              <w:rPr>
                <w:rFonts w:ascii="Arial" w:cs="Arial" w:eastAsia="Arial" w:hAnsi="Arial"/>
                <w:sz w:val="17"/>
                <w:szCs w:val="17"/>
                <w:color w:val="auto"/>
              </w:rPr>
              <w:t>Cash proceeds received</w:t>
            </w:r>
          </w:p>
        </w:tc>
        <w:tc>
          <w:tcPr>
            <w:tcW w:w="980" w:type="dxa"/>
            <w:vAlign w:val="bottom"/>
          </w:tcPr>
          <w:p>
            <w:pPr>
              <w:jc w:val="right"/>
              <w:ind w:right="794"/>
              <w:spacing w:after="0" w:line="191" w:lineRule="exact"/>
              <w:rPr>
                <w:sz w:val="20"/>
                <w:szCs w:val="20"/>
                <w:color w:val="auto"/>
              </w:rPr>
            </w:pPr>
            <w:r>
              <w:rPr>
                <w:rFonts w:ascii="Arial" w:cs="Arial" w:eastAsia="Arial" w:hAnsi="Arial"/>
                <w:sz w:val="17"/>
                <w:szCs w:val="17"/>
                <w:color w:val="auto"/>
                <w:w w:val="84"/>
              </w:rPr>
              <w:t>$</w:t>
            </w:r>
          </w:p>
        </w:tc>
        <w:tc>
          <w:tcPr>
            <w:tcW w:w="600" w:type="dxa"/>
            <w:vAlign w:val="bottom"/>
            <w:gridSpan w:val="2"/>
          </w:tcPr>
          <w:p>
            <w:pPr>
              <w:ind w:left="260"/>
              <w:spacing w:after="0" w:line="191" w:lineRule="exact"/>
              <w:rPr>
                <w:sz w:val="20"/>
                <w:szCs w:val="20"/>
                <w:color w:val="auto"/>
              </w:rPr>
            </w:pPr>
            <w:r>
              <w:rPr>
                <w:rFonts w:ascii="Arial" w:cs="Arial" w:eastAsia="Arial" w:hAnsi="Arial"/>
                <w:sz w:val="17"/>
                <w:szCs w:val="17"/>
                <w:color w:val="auto"/>
              </w:rPr>
              <w:t>—</w:t>
            </w:r>
          </w:p>
        </w:tc>
        <w:tc>
          <w:tcPr>
            <w:tcW w:w="1040" w:type="dxa"/>
            <w:vAlign w:val="bottom"/>
          </w:tcPr>
          <w:p>
            <w:pPr>
              <w:jc w:val="right"/>
              <w:ind w:right="854"/>
              <w:spacing w:after="0" w:line="191" w:lineRule="exact"/>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line="191" w:lineRule="exact"/>
              <w:rPr>
                <w:sz w:val="20"/>
                <w:szCs w:val="20"/>
                <w:color w:val="auto"/>
              </w:rPr>
            </w:pPr>
            <w:r>
              <w:rPr>
                <w:rFonts w:ascii="Arial" w:cs="Arial" w:eastAsia="Arial" w:hAnsi="Arial"/>
                <w:sz w:val="17"/>
                <w:szCs w:val="17"/>
                <w:color w:val="auto"/>
              </w:rPr>
              <w:t>52</w:t>
            </w:r>
          </w:p>
        </w:tc>
        <w:tc>
          <w:tcPr>
            <w:tcW w:w="80" w:type="dxa"/>
            <w:vAlign w:val="bottom"/>
          </w:tcPr>
          <w:p>
            <w:pPr>
              <w:spacing w:after="0"/>
              <w:rPr>
                <w:sz w:val="16"/>
                <w:szCs w:val="16"/>
                <w:color w:val="auto"/>
              </w:rPr>
            </w:pPr>
          </w:p>
        </w:tc>
        <w:tc>
          <w:tcPr>
            <w:tcW w:w="980" w:type="dxa"/>
            <w:vAlign w:val="bottom"/>
          </w:tcPr>
          <w:p>
            <w:pPr>
              <w:jc w:val="right"/>
              <w:ind w:right="774"/>
              <w:spacing w:after="0" w:line="191" w:lineRule="exact"/>
              <w:rPr>
                <w:sz w:val="20"/>
                <w:szCs w:val="20"/>
                <w:color w:val="auto"/>
              </w:rPr>
            </w:pPr>
            <w:r>
              <w:rPr>
                <w:rFonts w:ascii="Arial" w:cs="Arial" w:eastAsia="Arial" w:hAnsi="Arial"/>
                <w:sz w:val="17"/>
                <w:szCs w:val="17"/>
                <w:color w:val="auto"/>
              </w:rPr>
              <w:t>$</w:t>
            </w:r>
          </w:p>
        </w:tc>
        <w:tc>
          <w:tcPr>
            <w:tcW w:w="520" w:type="dxa"/>
            <w:vAlign w:val="bottom"/>
          </w:tcPr>
          <w:p>
            <w:pPr>
              <w:jc w:val="right"/>
              <w:spacing w:after="0" w:line="191" w:lineRule="exact"/>
              <w:rPr>
                <w:sz w:val="20"/>
                <w:szCs w:val="20"/>
                <w:color w:val="auto"/>
              </w:rPr>
            </w:pPr>
            <w:r>
              <w:rPr>
                <w:rFonts w:ascii="Arial" w:cs="Arial" w:eastAsia="Arial" w:hAnsi="Arial"/>
                <w:sz w:val="17"/>
                <w:szCs w:val="17"/>
                <w:color w:val="auto"/>
              </w:rPr>
              <w:t>148</w:t>
            </w:r>
          </w:p>
        </w:tc>
        <w:tc>
          <w:tcPr>
            <w:tcW w:w="80" w:type="dxa"/>
            <w:vAlign w:val="bottom"/>
          </w:tcPr>
          <w:p>
            <w:pPr>
              <w:spacing w:after="0"/>
              <w:rPr>
                <w:sz w:val="16"/>
                <w:szCs w:val="16"/>
                <w:color w:val="auto"/>
              </w:rPr>
            </w:pPr>
          </w:p>
        </w:tc>
        <w:tc>
          <w:tcPr>
            <w:tcW w:w="1040" w:type="dxa"/>
            <w:vAlign w:val="bottom"/>
          </w:tcPr>
          <w:p>
            <w:pPr>
              <w:jc w:val="right"/>
              <w:ind w:right="854"/>
              <w:spacing w:after="0" w:line="191" w:lineRule="exact"/>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line="191" w:lineRule="exact"/>
              <w:rPr>
                <w:sz w:val="20"/>
                <w:szCs w:val="20"/>
                <w:color w:val="auto"/>
              </w:rPr>
            </w:pPr>
            <w:r>
              <w:rPr>
                <w:rFonts w:ascii="Arial" w:cs="Arial" w:eastAsia="Arial" w:hAnsi="Arial"/>
                <w:sz w:val="17"/>
                <w:szCs w:val="17"/>
                <w:color w:val="auto"/>
              </w:rPr>
              <w:t>124</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r>
        <w:trPr>
          <w:trHeight w:val="231"/>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benefit realized</w:t>
            </w: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854"/>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54"/>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color w:val="auto"/>
        </w:rPr>
        <w:t>9.</w:t>
      </w:r>
      <w:r>
        <w:rPr>
          <w:sz w:val="20"/>
          <w:szCs w:val="20"/>
          <w:color w:val="auto"/>
        </w:rPr>
        <w:tab/>
      </w:r>
      <w:r>
        <w:rPr>
          <w:rFonts w:ascii="Arial" w:cs="Arial" w:eastAsia="Arial" w:hAnsi="Arial"/>
          <w:sz w:val="15"/>
          <w:szCs w:val="15"/>
          <w:u w:val="single" w:color="auto"/>
          <w:color w:val="auto"/>
        </w:rPr>
        <w:t>Income Tax</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Income tax expense was $4.1 million and $4.0 million during the three month periods ended September 30, 2023 and 2022, respectively and $10.4 million and $10.9 million during the nine months ended September 30, 2023 and 2022, respectively. Our actual federal income tax expense is different than the amount computed by applying our statutory income tax rate to our income before income tax primarily due to tax-exempt interest income and tax-exempt income from the increase in the cash surrender value on life insurance. In addition, the three and nine month periods ending September 30, 2023 include reductions of $0.003 million and $0.047 million, respectively, of income tax expense related to the impact of the excess value of stock awards that vested and stock options that were exercised as compared to the initial fair values that were expensed. These amounts during the same periods in 2022 were $0.062 million and $0.138 million, respectively.</w:t>
      </w:r>
    </w:p>
    <w:p>
      <w:pPr>
        <w:spacing w:after="0" w:line="14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September 30, 2023, September 30, 2022 and December 31, 2022 that the realization of substantially all of our deferred tax assets continues to be more likely than not.</w:t>
      </w:r>
    </w:p>
    <w:p>
      <w:pPr>
        <w:spacing w:after="0" w:line="13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both September 30, 2023 and December 31, 2022, we had approximately $0.2 million, respectively, of gross unrecognized tax benefits. We do not expect the total amount of unrecognized tax benefits to significantly increase or decrease during the remainder of 2023.</w:t>
      </w:r>
    </w:p>
    <w:p>
      <w:pPr>
        <w:spacing w:after="0" w:line="126" w:lineRule="exact"/>
        <w:rPr>
          <w:sz w:val="20"/>
          <w:szCs w:val="20"/>
          <w:color w:val="auto"/>
        </w:rPr>
      </w:pPr>
    </w:p>
    <w:p>
      <w:pPr>
        <w:ind w:left="380" w:hanging="377"/>
        <w:spacing w:after="0"/>
        <w:tabs>
          <w:tab w:leader="none" w:pos="380"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Regulatory Matters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Capital guidelines adopted by federal and state regulatory agencies and restrictions imposed by law limit the amount of cash dividends our Bank can pay to us. Under these guidelines, the amount of dividends that may be paid in any calendar year is limited to the Bank’s current year net profits, combined with the retained net profits of the preceding two years. Further, the Bank cannot pay a dividend at any time that it has negative undivided profits. As of September 30, 2023, the Bank had positive undivided profits of $167.7 million. It is not our intent to have dividends paid in amounts that would reduce the capital of our Bank to levels below those which we consider prudent or that would not be in accordance with guidelines of regulatory authorities.</w:t>
      </w:r>
    </w:p>
    <w:p>
      <w:pPr>
        <w:spacing w:after="0" w:line="14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We are also subject to various regulatory capital requirements. The prompt corrective action regulations establish quantitative measures to ensure capital adequacy and require minimum amounts and ratios of total, Tier 1, and common equity Tier 1 capital to risk-weighted assets and Tier 1 capital to average assets. Failure to meet minimum capital requirements can result in certain mandatory, and possibly discretionary, actions by regulators that could have a material effect on our interim condensed consolidated financial statements. In addition, capital adequacy rules include a common equity Tier 1 capital conservation buffer of 2.5% of risk-weighted assets that applies to all supervised financial institutions. To avoid limits on capital distributions and certain discretionary bonus payments we must meet the minimum ratio for adequately capitalized institutions plus the buffer. Under capital adequacy guidelines, we must meet specific capital requirements that involve quantitative measures as well as qualitative judgments by the regulators. The most recent regulatory filings as of September 30, 2023 and December 31, 2022, categorized our Bank as well capitalized. Management is not aware of any conditions or events that would have changed the most recent Federal Deposit Insurance Corporation (“FDIC”) categorization.</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Our actual capital amounts and ratios follow (1):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jc w:val="center"/>
              <w:ind w:left="614"/>
              <w:spacing w:after="0"/>
              <w:rPr>
                <w:sz w:val="20"/>
                <w:szCs w:val="20"/>
                <w:color w:val="auto"/>
              </w:rPr>
            </w:pPr>
            <w:r>
              <w:rPr>
                <w:rFonts w:ascii="Arial" w:cs="Arial" w:eastAsia="Arial" w:hAnsi="Arial"/>
                <w:sz w:val="17"/>
                <w:szCs w:val="17"/>
                <w:color w:val="auto"/>
              </w:rPr>
              <w:t>Minimum for</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jc w:val="center"/>
              <w:ind w:left="594"/>
              <w:spacing w:after="0"/>
              <w:rPr>
                <w:sz w:val="20"/>
                <w:szCs w:val="20"/>
                <w:color w:val="auto"/>
              </w:rPr>
            </w:pPr>
            <w:r>
              <w:rPr>
                <w:rFonts w:ascii="Arial" w:cs="Arial" w:eastAsia="Arial" w:hAnsi="Arial"/>
                <w:sz w:val="17"/>
                <w:szCs w:val="17"/>
                <w:color w:val="auto"/>
                <w:w w:val="98"/>
              </w:rPr>
              <w:t>Minimum for</w:t>
            </w:r>
          </w:p>
        </w:tc>
        <w:tc>
          <w:tcPr>
            <w:tcW w:w="920" w:type="dxa"/>
            <w:vAlign w:val="bottom"/>
          </w:tcPr>
          <w:p>
            <w:pPr>
              <w:spacing w:after="0"/>
              <w:rPr>
                <w:sz w:val="16"/>
                <w:szCs w:val="16"/>
                <w:color w:val="auto"/>
              </w:rPr>
            </w:pPr>
          </w:p>
        </w:tc>
      </w:tr>
      <w:tr>
        <w:trPr>
          <w:trHeight w:val="168"/>
        </w:trPr>
        <w:tc>
          <w:tcPr>
            <w:tcW w:w="2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00" w:type="dxa"/>
            <w:vAlign w:val="bottom"/>
            <w:gridSpan w:val="3"/>
          </w:tcPr>
          <w:p>
            <w:pPr>
              <w:jc w:val="center"/>
              <w:ind w:right="320"/>
              <w:spacing w:after="0" w:line="167" w:lineRule="exact"/>
              <w:rPr>
                <w:sz w:val="20"/>
                <w:szCs w:val="20"/>
                <w:color w:val="auto"/>
              </w:rPr>
            </w:pPr>
            <w:r>
              <w:rPr>
                <w:rFonts w:ascii="Arial" w:cs="Arial" w:eastAsia="Arial" w:hAnsi="Arial"/>
                <w:sz w:val="17"/>
                <w:szCs w:val="17"/>
                <w:color w:val="auto"/>
                <w:w w:val="93"/>
              </w:rPr>
              <w:t>Adequately Capitalized</w:t>
            </w:r>
          </w:p>
        </w:tc>
        <w:tc>
          <w:tcPr>
            <w:tcW w:w="240" w:type="dxa"/>
            <w:vAlign w:val="bottom"/>
          </w:tcPr>
          <w:p>
            <w:pPr>
              <w:spacing w:after="0"/>
              <w:rPr>
                <w:sz w:val="14"/>
                <w:szCs w:val="14"/>
                <w:color w:val="auto"/>
              </w:rPr>
            </w:pPr>
          </w:p>
        </w:tc>
        <w:tc>
          <w:tcPr>
            <w:tcW w:w="2600" w:type="dxa"/>
            <w:vAlign w:val="bottom"/>
            <w:gridSpan w:val="2"/>
          </w:tcPr>
          <w:p>
            <w:pPr>
              <w:jc w:val="center"/>
              <w:ind w:right="154"/>
              <w:spacing w:after="0" w:line="167" w:lineRule="exact"/>
              <w:rPr>
                <w:sz w:val="20"/>
                <w:szCs w:val="20"/>
                <w:color w:val="auto"/>
              </w:rPr>
            </w:pPr>
            <w:r>
              <w:rPr>
                <w:rFonts w:ascii="Arial" w:cs="Arial" w:eastAsia="Arial" w:hAnsi="Arial"/>
                <w:sz w:val="17"/>
                <w:szCs w:val="17"/>
                <w:color w:val="auto"/>
                <w:w w:val="94"/>
              </w:rPr>
              <w:t>Well-Capitalized</w:t>
            </w:r>
          </w:p>
        </w:tc>
      </w:tr>
      <w:tr>
        <w:trPr>
          <w:trHeight w:val="231"/>
        </w:trPr>
        <w:tc>
          <w:tcPr>
            <w:tcW w:w="2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Actual</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left="614"/>
              <w:spacing w:after="0"/>
              <w:rPr>
                <w:sz w:val="20"/>
                <w:szCs w:val="20"/>
                <w:color w:val="auto"/>
              </w:rPr>
            </w:pPr>
            <w:r>
              <w:rPr>
                <w:rFonts w:ascii="Arial" w:cs="Arial" w:eastAsia="Arial" w:hAnsi="Arial"/>
                <w:sz w:val="17"/>
                <w:szCs w:val="17"/>
                <w:color w:val="auto"/>
                <w:w w:val="95"/>
              </w:rPr>
              <w:t>Institutions</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ind w:left="800"/>
              <w:spacing w:after="0"/>
              <w:rPr>
                <w:sz w:val="20"/>
                <w:szCs w:val="20"/>
                <w:color w:val="auto"/>
              </w:rPr>
            </w:pPr>
            <w:r>
              <w:rPr>
                <w:rFonts w:ascii="Arial" w:cs="Arial" w:eastAsia="Arial" w:hAnsi="Arial"/>
                <w:sz w:val="17"/>
                <w:szCs w:val="17"/>
                <w:color w:val="auto"/>
              </w:rPr>
              <w:t>Institutions</w:t>
            </w:r>
          </w:p>
        </w:tc>
        <w:tc>
          <w:tcPr>
            <w:tcW w:w="920" w:type="dxa"/>
            <w:vAlign w:val="bottom"/>
            <w:tcBorders>
              <w:bottom w:val="single" w:sz="8" w:color="auto"/>
            </w:tcBorders>
          </w:tcPr>
          <w:p>
            <w:pPr>
              <w:spacing w:after="0"/>
              <w:rPr>
                <w:sz w:val="20"/>
                <w:szCs w:val="20"/>
                <w:color w:val="auto"/>
              </w:rPr>
            </w:pPr>
          </w:p>
        </w:tc>
      </w:tr>
      <w:tr>
        <w:trPr>
          <w:trHeight w:val="212"/>
        </w:trPr>
        <w:tc>
          <w:tcPr>
            <w:tcW w:w="2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74"/>
              <w:spacing w:after="0"/>
              <w:rPr>
                <w:sz w:val="20"/>
                <w:szCs w:val="20"/>
                <w:color w:val="auto"/>
              </w:rPr>
            </w:pPr>
            <w:r>
              <w:rPr>
                <w:rFonts w:ascii="Arial" w:cs="Arial" w:eastAsia="Arial" w:hAnsi="Arial"/>
                <w:sz w:val="17"/>
                <w:szCs w:val="17"/>
                <w:color w:val="auto"/>
              </w:rPr>
              <w:t>Amount</w:t>
            </w:r>
          </w:p>
        </w:tc>
        <w:tc>
          <w:tcPr>
            <w:tcW w:w="1120" w:type="dxa"/>
            <w:vAlign w:val="bottom"/>
            <w:tcBorders>
              <w:bottom w:val="single" w:sz="8" w:color="auto"/>
            </w:tcBorders>
            <w:gridSpan w:val="2"/>
          </w:tcPr>
          <w:p>
            <w:pPr>
              <w:ind w:left="140"/>
              <w:spacing w:after="0"/>
              <w:rPr>
                <w:sz w:val="20"/>
                <w:szCs w:val="20"/>
                <w:color w:val="auto"/>
              </w:rPr>
            </w:pPr>
            <w:r>
              <w:rPr>
                <w:rFonts w:ascii="Arial" w:cs="Arial" w:eastAsia="Arial" w:hAnsi="Arial"/>
                <w:sz w:val="17"/>
                <w:szCs w:val="17"/>
                <w:color w:val="auto"/>
              </w:rPr>
              <w:t>Ratio</w:t>
            </w: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94"/>
              <w:spacing w:after="0"/>
              <w:rPr>
                <w:sz w:val="20"/>
                <w:szCs w:val="20"/>
                <w:color w:val="auto"/>
              </w:rPr>
            </w:pPr>
            <w:r>
              <w:rPr>
                <w:rFonts w:ascii="Arial" w:cs="Arial" w:eastAsia="Arial" w:hAnsi="Arial"/>
                <w:sz w:val="17"/>
                <w:szCs w:val="17"/>
                <w:color w:val="auto"/>
              </w:rPr>
              <w:t>Amount</w:t>
            </w: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Ratio</w:t>
            </w: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Amount</w:t>
            </w: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color w:val="auto"/>
                <w:w w:val="90"/>
              </w:rPr>
              <w:t>Ratio</w:t>
            </w:r>
          </w:p>
        </w:tc>
      </w:tr>
      <w:tr>
        <w:trPr>
          <w:trHeight w:val="211"/>
        </w:trPr>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3"/>
          </w:tcPr>
          <w:p>
            <w:pPr>
              <w:jc w:val="center"/>
              <w:ind w:right="300"/>
              <w:spacing w:after="0"/>
              <w:rPr>
                <w:sz w:val="20"/>
                <w:szCs w:val="20"/>
                <w:color w:val="auto"/>
              </w:rPr>
            </w:pPr>
            <w:r>
              <w:rPr>
                <w:rFonts w:ascii="Arial" w:cs="Arial" w:eastAsia="Arial" w:hAnsi="Arial"/>
                <w:sz w:val="17"/>
                <w:szCs w:val="17"/>
                <w:color w:val="auto"/>
                <w:w w:val="91"/>
              </w:rPr>
              <w:t>(Dollars in thousands)</w:t>
            </w: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2560" w:type="dxa"/>
            <w:vAlign w:val="bottom"/>
          </w:tcPr>
          <w:p>
            <w:pPr>
              <w:ind w:left="20"/>
              <w:spacing w:after="0"/>
              <w:rPr>
                <w:sz w:val="20"/>
                <w:szCs w:val="20"/>
                <w:color w:val="auto"/>
              </w:rPr>
            </w:pPr>
            <w:r>
              <w:rPr>
                <w:rFonts w:ascii="Arial" w:cs="Arial" w:eastAsia="Arial" w:hAnsi="Arial"/>
                <w:sz w:val="17"/>
                <w:szCs w:val="17"/>
                <w:color w:val="auto"/>
              </w:rPr>
              <w:t>September 30, 2023</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2560" w:type="dxa"/>
            <w:vAlign w:val="bottom"/>
          </w:tcPr>
          <w:p>
            <w:pPr>
              <w:ind w:left="20"/>
              <w:spacing w:after="0"/>
              <w:rPr>
                <w:sz w:val="20"/>
                <w:szCs w:val="20"/>
                <w:color w:val="auto"/>
              </w:rPr>
            </w:pPr>
            <w:r>
              <w:rPr>
                <w:rFonts w:ascii="Arial" w:cs="Arial" w:eastAsia="Arial" w:hAnsi="Arial"/>
                <w:sz w:val="17"/>
                <w:szCs w:val="17"/>
                <w:color w:val="auto"/>
                <w:w w:val="93"/>
              </w:rPr>
              <w:t>Total capital to risk-weighted assets</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2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Consolidated</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rPr>
              <w:t>564,115</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13.58 %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680" w:type="dxa"/>
            <w:vAlign w:val="bottom"/>
            <w:shd w:val="clear" w:color="auto" w:fill="CCEEFF"/>
          </w:tcPr>
          <w:p>
            <w:pPr>
              <w:jc w:val="right"/>
              <w:ind w:right="574"/>
              <w:spacing w:after="0"/>
              <w:rPr>
                <w:sz w:val="20"/>
                <w:szCs w:val="20"/>
                <w:color w:val="auto"/>
              </w:rPr>
            </w:pPr>
            <w:r>
              <w:rPr>
                <w:rFonts w:ascii="Arial" w:cs="Arial" w:eastAsia="Arial" w:hAnsi="Arial"/>
                <w:sz w:val="17"/>
                <w:szCs w:val="17"/>
                <w:color w:val="auto"/>
              </w:rPr>
              <w:t>332,292</w:t>
            </w:r>
          </w:p>
        </w:tc>
        <w:tc>
          <w:tcPr>
            <w:tcW w:w="92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0"/>
              </w:rPr>
              <w:t>8.00 %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800"/>
              <w:spacing w:after="0"/>
              <w:rPr>
                <w:sz w:val="20"/>
                <w:szCs w:val="20"/>
                <w:color w:val="auto"/>
              </w:rPr>
            </w:pPr>
            <w:r>
              <w:rPr>
                <w:rFonts w:ascii="Arial" w:cs="Arial" w:eastAsia="Arial" w:hAnsi="Arial"/>
                <w:sz w:val="17"/>
                <w:szCs w:val="17"/>
                <w:color w:val="auto"/>
              </w:rPr>
              <w:t>NA</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r>
      <w:tr>
        <w:trPr>
          <w:trHeight w:val="218"/>
        </w:trPr>
        <w:tc>
          <w:tcPr>
            <w:tcW w:w="2560" w:type="dxa"/>
            <w:vAlign w:val="bottom"/>
          </w:tcPr>
          <w:p>
            <w:pPr>
              <w:ind w:left="180"/>
              <w:spacing w:after="0"/>
              <w:rPr>
                <w:sz w:val="20"/>
                <w:szCs w:val="20"/>
                <w:color w:val="auto"/>
              </w:rPr>
            </w:pPr>
            <w:r>
              <w:rPr>
                <w:rFonts w:ascii="Arial" w:cs="Arial" w:eastAsia="Arial" w:hAnsi="Arial"/>
                <w:sz w:val="17"/>
                <w:szCs w:val="17"/>
                <w:color w:val="auto"/>
              </w:rPr>
              <w:t>Independent Bank</w:t>
            </w:r>
          </w:p>
        </w:tc>
        <w:tc>
          <w:tcPr>
            <w:tcW w:w="240" w:type="dxa"/>
            <w:vAlign w:val="bottom"/>
          </w:tcPr>
          <w:p>
            <w:pPr>
              <w:spacing w:after="0"/>
              <w:rPr>
                <w:sz w:val="18"/>
                <w:szCs w:val="18"/>
                <w:color w:val="auto"/>
              </w:rPr>
            </w:pPr>
          </w:p>
        </w:tc>
        <w:tc>
          <w:tcPr>
            <w:tcW w:w="1540" w:type="dxa"/>
            <w:vAlign w:val="bottom"/>
          </w:tcPr>
          <w:p>
            <w:pPr>
              <w:jc w:val="right"/>
              <w:ind w:right="474"/>
              <w:spacing w:after="0"/>
              <w:rPr>
                <w:sz w:val="20"/>
                <w:szCs w:val="20"/>
                <w:color w:val="auto"/>
              </w:rPr>
            </w:pPr>
            <w:r>
              <w:rPr>
                <w:rFonts w:ascii="Arial" w:cs="Arial" w:eastAsia="Arial" w:hAnsi="Arial"/>
                <w:sz w:val="17"/>
                <w:szCs w:val="17"/>
                <w:color w:val="auto"/>
              </w:rPr>
              <w:t>512,002</w:t>
            </w:r>
          </w:p>
        </w:tc>
        <w:tc>
          <w:tcPr>
            <w:tcW w:w="1040" w:type="dxa"/>
            <w:vAlign w:val="bottom"/>
          </w:tcPr>
          <w:p>
            <w:pPr>
              <w:jc w:val="right"/>
              <w:ind w:right="134"/>
              <w:spacing w:after="0"/>
              <w:rPr>
                <w:sz w:val="20"/>
                <w:szCs w:val="20"/>
                <w:color w:val="auto"/>
              </w:rPr>
            </w:pPr>
            <w:r>
              <w:rPr>
                <w:rFonts w:ascii="Arial" w:cs="Arial" w:eastAsia="Arial" w:hAnsi="Arial"/>
                <w:sz w:val="17"/>
                <w:szCs w:val="17"/>
                <w:color w:val="auto"/>
              </w:rPr>
              <w:t>12.34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574"/>
              <w:spacing w:after="0"/>
              <w:rPr>
                <w:sz w:val="20"/>
                <w:szCs w:val="20"/>
                <w:color w:val="auto"/>
              </w:rPr>
            </w:pPr>
            <w:r>
              <w:rPr>
                <w:rFonts w:ascii="Arial" w:cs="Arial" w:eastAsia="Arial" w:hAnsi="Arial"/>
                <w:sz w:val="17"/>
                <w:szCs w:val="17"/>
                <w:color w:val="auto"/>
              </w:rPr>
              <w:t>331,958</w:t>
            </w:r>
          </w:p>
        </w:tc>
        <w:tc>
          <w:tcPr>
            <w:tcW w:w="920" w:type="dxa"/>
            <w:vAlign w:val="bottom"/>
          </w:tcPr>
          <w:p>
            <w:pPr>
              <w:ind w:left="420"/>
              <w:spacing w:after="0"/>
              <w:rPr>
                <w:sz w:val="20"/>
                <w:szCs w:val="20"/>
                <w:color w:val="auto"/>
              </w:rPr>
            </w:pPr>
            <w:r>
              <w:rPr>
                <w:rFonts w:ascii="Arial" w:cs="Arial" w:eastAsia="Arial" w:hAnsi="Arial"/>
                <w:sz w:val="17"/>
                <w:szCs w:val="17"/>
                <w:color w:val="auto"/>
              </w:rPr>
              <w:t>8.00</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680" w:type="dxa"/>
            <w:vAlign w:val="bottom"/>
          </w:tcPr>
          <w:p>
            <w:pPr>
              <w:ind w:left="440"/>
              <w:spacing w:after="0"/>
              <w:rPr>
                <w:sz w:val="20"/>
                <w:szCs w:val="20"/>
                <w:color w:val="auto"/>
              </w:rPr>
            </w:pPr>
            <w:r>
              <w:rPr>
                <w:rFonts w:ascii="Arial" w:cs="Arial" w:eastAsia="Arial" w:hAnsi="Arial"/>
                <w:sz w:val="17"/>
                <w:szCs w:val="17"/>
                <w:color w:val="auto"/>
              </w:rPr>
              <w:t>414,947</w:t>
            </w:r>
          </w:p>
        </w:tc>
        <w:tc>
          <w:tcPr>
            <w:tcW w:w="920" w:type="dxa"/>
            <w:vAlign w:val="bottom"/>
          </w:tcPr>
          <w:p>
            <w:pPr>
              <w:jc w:val="right"/>
              <w:spacing w:after="0"/>
              <w:rPr>
                <w:sz w:val="20"/>
                <w:szCs w:val="20"/>
                <w:color w:val="auto"/>
              </w:rPr>
            </w:pPr>
            <w:r>
              <w:rPr>
                <w:rFonts w:ascii="Arial" w:cs="Arial" w:eastAsia="Arial" w:hAnsi="Arial"/>
                <w:sz w:val="17"/>
                <w:szCs w:val="17"/>
                <w:color w:val="auto"/>
              </w:rPr>
              <w:t>10.00 %</w:t>
            </w:r>
          </w:p>
        </w:tc>
      </w:tr>
      <w:tr>
        <w:trPr>
          <w:trHeight w:val="155"/>
        </w:trPr>
        <w:tc>
          <w:tcPr>
            <w:tcW w:w="2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218"/>
        </w:trPr>
        <w:tc>
          <w:tcPr>
            <w:tcW w:w="2560" w:type="dxa"/>
            <w:vAlign w:val="bottom"/>
          </w:tcPr>
          <w:p>
            <w:pPr>
              <w:ind w:left="20"/>
              <w:spacing w:after="0"/>
              <w:rPr>
                <w:sz w:val="20"/>
                <w:szCs w:val="20"/>
                <w:color w:val="auto"/>
              </w:rPr>
            </w:pPr>
            <w:r>
              <w:rPr>
                <w:rFonts w:ascii="Arial" w:cs="Arial" w:eastAsia="Arial" w:hAnsi="Arial"/>
                <w:sz w:val="17"/>
                <w:szCs w:val="17"/>
                <w:color w:val="auto"/>
                <w:w w:val="91"/>
              </w:rPr>
              <w:t>Tier 1 capital to risk-weighted assets</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0"/>
        </w:trPr>
        <w:tc>
          <w:tcPr>
            <w:tcW w:w="2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Consolidated</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rPr>
              <w:t>472,126</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11.37 %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680" w:type="dxa"/>
            <w:vAlign w:val="bottom"/>
            <w:shd w:val="clear" w:color="auto" w:fill="CCEEFF"/>
          </w:tcPr>
          <w:p>
            <w:pPr>
              <w:jc w:val="right"/>
              <w:ind w:right="574"/>
              <w:spacing w:after="0"/>
              <w:rPr>
                <w:sz w:val="20"/>
                <w:szCs w:val="20"/>
                <w:color w:val="auto"/>
              </w:rPr>
            </w:pPr>
            <w:r>
              <w:rPr>
                <w:rFonts w:ascii="Arial" w:cs="Arial" w:eastAsia="Arial" w:hAnsi="Arial"/>
                <w:sz w:val="17"/>
                <w:szCs w:val="17"/>
                <w:color w:val="auto"/>
              </w:rPr>
              <w:t>249,219</w:t>
            </w:r>
          </w:p>
        </w:tc>
        <w:tc>
          <w:tcPr>
            <w:tcW w:w="92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0"/>
              </w:rPr>
              <w:t>6.00 %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800"/>
              <w:spacing w:after="0"/>
              <w:rPr>
                <w:sz w:val="20"/>
                <w:szCs w:val="20"/>
                <w:color w:val="auto"/>
              </w:rPr>
            </w:pPr>
            <w:r>
              <w:rPr>
                <w:rFonts w:ascii="Arial" w:cs="Arial" w:eastAsia="Arial" w:hAnsi="Arial"/>
                <w:sz w:val="17"/>
                <w:szCs w:val="17"/>
                <w:color w:val="auto"/>
              </w:rPr>
              <w:t>NA</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r>
      <w:tr>
        <w:trPr>
          <w:trHeight w:val="218"/>
        </w:trPr>
        <w:tc>
          <w:tcPr>
            <w:tcW w:w="2560" w:type="dxa"/>
            <w:vAlign w:val="bottom"/>
          </w:tcPr>
          <w:p>
            <w:pPr>
              <w:ind w:left="180"/>
              <w:spacing w:after="0"/>
              <w:rPr>
                <w:sz w:val="20"/>
                <w:szCs w:val="20"/>
                <w:color w:val="auto"/>
              </w:rPr>
            </w:pPr>
            <w:r>
              <w:rPr>
                <w:rFonts w:ascii="Arial" w:cs="Arial" w:eastAsia="Arial" w:hAnsi="Arial"/>
                <w:sz w:val="17"/>
                <w:szCs w:val="17"/>
                <w:color w:val="auto"/>
              </w:rPr>
              <w:t>Independent Bank</w:t>
            </w:r>
          </w:p>
        </w:tc>
        <w:tc>
          <w:tcPr>
            <w:tcW w:w="240" w:type="dxa"/>
            <w:vAlign w:val="bottom"/>
          </w:tcPr>
          <w:p>
            <w:pPr>
              <w:spacing w:after="0"/>
              <w:rPr>
                <w:sz w:val="18"/>
                <w:szCs w:val="18"/>
                <w:color w:val="auto"/>
              </w:rPr>
            </w:pPr>
          </w:p>
        </w:tc>
        <w:tc>
          <w:tcPr>
            <w:tcW w:w="1540" w:type="dxa"/>
            <w:vAlign w:val="bottom"/>
          </w:tcPr>
          <w:p>
            <w:pPr>
              <w:jc w:val="right"/>
              <w:ind w:right="474"/>
              <w:spacing w:after="0"/>
              <w:rPr>
                <w:sz w:val="20"/>
                <w:szCs w:val="20"/>
                <w:color w:val="auto"/>
              </w:rPr>
            </w:pPr>
            <w:r>
              <w:rPr>
                <w:rFonts w:ascii="Arial" w:cs="Arial" w:eastAsia="Arial" w:hAnsi="Arial"/>
                <w:sz w:val="17"/>
                <w:szCs w:val="17"/>
                <w:color w:val="auto"/>
              </w:rPr>
              <w:t>460,064</w:t>
            </w:r>
          </w:p>
        </w:tc>
        <w:tc>
          <w:tcPr>
            <w:tcW w:w="1040" w:type="dxa"/>
            <w:vAlign w:val="bottom"/>
          </w:tcPr>
          <w:p>
            <w:pPr>
              <w:jc w:val="right"/>
              <w:ind w:right="134"/>
              <w:spacing w:after="0"/>
              <w:rPr>
                <w:sz w:val="20"/>
                <w:szCs w:val="20"/>
                <w:color w:val="auto"/>
              </w:rPr>
            </w:pPr>
            <w:r>
              <w:rPr>
                <w:rFonts w:ascii="Arial" w:cs="Arial" w:eastAsia="Arial" w:hAnsi="Arial"/>
                <w:sz w:val="17"/>
                <w:szCs w:val="17"/>
                <w:color w:val="auto"/>
              </w:rPr>
              <w:t>11.09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574"/>
              <w:spacing w:after="0"/>
              <w:rPr>
                <w:sz w:val="20"/>
                <w:szCs w:val="20"/>
                <w:color w:val="auto"/>
              </w:rPr>
            </w:pPr>
            <w:r>
              <w:rPr>
                <w:rFonts w:ascii="Arial" w:cs="Arial" w:eastAsia="Arial" w:hAnsi="Arial"/>
                <w:sz w:val="17"/>
                <w:szCs w:val="17"/>
                <w:color w:val="auto"/>
              </w:rPr>
              <w:t>248,968</w:t>
            </w:r>
          </w:p>
        </w:tc>
        <w:tc>
          <w:tcPr>
            <w:tcW w:w="920" w:type="dxa"/>
            <w:vAlign w:val="bottom"/>
          </w:tcPr>
          <w:p>
            <w:pPr>
              <w:ind w:left="420"/>
              <w:spacing w:after="0"/>
              <w:rPr>
                <w:sz w:val="20"/>
                <w:szCs w:val="20"/>
                <w:color w:val="auto"/>
              </w:rPr>
            </w:pPr>
            <w:r>
              <w:rPr>
                <w:rFonts w:ascii="Arial" w:cs="Arial" w:eastAsia="Arial" w:hAnsi="Arial"/>
                <w:sz w:val="17"/>
                <w:szCs w:val="17"/>
                <w:color w:val="auto"/>
              </w:rPr>
              <w:t>6.00</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680" w:type="dxa"/>
            <w:vAlign w:val="bottom"/>
          </w:tcPr>
          <w:p>
            <w:pPr>
              <w:ind w:left="440"/>
              <w:spacing w:after="0"/>
              <w:rPr>
                <w:sz w:val="20"/>
                <w:szCs w:val="20"/>
                <w:color w:val="auto"/>
              </w:rPr>
            </w:pPr>
            <w:r>
              <w:rPr>
                <w:rFonts w:ascii="Arial" w:cs="Arial" w:eastAsia="Arial" w:hAnsi="Arial"/>
                <w:sz w:val="17"/>
                <w:szCs w:val="17"/>
                <w:color w:val="auto"/>
              </w:rPr>
              <w:t>331,958</w:t>
            </w:r>
          </w:p>
        </w:tc>
        <w:tc>
          <w:tcPr>
            <w:tcW w:w="920" w:type="dxa"/>
            <w:vAlign w:val="bottom"/>
          </w:tcPr>
          <w:p>
            <w:pPr>
              <w:jc w:val="right"/>
              <w:spacing w:after="0"/>
              <w:rPr>
                <w:sz w:val="20"/>
                <w:szCs w:val="20"/>
                <w:color w:val="auto"/>
              </w:rPr>
            </w:pPr>
            <w:r>
              <w:rPr>
                <w:rFonts w:ascii="Arial" w:cs="Arial" w:eastAsia="Arial" w:hAnsi="Arial"/>
                <w:sz w:val="17"/>
                <w:szCs w:val="17"/>
                <w:color w:val="auto"/>
              </w:rPr>
              <w:t>8.00 %</w:t>
            </w:r>
          </w:p>
        </w:tc>
      </w:tr>
      <w:tr>
        <w:trPr>
          <w:trHeight w:val="155"/>
        </w:trPr>
        <w:tc>
          <w:tcPr>
            <w:tcW w:w="2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68"/>
        </w:trPr>
        <w:tc>
          <w:tcPr>
            <w:tcW w:w="2560" w:type="dxa"/>
            <w:vAlign w:val="bottom"/>
          </w:tcPr>
          <w:p>
            <w:pPr>
              <w:ind w:left="20"/>
              <w:spacing w:after="0" w:line="168" w:lineRule="exact"/>
              <w:rPr>
                <w:sz w:val="20"/>
                <w:szCs w:val="20"/>
                <w:color w:val="auto"/>
              </w:rPr>
            </w:pPr>
            <w:r>
              <w:rPr>
                <w:rFonts w:ascii="Arial" w:cs="Arial" w:eastAsia="Arial" w:hAnsi="Arial"/>
                <w:sz w:val="17"/>
                <w:szCs w:val="17"/>
                <w:color w:val="auto"/>
              </w:rPr>
              <w:t>Common equity tier 1 capital to</w:t>
            </w: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24"/>
        </w:trPr>
        <w:tc>
          <w:tcPr>
            <w:tcW w:w="2560" w:type="dxa"/>
            <w:vAlign w:val="bottom"/>
          </w:tcPr>
          <w:p>
            <w:pPr>
              <w:ind w:left="180"/>
              <w:spacing w:after="0"/>
              <w:rPr>
                <w:sz w:val="20"/>
                <w:szCs w:val="20"/>
                <w:color w:val="auto"/>
              </w:rPr>
            </w:pPr>
            <w:r>
              <w:rPr>
                <w:rFonts w:ascii="Arial" w:cs="Arial" w:eastAsia="Arial" w:hAnsi="Arial"/>
                <w:sz w:val="17"/>
                <w:szCs w:val="17"/>
                <w:color w:val="auto"/>
              </w:rPr>
              <w:t>risk-weighted assets</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6"/>
        </w:trPr>
        <w:tc>
          <w:tcPr>
            <w:tcW w:w="2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Consolidated</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rPr>
              <w:t>433,639</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10.44 %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680" w:type="dxa"/>
            <w:vAlign w:val="bottom"/>
            <w:shd w:val="clear" w:color="auto" w:fill="CCEEFF"/>
          </w:tcPr>
          <w:p>
            <w:pPr>
              <w:jc w:val="right"/>
              <w:ind w:right="574"/>
              <w:spacing w:after="0"/>
              <w:rPr>
                <w:sz w:val="20"/>
                <w:szCs w:val="20"/>
                <w:color w:val="auto"/>
              </w:rPr>
            </w:pPr>
            <w:r>
              <w:rPr>
                <w:rFonts w:ascii="Arial" w:cs="Arial" w:eastAsia="Arial" w:hAnsi="Arial"/>
                <w:sz w:val="17"/>
                <w:szCs w:val="17"/>
                <w:color w:val="auto"/>
              </w:rPr>
              <w:t>186,914</w:t>
            </w:r>
          </w:p>
        </w:tc>
        <w:tc>
          <w:tcPr>
            <w:tcW w:w="92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0"/>
              </w:rPr>
              <w:t>4.50 %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800"/>
              <w:spacing w:after="0"/>
              <w:rPr>
                <w:sz w:val="20"/>
                <w:szCs w:val="20"/>
                <w:color w:val="auto"/>
              </w:rPr>
            </w:pPr>
            <w:r>
              <w:rPr>
                <w:rFonts w:ascii="Arial" w:cs="Arial" w:eastAsia="Arial" w:hAnsi="Arial"/>
                <w:sz w:val="17"/>
                <w:szCs w:val="17"/>
                <w:color w:val="auto"/>
              </w:rPr>
              <w:t>NA</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r>
      <w:tr>
        <w:trPr>
          <w:trHeight w:val="218"/>
        </w:trPr>
        <w:tc>
          <w:tcPr>
            <w:tcW w:w="2560" w:type="dxa"/>
            <w:vAlign w:val="bottom"/>
          </w:tcPr>
          <w:p>
            <w:pPr>
              <w:ind w:left="180"/>
              <w:spacing w:after="0"/>
              <w:rPr>
                <w:sz w:val="20"/>
                <w:szCs w:val="20"/>
                <w:color w:val="auto"/>
              </w:rPr>
            </w:pPr>
            <w:r>
              <w:rPr>
                <w:rFonts w:ascii="Arial" w:cs="Arial" w:eastAsia="Arial" w:hAnsi="Arial"/>
                <w:sz w:val="17"/>
                <w:szCs w:val="17"/>
                <w:color w:val="auto"/>
              </w:rPr>
              <w:t>Independent Bank</w:t>
            </w:r>
          </w:p>
        </w:tc>
        <w:tc>
          <w:tcPr>
            <w:tcW w:w="240" w:type="dxa"/>
            <w:vAlign w:val="bottom"/>
          </w:tcPr>
          <w:p>
            <w:pPr>
              <w:spacing w:after="0"/>
              <w:rPr>
                <w:sz w:val="18"/>
                <w:szCs w:val="18"/>
                <w:color w:val="auto"/>
              </w:rPr>
            </w:pPr>
          </w:p>
        </w:tc>
        <w:tc>
          <w:tcPr>
            <w:tcW w:w="1540" w:type="dxa"/>
            <w:vAlign w:val="bottom"/>
          </w:tcPr>
          <w:p>
            <w:pPr>
              <w:jc w:val="right"/>
              <w:ind w:right="474"/>
              <w:spacing w:after="0"/>
              <w:rPr>
                <w:sz w:val="20"/>
                <w:szCs w:val="20"/>
                <w:color w:val="auto"/>
              </w:rPr>
            </w:pPr>
            <w:r>
              <w:rPr>
                <w:rFonts w:ascii="Arial" w:cs="Arial" w:eastAsia="Arial" w:hAnsi="Arial"/>
                <w:sz w:val="17"/>
                <w:szCs w:val="17"/>
                <w:color w:val="auto"/>
              </w:rPr>
              <w:t>460,064</w:t>
            </w:r>
          </w:p>
        </w:tc>
        <w:tc>
          <w:tcPr>
            <w:tcW w:w="1040" w:type="dxa"/>
            <w:vAlign w:val="bottom"/>
          </w:tcPr>
          <w:p>
            <w:pPr>
              <w:jc w:val="right"/>
              <w:ind w:right="134"/>
              <w:spacing w:after="0"/>
              <w:rPr>
                <w:sz w:val="20"/>
                <w:szCs w:val="20"/>
                <w:color w:val="auto"/>
              </w:rPr>
            </w:pPr>
            <w:r>
              <w:rPr>
                <w:rFonts w:ascii="Arial" w:cs="Arial" w:eastAsia="Arial" w:hAnsi="Arial"/>
                <w:sz w:val="17"/>
                <w:szCs w:val="17"/>
                <w:color w:val="auto"/>
              </w:rPr>
              <w:t>11.09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574"/>
              <w:spacing w:after="0"/>
              <w:rPr>
                <w:sz w:val="20"/>
                <w:szCs w:val="20"/>
                <w:color w:val="auto"/>
              </w:rPr>
            </w:pPr>
            <w:r>
              <w:rPr>
                <w:rFonts w:ascii="Arial" w:cs="Arial" w:eastAsia="Arial" w:hAnsi="Arial"/>
                <w:sz w:val="17"/>
                <w:szCs w:val="17"/>
                <w:color w:val="auto"/>
              </w:rPr>
              <w:t>186,726</w:t>
            </w:r>
          </w:p>
        </w:tc>
        <w:tc>
          <w:tcPr>
            <w:tcW w:w="920" w:type="dxa"/>
            <w:vAlign w:val="bottom"/>
          </w:tcPr>
          <w:p>
            <w:pPr>
              <w:ind w:left="420"/>
              <w:spacing w:after="0"/>
              <w:rPr>
                <w:sz w:val="20"/>
                <w:szCs w:val="20"/>
                <w:color w:val="auto"/>
              </w:rPr>
            </w:pPr>
            <w:r>
              <w:rPr>
                <w:rFonts w:ascii="Arial" w:cs="Arial" w:eastAsia="Arial" w:hAnsi="Arial"/>
                <w:sz w:val="17"/>
                <w:szCs w:val="17"/>
                <w:color w:val="auto"/>
              </w:rPr>
              <w:t>4.50</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680" w:type="dxa"/>
            <w:vAlign w:val="bottom"/>
          </w:tcPr>
          <w:p>
            <w:pPr>
              <w:ind w:left="440"/>
              <w:spacing w:after="0"/>
              <w:rPr>
                <w:sz w:val="20"/>
                <w:szCs w:val="20"/>
                <w:color w:val="auto"/>
              </w:rPr>
            </w:pPr>
            <w:r>
              <w:rPr>
                <w:rFonts w:ascii="Arial" w:cs="Arial" w:eastAsia="Arial" w:hAnsi="Arial"/>
                <w:sz w:val="17"/>
                <w:szCs w:val="17"/>
                <w:color w:val="auto"/>
              </w:rPr>
              <w:t>269,716</w:t>
            </w:r>
          </w:p>
        </w:tc>
        <w:tc>
          <w:tcPr>
            <w:tcW w:w="920" w:type="dxa"/>
            <w:vAlign w:val="bottom"/>
          </w:tcPr>
          <w:p>
            <w:pPr>
              <w:jc w:val="right"/>
              <w:spacing w:after="0"/>
              <w:rPr>
                <w:sz w:val="20"/>
                <w:szCs w:val="20"/>
                <w:color w:val="auto"/>
              </w:rPr>
            </w:pPr>
            <w:r>
              <w:rPr>
                <w:rFonts w:ascii="Arial" w:cs="Arial" w:eastAsia="Arial" w:hAnsi="Arial"/>
                <w:sz w:val="17"/>
                <w:szCs w:val="17"/>
                <w:color w:val="auto"/>
              </w:rPr>
              <w:t>6.50 %</w:t>
            </w:r>
          </w:p>
        </w:tc>
      </w:tr>
      <w:tr>
        <w:trPr>
          <w:trHeight w:val="155"/>
        </w:trPr>
        <w:tc>
          <w:tcPr>
            <w:tcW w:w="2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218"/>
        </w:trPr>
        <w:tc>
          <w:tcPr>
            <w:tcW w:w="2560" w:type="dxa"/>
            <w:vAlign w:val="bottom"/>
          </w:tcPr>
          <w:p>
            <w:pPr>
              <w:ind w:left="20"/>
              <w:spacing w:after="0"/>
              <w:rPr>
                <w:sz w:val="20"/>
                <w:szCs w:val="20"/>
                <w:color w:val="auto"/>
              </w:rPr>
            </w:pPr>
            <w:r>
              <w:rPr>
                <w:rFonts w:ascii="Arial" w:cs="Arial" w:eastAsia="Arial" w:hAnsi="Arial"/>
                <w:sz w:val="17"/>
                <w:szCs w:val="17"/>
                <w:color w:val="auto"/>
              </w:rPr>
              <w:t>Tier 1 capital to average assets</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0"/>
        </w:trPr>
        <w:tc>
          <w:tcPr>
            <w:tcW w:w="2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Consolidated</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rPr>
              <w:t>472,126</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680" w:type="dxa"/>
            <w:vAlign w:val="bottom"/>
            <w:shd w:val="clear" w:color="auto" w:fill="CCEEFF"/>
          </w:tcPr>
          <w:p>
            <w:pPr>
              <w:jc w:val="right"/>
              <w:ind w:right="574"/>
              <w:spacing w:after="0"/>
              <w:rPr>
                <w:sz w:val="20"/>
                <w:szCs w:val="20"/>
                <w:color w:val="auto"/>
              </w:rPr>
            </w:pPr>
            <w:r>
              <w:rPr>
                <w:rFonts w:ascii="Arial" w:cs="Arial" w:eastAsia="Arial" w:hAnsi="Arial"/>
                <w:sz w:val="17"/>
                <w:szCs w:val="17"/>
                <w:color w:val="auto"/>
              </w:rPr>
              <w:t>211,355</w:t>
            </w:r>
          </w:p>
        </w:tc>
        <w:tc>
          <w:tcPr>
            <w:tcW w:w="92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0"/>
              </w:rPr>
              <w:t>4.00 %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800"/>
              <w:spacing w:after="0"/>
              <w:rPr>
                <w:sz w:val="20"/>
                <w:szCs w:val="20"/>
                <w:color w:val="auto"/>
              </w:rPr>
            </w:pPr>
            <w:r>
              <w:rPr>
                <w:rFonts w:ascii="Arial" w:cs="Arial" w:eastAsia="Arial" w:hAnsi="Arial"/>
                <w:sz w:val="17"/>
                <w:szCs w:val="17"/>
                <w:color w:val="auto"/>
              </w:rPr>
              <w:t>NA</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r>
      <w:tr>
        <w:trPr>
          <w:trHeight w:val="218"/>
        </w:trPr>
        <w:tc>
          <w:tcPr>
            <w:tcW w:w="2560" w:type="dxa"/>
            <w:vAlign w:val="bottom"/>
          </w:tcPr>
          <w:p>
            <w:pPr>
              <w:ind w:left="180"/>
              <w:spacing w:after="0"/>
              <w:rPr>
                <w:sz w:val="20"/>
                <w:szCs w:val="20"/>
                <w:color w:val="auto"/>
              </w:rPr>
            </w:pPr>
            <w:r>
              <w:rPr>
                <w:rFonts w:ascii="Arial" w:cs="Arial" w:eastAsia="Arial" w:hAnsi="Arial"/>
                <w:sz w:val="17"/>
                <w:szCs w:val="17"/>
                <w:color w:val="auto"/>
              </w:rPr>
              <w:t>Independent Bank</w:t>
            </w:r>
          </w:p>
        </w:tc>
        <w:tc>
          <w:tcPr>
            <w:tcW w:w="240" w:type="dxa"/>
            <w:vAlign w:val="bottom"/>
          </w:tcPr>
          <w:p>
            <w:pPr>
              <w:spacing w:after="0"/>
              <w:rPr>
                <w:sz w:val="18"/>
                <w:szCs w:val="18"/>
                <w:color w:val="auto"/>
              </w:rPr>
            </w:pPr>
          </w:p>
        </w:tc>
        <w:tc>
          <w:tcPr>
            <w:tcW w:w="1540" w:type="dxa"/>
            <w:vAlign w:val="bottom"/>
          </w:tcPr>
          <w:p>
            <w:pPr>
              <w:jc w:val="right"/>
              <w:ind w:right="474"/>
              <w:spacing w:after="0"/>
              <w:rPr>
                <w:sz w:val="20"/>
                <w:szCs w:val="20"/>
                <w:color w:val="auto"/>
              </w:rPr>
            </w:pPr>
            <w:r>
              <w:rPr>
                <w:rFonts w:ascii="Arial" w:cs="Arial" w:eastAsia="Arial" w:hAnsi="Arial"/>
                <w:sz w:val="17"/>
                <w:szCs w:val="17"/>
                <w:color w:val="auto"/>
              </w:rPr>
              <w:t>460,064</w:t>
            </w:r>
          </w:p>
        </w:tc>
        <w:tc>
          <w:tcPr>
            <w:tcW w:w="1040" w:type="dxa"/>
            <w:vAlign w:val="bottom"/>
          </w:tcPr>
          <w:p>
            <w:pPr>
              <w:jc w:val="right"/>
              <w:ind w:right="134"/>
              <w:spacing w:after="0"/>
              <w:rPr>
                <w:sz w:val="20"/>
                <w:szCs w:val="20"/>
                <w:color w:val="auto"/>
              </w:rPr>
            </w:pPr>
            <w:r>
              <w:rPr>
                <w:rFonts w:ascii="Arial" w:cs="Arial" w:eastAsia="Arial" w:hAnsi="Arial"/>
                <w:sz w:val="17"/>
                <w:szCs w:val="17"/>
                <w:color w:val="auto"/>
              </w:rPr>
              <w:t>8.71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574"/>
              <w:spacing w:after="0"/>
              <w:rPr>
                <w:sz w:val="20"/>
                <w:szCs w:val="20"/>
                <w:color w:val="auto"/>
              </w:rPr>
            </w:pPr>
            <w:r>
              <w:rPr>
                <w:rFonts w:ascii="Arial" w:cs="Arial" w:eastAsia="Arial" w:hAnsi="Arial"/>
                <w:sz w:val="17"/>
                <w:szCs w:val="17"/>
                <w:color w:val="auto"/>
              </w:rPr>
              <w:t>211,328</w:t>
            </w:r>
          </w:p>
        </w:tc>
        <w:tc>
          <w:tcPr>
            <w:tcW w:w="920" w:type="dxa"/>
            <w:vAlign w:val="bottom"/>
          </w:tcPr>
          <w:p>
            <w:pPr>
              <w:ind w:left="420"/>
              <w:spacing w:after="0"/>
              <w:rPr>
                <w:sz w:val="20"/>
                <w:szCs w:val="20"/>
                <w:color w:val="auto"/>
              </w:rPr>
            </w:pPr>
            <w:r>
              <w:rPr>
                <w:rFonts w:ascii="Arial" w:cs="Arial" w:eastAsia="Arial" w:hAnsi="Arial"/>
                <w:sz w:val="17"/>
                <w:szCs w:val="17"/>
                <w:color w:val="auto"/>
              </w:rPr>
              <w:t>4.00</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680" w:type="dxa"/>
            <w:vAlign w:val="bottom"/>
          </w:tcPr>
          <w:p>
            <w:pPr>
              <w:ind w:left="440"/>
              <w:spacing w:after="0"/>
              <w:rPr>
                <w:sz w:val="20"/>
                <w:szCs w:val="20"/>
                <w:color w:val="auto"/>
              </w:rPr>
            </w:pPr>
            <w:r>
              <w:rPr>
                <w:rFonts w:ascii="Arial" w:cs="Arial" w:eastAsia="Arial" w:hAnsi="Arial"/>
                <w:sz w:val="17"/>
                <w:szCs w:val="17"/>
                <w:color w:val="auto"/>
              </w:rPr>
              <w:t>264,160</w:t>
            </w:r>
          </w:p>
        </w:tc>
        <w:tc>
          <w:tcPr>
            <w:tcW w:w="920" w:type="dxa"/>
            <w:vAlign w:val="bottom"/>
          </w:tcPr>
          <w:p>
            <w:pPr>
              <w:jc w:val="right"/>
              <w:spacing w:after="0"/>
              <w:rPr>
                <w:sz w:val="20"/>
                <w:szCs w:val="20"/>
                <w:color w:val="auto"/>
              </w:rPr>
            </w:pPr>
            <w:r>
              <w:rPr>
                <w:rFonts w:ascii="Arial" w:cs="Arial" w:eastAsia="Arial" w:hAnsi="Arial"/>
                <w:sz w:val="17"/>
                <w:szCs w:val="17"/>
                <w:color w:val="auto"/>
              </w:rPr>
              <w:t>5.00 %</w:t>
            </w:r>
          </w:p>
        </w:tc>
      </w:tr>
      <w:tr>
        <w:trPr>
          <w:trHeight w:val="155"/>
        </w:trPr>
        <w:tc>
          <w:tcPr>
            <w:tcW w:w="2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218"/>
        </w:trPr>
        <w:tc>
          <w:tcPr>
            <w:tcW w:w="2560" w:type="dxa"/>
            <w:vAlign w:val="bottom"/>
          </w:tcPr>
          <w:p>
            <w:pPr>
              <w:ind w:left="20"/>
              <w:spacing w:after="0"/>
              <w:rPr>
                <w:sz w:val="20"/>
                <w:szCs w:val="20"/>
                <w:color w:val="auto"/>
              </w:rPr>
            </w:pPr>
            <w:r>
              <w:rPr>
                <w:rFonts w:ascii="Arial" w:cs="Arial" w:eastAsia="Arial" w:hAnsi="Arial"/>
                <w:sz w:val="17"/>
                <w:szCs w:val="17"/>
                <w:color w:val="auto"/>
              </w:rPr>
              <w:t>December 31, 2022</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0"/>
        </w:trPr>
        <w:tc>
          <w:tcPr>
            <w:tcW w:w="25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3"/>
              </w:rPr>
              <w:t>Total capital to risk-weighted assets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8"/>
        </w:trPr>
        <w:tc>
          <w:tcPr>
            <w:tcW w:w="2560" w:type="dxa"/>
            <w:vAlign w:val="bottom"/>
          </w:tcPr>
          <w:p>
            <w:pPr>
              <w:ind w:left="180"/>
              <w:spacing w:after="0"/>
              <w:rPr>
                <w:sz w:val="20"/>
                <w:szCs w:val="20"/>
                <w:color w:val="auto"/>
              </w:rPr>
            </w:pPr>
            <w:r>
              <w:rPr>
                <w:rFonts w:ascii="Arial" w:cs="Arial" w:eastAsia="Arial" w:hAnsi="Arial"/>
                <w:sz w:val="17"/>
                <w:szCs w:val="17"/>
                <w:color w:val="auto"/>
              </w:rPr>
              <w:t>Consolidated</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ind w:right="474"/>
              <w:spacing w:after="0"/>
              <w:rPr>
                <w:sz w:val="20"/>
                <w:szCs w:val="20"/>
                <w:color w:val="auto"/>
              </w:rPr>
            </w:pPr>
            <w:r>
              <w:rPr>
                <w:rFonts w:ascii="Arial" w:cs="Arial" w:eastAsia="Arial" w:hAnsi="Arial"/>
                <w:sz w:val="17"/>
                <w:szCs w:val="17"/>
                <w:color w:val="auto"/>
              </w:rPr>
              <w:t>536,549</w:t>
            </w:r>
          </w:p>
        </w:tc>
        <w:tc>
          <w:tcPr>
            <w:tcW w:w="1040" w:type="dxa"/>
            <w:vAlign w:val="bottom"/>
          </w:tcPr>
          <w:p>
            <w:pPr>
              <w:jc w:val="right"/>
              <w:spacing w:after="0"/>
              <w:rPr>
                <w:sz w:val="20"/>
                <w:szCs w:val="20"/>
                <w:color w:val="auto"/>
              </w:rPr>
            </w:pPr>
            <w:r>
              <w:rPr>
                <w:rFonts w:ascii="Arial" w:cs="Arial" w:eastAsia="Arial" w:hAnsi="Arial"/>
                <w:sz w:val="17"/>
                <w:szCs w:val="17"/>
                <w:color w:val="auto"/>
              </w:rPr>
              <w:t>13.62 %</w:t>
            </w:r>
          </w:p>
        </w:tc>
        <w:tc>
          <w:tcPr>
            <w:tcW w:w="80" w:type="dxa"/>
            <w:vAlign w:val="bottom"/>
          </w:tcPr>
          <w:p>
            <w:pPr>
              <w:spacing w:after="0"/>
              <w:rPr>
                <w:sz w:val="18"/>
                <w:szCs w:val="18"/>
                <w:color w:val="auto"/>
              </w:rPr>
            </w:pP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680" w:type="dxa"/>
            <w:vAlign w:val="bottom"/>
          </w:tcPr>
          <w:p>
            <w:pPr>
              <w:jc w:val="right"/>
              <w:ind w:right="574"/>
              <w:spacing w:after="0"/>
              <w:rPr>
                <w:sz w:val="20"/>
                <w:szCs w:val="20"/>
                <w:color w:val="auto"/>
              </w:rPr>
            </w:pPr>
            <w:r>
              <w:rPr>
                <w:rFonts w:ascii="Arial" w:cs="Arial" w:eastAsia="Arial" w:hAnsi="Arial"/>
                <w:sz w:val="17"/>
                <w:szCs w:val="17"/>
                <w:color w:val="auto"/>
              </w:rPr>
              <w:t>315,059</w:t>
            </w:r>
          </w:p>
        </w:tc>
        <w:tc>
          <w:tcPr>
            <w:tcW w:w="920" w:type="dxa"/>
            <w:vAlign w:val="bottom"/>
          </w:tcPr>
          <w:p>
            <w:pPr>
              <w:ind w:left="420"/>
              <w:spacing w:after="0"/>
              <w:rPr>
                <w:sz w:val="20"/>
                <w:szCs w:val="20"/>
                <w:color w:val="auto"/>
              </w:rPr>
            </w:pPr>
            <w:r>
              <w:rPr>
                <w:rFonts w:ascii="Arial" w:cs="Arial" w:eastAsia="Arial" w:hAnsi="Arial"/>
                <w:sz w:val="17"/>
                <w:szCs w:val="17"/>
                <w:color w:val="auto"/>
                <w:w w:val="90"/>
              </w:rPr>
              <w:t>8.00 %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ind w:left="800"/>
              <w:spacing w:after="0"/>
              <w:rPr>
                <w:sz w:val="20"/>
                <w:szCs w:val="20"/>
                <w:color w:val="auto"/>
              </w:rPr>
            </w:pPr>
            <w:r>
              <w:rPr>
                <w:rFonts w:ascii="Arial" w:cs="Arial" w:eastAsia="Arial" w:hAnsi="Arial"/>
                <w:sz w:val="17"/>
                <w:szCs w:val="17"/>
                <w:color w:val="auto"/>
              </w:rPr>
              <w:t>NA</w:t>
            </w:r>
          </w:p>
        </w:tc>
        <w:tc>
          <w:tcPr>
            <w:tcW w:w="920" w:type="dxa"/>
            <w:vAlign w:val="bottom"/>
          </w:tcPr>
          <w:p>
            <w:pPr>
              <w:jc w:val="right"/>
              <w:spacing w:after="0"/>
              <w:rPr>
                <w:sz w:val="20"/>
                <w:szCs w:val="20"/>
                <w:color w:val="auto"/>
              </w:rPr>
            </w:pPr>
            <w:r>
              <w:rPr>
                <w:rFonts w:ascii="Arial" w:cs="Arial" w:eastAsia="Arial" w:hAnsi="Arial"/>
                <w:sz w:val="17"/>
                <w:szCs w:val="17"/>
                <w:color w:val="auto"/>
              </w:rPr>
              <w:t>NA</w:t>
            </w:r>
          </w:p>
        </w:tc>
      </w:tr>
      <w:tr>
        <w:trPr>
          <w:trHeight w:val="220"/>
        </w:trPr>
        <w:tc>
          <w:tcPr>
            <w:tcW w:w="2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Independent Bank</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rPr>
              <w:t>480,886</w:t>
            </w: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12.22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574"/>
              <w:spacing w:after="0"/>
              <w:rPr>
                <w:sz w:val="20"/>
                <w:szCs w:val="20"/>
                <w:color w:val="auto"/>
              </w:rPr>
            </w:pPr>
            <w:r>
              <w:rPr>
                <w:rFonts w:ascii="Arial" w:cs="Arial" w:eastAsia="Arial" w:hAnsi="Arial"/>
                <w:sz w:val="17"/>
                <w:szCs w:val="17"/>
                <w:color w:val="auto"/>
              </w:rPr>
              <w:t>314,733</w:t>
            </w:r>
          </w:p>
        </w:tc>
        <w:tc>
          <w:tcPr>
            <w:tcW w:w="9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8.00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6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393,416</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r>
      <w:tr>
        <w:trPr>
          <w:trHeight w:val="155"/>
        </w:trPr>
        <w:tc>
          <w:tcPr>
            <w:tcW w:w="2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1"/>
              </w:rPr>
              <w:t>Tier 1 capital to risk-weighted assets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8"/>
        </w:trPr>
        <w:tc>
          <w:tcPr>
            <w:tcW w:w="2560" w:type="dxa"/>
            <w:vAlign w:val="bottom"/>
          </w:tcPr>
          <w:p>
            <w:pPr>
              <w:ind w:left="180"/>
              <w:spacing w:after="0"/>
              <w:rPr>
                <w:sz w:val="20"/>
                <w:szCs w:val="20"/>
                <w:color w:val="auto"/>
              </w:rPr>
            </w:pPr>
            <w:r>
              <w:rPr>
                <w:rFonts w:ascii="Arial" w:cs="Arial" w:eastAsia="Arial" w:hAnsi="Arial"/>
                <w:sz w:val="17"/>
                <w:szCs w:val="17"/>
                <w:color w:val="auto"/>
              </w:rPr>
              <w:t>Consolidated</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ind w:right="474"/>
              <w:spacing w:after="0"/>
              <w:rPr>
                <w:sz w:val="20"/>
                <w:szCs w:val="20"/>
                <w:color w:val="auto"/>
              </w:rPr>
            </w:pPr>
            <w:r>
              <w:rPr>
                <w:rFonts w:ascii="Arial" w:cs="Arial" w:eastAsia="Arial" w:hAnsi="Arial"/>
                <w:sz w:val="17"/>
                <w:szCs w:val="17"/>
                <w:color w:val="auto"/>
              </w:rPr>
              <w:t>447,299</w:t>
            </w:r>
          </w:p>
        </w:tc>
        <w:tc>
          <w:tcPr>
            <w:tcW w:w="1040" w:type="dxa"/>
            <w:vAlign w:val="bottom"/>
          </w:tcPr>
          <w:p>
            <w:pPr>
              <w:jc w:val="right"/>
              <w:spacing w:after="0"/>
              <w:rPr>
                <w:sz w:val="20"/>
                <w:szCs w:val="20"/>
                <w:color w:val="auto"/>
              </w:rPr>
            </w:pPr>
            <w:r>
              <w:rPr>
                <w:rFonts w:ascii="Arial" w:cs="Arial" w:eastAsia="Arial" w:hAnsi="Arial"/>
                <w:sz w:val="17"/>
                <w:szCs w:val="17"/>
                <w:color w:val="auto"/>
              </w:rPr>
              <w:t>11.36 %</w:t>
            </w:r>
          </w:p>
        </w:tc>
        <w:tc>
          <w:tcPr>
            <w:tcW w:w="80" w:type="dxa"/>
            <w:vAlign w:val="bottom"/>
          </w:tcPr>
          <w:p>
            <w:pPr>
              <w:spacing w:after="0"/>
              <w:rPr>
                <w:sz w:val="18"/>
                <w:szCs w:val="18"/>
                <w:color w:val="auto"/>
              </w:rPr>
            </w:pP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680" w:type="dxa"/>
            <w:vAlign w:val="bottom"/>
          </w:tcPr>
          <w:p>
            <w:pPr>
              <w:jc w:val="right"/>
              <w:ind w:right="574"/>
              <w:spacing w:after="0"/>
              <w:rPr>
                <w:sz w:val="20"/>
                <w:szCs w:val="20"/>
                <w:color w:val="auto"/>
              </w:rPr>
            </w:pPr>
            <w:r>
              <w:rPr>
                <w:rFonts w:ascii="Arial" w:cs="Arial" w:eastAsia="Arial" w:hAnsi="Arial"/>
                <w:sz w:val="17"/>
                <w:szCs w:val="17"/>
                <w:color w:val="auto"/>
              </w:rPr>
              <w:t>236,294</w:t>
            </w:r>
          </w:p>
        </w:tc>
        <w:tc>
          <w:tcPr>
            <w:tcW w:w="920" w:type="dxa"/>
            <w:vAlign w:val="bottom"/>
          </w:tcPr>
          <w:p>
            <w:pPr>
              <w:ind w:left="420"/>
              <w:spacing w:after="0"/>
              <w:rPr>
                <w:sz w:val="20"/>
                <w:szCs w:val="20"/>
                <w:color w:val="auto"/>
              </w:rPr>
            </w:pPr>
            <w:r>
              <w:rPr>
                <w:rFonts w:ascii="Arial" w:cs="Arial" w:eastAsia="Arial" w:hAnsi="Arial"/>
                <w:sz w:val="17"/>
                <w:szCs w:val="17"/>
                <w:color w:val="auto"/>
                <w:w w:val="90"/>
              </w:rPr>
              <w:t>6.00 %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ind w:left="800"/>
              <w:spacing w:after="0"/>
              <w:rPr>
                <w:sz w:val="20"/>
                <w:szCs w:val="20"/>
                <w:color w:val="auto"/>
              </w:rPr>
            </w:pPr>
            <w:r>
              <w:rPr>
                <w:rFonts w:ascii="Arial" w:cs="Arial" w:eastAsia="Arial" w:hAnsi="Arial"/>
                <w:sz w:val="17"/>
                <w:szCs w:val="17"/>
                <w:color w:val="auto"/>
              </w:rPr>
              <w:t>NA</w:t>
            </w:r>
          </w:p>
        </w:tc>
        <w:tc>
          <w:tcPr>
            <w:tcW w:w="920" w:type="dxa"/>
            <w:vAlign w:val="bottom"/>
          </w:tcPr>
          <w:p>
            <w:pPr>
              <w:jc w:val="right"/>
              <w:spacing w:after="0"/>
              <w:rPr>
                <w:sz w:val="20"/>
                <w:szCs w:val="20"/>
                <w:color w:val="auto"/>
              </w:rPr>
            </w:pPr>
            <w:r>
              <w:rPr>
                <w:rFonts w:ascii="Arial" w:cs="Arial" w:eastAsia="Arial" w:hAnsi="Arial"/>
                <w:sz w:val="17"/>
                <w:szCs w:val="17"/>
                <w:color w:val="auto"/>
              </w:rPr>
              <w:t>NA</w:t>
            </w:r>
          </w:p>
        </w:tc>
      </w:tr>
      <w:tr>
        <w:trPr>
          <w:trHeight w:val="220"/>
        </w:trPr>
        <w:tc>
          <w:tcPr>
            <w:tcW w:w="2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Independent Bank</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rPr>
              <w:t>431,685</w:t>
            </w: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10.97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574"/>
              <w:spacing w:after="0"/>
              <w:rPr>
                <w:sz w:val="20"/>
                <w:szCs w:val="20"/>
                <w:color w:val="auto"/>
              </w:rPr>
            </w:pPr>
            <w:r>
              <w:rPr>
                <w:rFonts w:ascii="Arial" w:cs="Arial" w:eastAsia="Arial" w:hAnsi="Arial"/>
                <w:sz w:val="17"/>
                <w:szCs w:val="17"/>
                <w:color w:val="auto"/>
              </w:rPr>
              <w:t>236,049</w:t>
            </w:r>
          </w:p>
        </w:tc>
        <w:tc>
          <w:tcPr>
            <w:tcW w:w="9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6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314,733</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8.00 %</w:t>
            </w:r>
          </w:p>
        </w:tc>
      </w:tr>
      <w:tr>
        <w:trPr>
          <w:trHeight w:val="155"/>
        </w:trPr>
        <w:tc>
          <w:tcPr>
            <w:tcW w:w="2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8"/>
        </w:trPr>
        <w:tc>
          <w:tcPr>
            <w:tcW w:w="25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Common equity tier 1 capital to</w:t>
            </w: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32"/>
        </w:trPr>
        <w:tc>
          <w:tcPr>
            <w:tcW w:w="2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risk-weighted assets</w:t>
            </w:r>
          </w:p>
        </w:tc>
        <w:tc>
          <w:tcPr>
            <w:tcW w:w="2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18"/>
        </w:trPr>
        <w:tc>
          <w:tcPr>
            <w:tcW w:w="2560" w:type="dxa"/>
            <w:vAlign w:val="bottom"/>
          </w:tcPr>
          <w:p>
            <w:pPr>
              <w:ind w:left="180"/>
              <w:spacing w:after="0"/>
              <w:rPr>
                <w:sz w:val="20"/>
                <w:szCs w:val="20"/>
                <w:color w:val="auto"/>
              </w:rPr>
            </w:pPr>
            <w:r>
              <w:rPr>
                <w:rFonts w:ascii="Arial" w:cs="Arial" w:eastAsia="Arial" w:hAnsi="Arial"/>
                <w:sz w:val="17"/>
                <w:szCs w:val="17"/>
                <w:color w:val="auto"/>
              </w:rPr>
              <w:t>Consolidated</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ind w:right="474"/>
              <w:spacing w:after="0"/>
              <w:rPr>
                <w:sz w:val="20"/>
                <w:szCs w:val="20"/>
                <w:color w:val="auto"/>
              </w:rPr>
            </w:pPr>
            <w:r>
              <w:rPr>
                <w:rFonts w:ascii="Arial" w:cs="Arial" w:eastAsia="Arial" w:hAnsi="Arial"/>
                <w:sz w:val="17"/>
                <w:szCs w:val="17"/>
                <w:color w:val="auto"/>
              </w:rPr>
              <w:t>408,863</w:t>
            </w:r>
          </w:p>
        </w:tc>
        <w:tc>
          <w:tcPr>
            <w:tcW w:w="1040" w:type="dxa"/>
            <w:vAlign w:val="bottom"/>
          </w:tcPr>
          <w:p>
            <w:pPr>
              <w:jc w:val="right"/>
              <w:spacing w:after="0"/>
              <w:rPr>
                <w:sz w:val="20"/>
                <w:szCs w:val="20"/>
                <w:color w:val="auto"/>
              </w:rPr>
            </w:pPr>
            <w:r>
              <w:rPr>
                <w:rFonts w:ascii="Arial" w:cs="Arial" w:eastAsia="Arial" w:hAnsi="Arial"/>
                <w:sz w:val="17"/>
                <w:szCs w:val="17"/>
                <w:color w:val="auto"/>
              </w:rPr>
              <w:t>10.38 %</w:t>
            </w:r>
          </w:p>
        </w:tc>
        <w:tc>
          <w:tcPr>
            <w:tcW w:w="80" w:type="dxa"/>
            <w:vAlign w:val="bottom"/>
          </w:tcPr>
          <w:p>
            <w:pPr>
              <w:spacing w:after="0"/>
              <w:rPr>
                <w:sz w:val="18"/>
                <w:szCs w:val="18"/>
                <w:color w:val="auto"/>
              </w:rPr>
            </w:pP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680" w:type="dxa"/>
            <w:vAlign w:val="bottom"/>
          </w:tcPr>
          <w:p>
            <w:pPr>
              <w:jc w:val="right"/>
              <w:ind w:right="574"/>
              <w:spacing w:after="0"/>
              <w:rPr>
                <w:sz w:val="20"/>
                <w:szCs w:val="20"/>
                <w:color w:val="auto"/>
              </w:rPr>
            </w:pPr>
            <w:r>
              <w:rPr>
                <w:rFonts w:ascii="Arial" w:cs="Arial" w:eastAsia="Arial" w:hAnsi="Arial"/>
                <w:sz w:val="17"/>
                <w:szCs w:val="17"/>
                <w:color w:val="auto"/>
              </w:rPr>
              <w:t>177,221</w:t>
            </w:r>
          </w:p>
        </w:tc>
        <w:tc>
          <w:tcPr>
            <w:tcW w:w="920" w:type="dxa"/>
            <w:vAlign w:val="bottom"/>
          </w:tcPr>
          <w:p>
            <w:pPr>
              <w:ind w:left="420"/>
              <w:spacing w:after="0"/>
              <w:rPr>
                <w:sz w:val="20"/>
                <w:szCs w:val="20"/>
                <w:color w:val="auto"/>
              </w:rPr>
            </w:pPr>
            <w:r>
              <w:rPr>
                <w:rFonts w:ascii="Arial" w:cs="Arial" w:eastAsia="Arial" w:hAnsi="Arial"/>
                <w:sz w:val="17"/>
                <w:szCs w:val="17"/>
                <w:color w:val="auto"/>
                <w:w w:val="90"/>
              </w:rPr>
              <w:t>4.50 %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ind w:left="800"/>
              <w:spacing w:after="0"/>
              <w:rPr>
                <w:sz w:val="20"/>
                <w:szCs w:val="20"/>
                <w:color w:val="auto"/>
              </w:rPr>
            </w:pPr>
            <w:r>
              <w:rPr>
                <w:rFonts w:ascii="Arial" w:cs="Arial" w:eastAsia="Arial" w:hAnsi="Arial"/>
                <w:sz w:val="17"/>
                <w:szCs w:val="17"/>
                <w:color w:val="auto"/>
              </w:rPr>
              <w:t>NA</w:t>
            </w:r>
          </w:p>
        </w:tc>
        <w:tc>
          <w:tcPr>
            <w:tcW w:w="920" w:type="dxa"/>
            <w:vAlign w:val="bottom"/>
          </w:tcPr>
          <w:p>
            <w:pPr>
              <w:jc w:val="right"/>
              <w:spacing w:after="0"/>
              <w:rPr>
                <w:sz w:val="20"/>
                <w:szCs w:val="20"/>
                <w:color w:val="auto"/>
              </w:rPr>
            </w:pPr>
            <w:r>
              <w:rPr>
                <w:rFonts w:ascii="Arial" w:cs="Arial" w:eastAsia="Arial" w:hAnsi="Arial"/>
                <w:sz w:val="17"/>
                <w:szCs w:val="17"/>
                <w:color w:val="auto"/>
              </w:rPr>
              <w:t>NA</w:t>
            </w:r>
          </w:p>
        </w:tc>
      </w:tr>
      <w:tr>
        <w:trPr>
          <w:trHeight w:val="220"/>
        </w:trPr>
        <w:tc>
          <w:tcPr>
            <w:tcW w:w="2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Independent Bank</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rPr>
              <w:t>431,685</w:t>
            </w: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10.97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574"/>
              <w:spacing w:after="0"/>
              <w:rPr>
                <w:sz w:val="20"/>
                <w:szCs w:val="20"/>
                <w:color w:val="auto"/>
              </w:rPr>
            </w:pPr>
            <w:r>
              <w:rPr>
                <w:rFonts w:ascii="Arial" w:cs="Arial" w:eastAsia="Arial" w:hAnsi="Arial"/>
                <w:sz w:val="17"/>
                <w:szCs w:val="17"/>
                <w:color w:val="auto"/>
              </w:rPr>
              <w:t>177,037</w:t>
            </w:r>
          </w:p>
        </w:tc>
        <w:tc>
          <w:tcPr>
            <w:tcW w:w="9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4.50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6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255,720</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6.50 %</w:t>
            </w:r>
          </w:p>
        </w:tc>
      </w:tr>
      <w:tr>
        <w:trPr>
          <w:trHeight w:val="155"/>
        </w:trPr>
        <w:tc>
          <w:tcPr>
            <w:tcW w:w="2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Tier 1 capital to average assets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8"/>
        </w:trPr>
        <w:tc>
          <w:tcPr>
            <w:tcW w:w="2560" w:type="dxa"/>
            <w:vAlign w:val="bottom"/>
          </w:tcPr>
          <w:p>
            <w:pPr>
              <w:ind w:left="180"/>
              <w:spacing w:after="0"/>
              <w:rPr>
                <w:sz w:val="20"/>
                <w:szCs w:val="20"/>
                <w:color w:val="auto"/>
              </w:rPr>
            </w:pPr>
            <w:r>
              <w:rPr>
                <w:rFonts w:ascii="Arial" w:cs="Arial" w:eastAsia="Arial" w:hAnsi="Arial"/>
                <w:sz w:val="17"/>
                <w:szCs w:val="17"/>
                <w:color w:val="auto"/>
              </w:rPr>
              <w:t>Consolidated</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ind w:right="474"/>
              <w:spacing w:after="0"/>
              <w:rPr>
                <w:sz w:val="20"/>
                <w:szCs w:val="20"/>
                <w:color w:val="auto"/>
              </w:rPr>
            </w:pPr>
            <w:r>
              <w:rPr>
                <w:rFonts w:ascii="Arial" w:cs="Arial" w:eastAsia="Arial" w:hAnsi="Arial"/>
                <w:sz w:val="17"/>
                <w:szCs w:val="17"/>
                <w:color w:val="auto"/>
              </w:rPr>
              <w:t>447,299</w:t>
            </w:r>
          </w:p>
        </w:tc>
        <w:tc>
          <w:tcPr>
            <w:tcW w:w="1040" w:type="dxa"/>
            <w:vAlign w:val="bottom"/>
          </w:tcPr>
          <w:p>
            <w:pPr>
              <w:jc w:val="right"/>
              <w:spacing w:after="0"/>
              <w:rPr>
                <w:sz w:val="20"/>
                <w:szCs w:val="20"/>
                <w:color w:val="auto"/>
              </w:rPr>
            </w:pPr>
            <w:r>
              <w:rPr>
                <w:rFonts w:ascii="Arial" w:cs="Arial" w:eastAsia="Arial" w:hAnsi="Arial"/>
                <w:sz w:val="17"/>
                <w:szCs w:val="17"/>
                <w:color w:val="auto"/>
              </w:rPr>
              <w:t>8.86 %</w:t>
            </w:r>
          </w:p>
        </w:tc>
        <w:tc>
          <w:tcPr>
            <w:tcW w:w="80" w:type="dxa"/>
            <w:vAlign w:val="bottom"/>
          </w:tcPr>
          <w:p>
            <w:pPr>
              <w:spacing w:after="0"/>
              <w:rPr>
                <w:sz w:val="18"/>
                <w:szCs w:val="18"/>
                <w:color w:val="auto"/>
              </w:rPr>
            </w:pP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680" w:type="dxa"/>
            <w:vAlign w:val="bottom"/>
          </w:tcPr>
          <w:p>
            <w:pPr>
              <w:jc w:val="right"/>
              <w:ind w:right="574"/>
              <w:spacing w:after="0"/>
              <w:rPr>
                <w:sz w:val="20"/>
                <w:szCs w:val="20"/>
                <w:color w:val="auto"/>
              </w:rPr>
            </w:pPr>
            <w:r>
              <w:rPr>
                <w:rFonts w:ascii="Arial" w:cs="Arial" w:eastAsia="Arial" w:hAnsi="Arial"/>
                <w:sz w:val="17"/>
                <w:szCs w:val="17"/>
                <w:color w:val="auto"/>
              </w:rPr>
              <w:t>201,875</w:t>
            </w:r>
          </w:p>
        </w:tc>
        <w:tc>
          <w:tcPr>
            <w:tcW w:w="920" w:type="dxa"/>
            <w:vAlign w:val="bottom"/>
          </w:tcPr>
          <w:p>
            <w:pPr>
              <w:ind w:left="420"/>
              <w:spacing w:after="0"/>
              <w:rPr>
                <w:sz w:val="20"/>
                <w:szCs w:val="20"/>
                <w:color w:val="auto"/>
              </w:rPr>
            </w:pPr>
            <w:r>
              <w:rPr>
                <w:rFonts w:ascii="Arial" w:cs="Arial" w:eastAsia="Arial" w:hAnsi="Arial"/>
                <w:sz w:val="17"/>
                <w:szCs w:val="17"/>
                <w:color w:val="auto"/>
                <w:w w:val="90"/>
              </w:rPr>
              <w:t>4.00 %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ind w:left="800"/>
              <w:spacing w:after="0"/>
              <w:rPr>
                <w:sz w:val="20"/>
                <w:szCs w:val="20"/>
                <w:color w:val="auto"/>
              </w:rPr>
            </w:pPr>
            <w:r>
              <w:rPr>
                <w:rFonts w:ascii="Arial" w:cs="Arial" w:eastAsia="Arial" w:hAnsi="Arial"/>
                <w:sz w:val="17"/>
                <w:szCs w:val="17"/>
                <w:color w:val="auto"/>
              </w:rPr>
              <w:t>NA</w:t>
            </w:r>
          </w:p>
        </w:tc>
        <w:tc>
          <w:tcPr>
            <w:tcW w:w="920" w:type="dxa"/>
            <w:vAlign w:val="bottom"/>
          </w:tcPr>
          <w:p>
            <w:pPr>
              <w:jc w:val="right"/>
              <w:spacing w:after="0"/>
              <w:rPr>
                <w:sz w:val="20"/>
                <w:szCs w:val="20"/>
                <w:color w:val="auto"/>
              </w:rPr>
            </w:pPr>
            <w:r>
              <w:rPr>
                <w:rFonts w:ascii="Arial" w:cs="Arial" w:eastAsia="Arial" w:hAnsi="Arial"/>
                <w:sz w:val="17"/>
                <w:szCs w:val="17"/>
                <w:color w:val="auto"/>
              </w:rPr>
              <w:t>NA</w:t>
            </w:r>
          </w:p>
        </w:tc>
      </w:tr>
      <w:tr>
        <w:trPr>
          <w:trHeight w:val="220"/>
        </w:trPr>
        <w:tc>
          <w:tcPr>
            <w:tcW w:w="2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Independent Bank</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rPr>
              <w:t>431,685</w:t>
            </w: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8.56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574"/>
              <w:spacing w:after="0"/>
              <w:rPr>
                <w:sz w:val="20"/>
                <w:szCs w:val="20"/>
                <w:color w:val="auto"/>
              </w:rPr>
            </w:pPr>
            <w:r>
              <w:rPr>
                <w:rFonts w:ascii="Arial" w:cs="Arial" w:eastAsia="Arial" w:hAnsi="Arial"/>
                <w:sz w:val="17"/>
                <w:szCs w:val="17"/>
                <w:color w:val="auto"/>
              </w:rPr>
              <w:t>201,820</w:t>
            </w:r>
          </w:p>
        </w:tc>
        <w:tc>
          <w:tcPr>
            <w:tcW w:w="9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4.00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6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252,275</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5.00 %</w:t>
            </w: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w:t>
      </w:r>
    </w:p>
    <w:p>
      <w:pPr>
        <w:spacing w:after="0" w:line="62" w:lineRule="exact"/>
        <w:rPr>
          <w:sz w:val="20"/>
          <w:szCs w:val="20"/>
          <w:color w:val="auto"/>
        </w:rPr>
      </w:pPr>
    </w:p>
    <w:p>
      <w:pPr>
        <w:ind w:right="2860" w:firstLine="20"/>
        <w:spacing w:after="0" w:line="406" w:lineRule="auto"/>
        <w:tabs>
          <w:tab w:leader="none" w:pos="584"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These ratios do not reflect a capital conservation buffer of 2.50% at September 30, 2023 and December 31, 2022. NA - Not applicable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40" w:type="dxa"/>
            <w:vAlign w:val="bottom"/>
          </w:tcPr>
          <w:p>
            <w:pPr>
              <w:spacing w:after="0"/>
              <w:rPr>
                <w:sz w:val="20"/>
                <w:szCs w:val="20"/>
                <w:color w:val="auto"/>
              </w:rPr>
            </w:pPr>
            <w:r>
              <w:rPr>
                <w:rFonts w:ascii="Arial" w:cs="Arial" w:eastAsia="Arial" w:hAnsi="Arial"/>
                <w:sz w:val="17"/>
                <w:szCs w:val="17"/>
                <w:color w:val="auto"/>
              </w:rPr>
              <w:t>The components of our regulatory capital are as follows: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426"/>
        </w:trPr>
        <w:tc>
          <w:tcPr>
            <w:tcW w:w="50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994"/>
              <w:spacing w:after="0"/>
              <w:rPr>
                <w:sz w:val="20"/>
                <w:szCs w:val="20"/>
                <w:color w:val="auto"/>
              </w:rPr>
            </w:pPr>
            <w:r>
              <w:rPr>
                <w:rFonts w:ascii="Arial" w:cs="Arial" w:eastAsia="Arial" w:hAnsi="Arial"/>
                <w:sz w:val="17"/>
                <w:szCs w:val="17"/>
                <w:color w:val="auto"/>
              </w:rPr>
              <w:t>Consolidated</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7"/>
                <w:szCs w:val="17"/>
                <w:color w:val="auto"/>
              </w:rPr>
              <w:t>Independent Bank</w:t>
            </w:r>
          </w:p>
        </w:tc>
      </w:tr>
      <w:tr>
        <w:trPr>
          <w:trHeight w:val="162"/>
        </w:trPr>
        <w:tc>
          <w:tcPr>
            <w:tcW w:w="5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ind w:left="60"/>
              <w:spacing w:after="0" w:line="162" w:lineRule="exact"/>
              <w:rPr>
                <w:sz w:val="20"/>
                <w:szCs w:val="20"/>
                <w:color w:val="auto"/>
              </w:rPr>
            </w:pPr>
            <w:r>
              <w:rPr>
                <w:rFonts w:ascii="Arial" w:cs="Arial" w:eastAsia="Arial" w:hAnsi="Arial"/>
                <w:sz w:val="17"/>
                <w:szCs w:val="17"/>
                <w:color w:val="auto"/>
              </w:rPr>
              <w:t>September 30,</w:t>
            </w:r>
          </w:p>
        </w:tc>
        <w:tc>
          <w:tcPr>
            <w:tcW w:w="180" w:type="dxa"/>
            <w:vAlign w:val="bottom"/>
          </w:tcPr>
          <w:p>
            <w:pPr>
              <w:spacing w:after="0"/>
              <w:rPr>
                <w:sz w:val="14"/>
                <w:szCs w:val="14"/>
                <w:color w:val="auto"/>
              </w:rPr>
            </w:pPr>
          </w:p>
        </w:tc>
        <w:tc>
          <w:tcPr>
            <w:tcW w:w="1380" w:type="dxa"/>
            <w:vAlign w:val="bottom"/>
            <w:gridSpan w:val="2"/>
          </w:tcPr>
          <w:p>
            <w:pPr>
              <w:ind w:left="80"/>
              <w:spacing w:after="0" w:line="162" w:lineRule="exact"/>
              <w:rPr>
                <w:sz w:val="20"/>
                <w:szCs w:val="20"/>
                <w:color w:val="auto"/>
              </w:rPr>
            </w:pPr>
            <w:r>
              <w:rPr>
                <w:rFonts w:ascii="Arial" w:cs="Arial" w:eastAsia="Arial" w:hAnsi="Arial"/>
                <w:sz w:val="17"/>
                <w:szCs w:val="17"/>
                <w:color w:val="auto"/>
              </w:rPr>
              <w:t>December 31,</w:t>
            </w:r>
          </w:p>
        </w:tc>
        <w:tc>
          <w:tcPr>
            <w:tcW w:w="180" w:type="dxa"/>
            <w:vAlign w:val="bottom"/>
          </w:tcPr>
          <w:p>
            <w:pPr>
              <w:spacing w:after="0"/>
              <w:rPr>
                <w:sz w:val="14"/>
                <w:szCs w:val="14"/>
                <w:color w:val="auto"/>
              </w:rPr>
            </w:pPr>
          </w:p>
        </w:tc>
        <w:tc>
          <w:tcPr>
            <w:tcW w:w="1400" w:type="dxa"/>
            <w:vAlign w:val="bottom"/>
            <w:gridSpan w:val="2"/>
          </w:tcPr>
          <w:p>
            <w:pPr>
              <w:ind w:left="80"/>
              <w:spacing w:after="0" w:line="162" w:lineRule="exact"/>
              <w:rPr>
                <w:sz w:val="20"/>
                <w:szCs w:val="20"/>
                <w:color w:val="auto"/>
              </w:rPr>
            </w:pPr>
            <w:r>
              <w:rPr>
                <w:rFonts w:ascii="Arial" w:cs="Arial" w:eastAsia="Arial" w:hAnsi="Arial"/>
                <w:sz w:val="17"/>
                <w:szCs w:val="17"/>
                <w:color w:val="auto"/>
              </w:rPr>
              <w:t>September 30,</w:t>
            </w:r>
          </w:p>
        </w:tc>
        <w:tc>
          <w:tcPr>
            <w:tcW w:w="180" w:type="dxa"/>
            <w:vAlign w:val="bottom"/>
          </w:tcPr>
          <w:p>
            <w:pPr>
              <w:spacing w:after="0"/>
              <w:rPr>
                <w:sz w:val="14"/>
                <w:szCs w:val="14"/>
                <w:color w:val="auto"/>
              </w:rPr>
            </w:pPr>
          </w:p>
        </w:tc>
        <w:tc>
          <w:tcPr>
            <w:tcW w:w="1300" w:type="dxa"/>
            <w:vAlign w:val="bottom"/>
          </w:tcPr>
          <w:p>
            <w:pPr>
              <w:jc w:val="right"/>
              <w:ind w:right="174"/>
              <w:spacing w:after="0" w:line="162" w:lineRule="exact"/>
              <w:rPr>
                <w:sz w:val="20"/>
                <w:szCs w:val="20"/>
                <w:color w:val="auto"/>
              </w:rPr>
            </w:pPr>
            <w:r>
              <w:rPr>
                <w:rFonts w:ascii="Arial" w:cs="Arial" w:eastAsia="Arial" w:hAnsi="Arial"/>
                <w:sz w:val="17"/>
                <w:szCs w:val="17"/>
                <w:color w:val="auto"/>
                <w:w w:val="95"/>
              </w:rPr>
              <w:t>December 31,</w:t>
            </w:r>
          </w:p>
        </w:tc>
      </w:tr>
      <w:tr>
        <w:trPr>
          <w:trHeight w:val="224"/>
        </w:trPr>
        <w:tc>
          <w:tcPr>
            <w:tcW w:w="5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2023</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2022</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2023</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2022</w:t>
            </w:r>
          </w:p>
        </w:tc>
      </w:tr>
      <w:tr>
        <w:trPr>
          <w:trHeight w:val="218"/>
        </w:trPr>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5"/>
          </w:tcPr>
          <w:p>
            <w:pPr>
              <w:ind w:left="860"/>
              <w:spacing w:after="0"/>
              <w:rPr>
                <w:sz w:val="20"/>
                <w:szCs w:val="20"/>
                <w:color w:val="auto"/>
              </w:rPr>
            </w:pPr>
            <w:r>
              <w:rPr>
                <w:rFonts w:ascii="Arial" w:cs="Arial" w:eastAsia="Arial" w:hAnsi="Arial"/>
                <w:sz w:val="17"/>
                <w:szCs w:val="17"/>
                <w:color w:val="auto"/>
              </w:rPr>
              <w:t>(In thousands)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6"/>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shareholders'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374,998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347,596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401,423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370,418</w:t>
            </w:r>
          </w:p>
        </w:tc>
      </w:tr>
      <w:tr>
        <w:trPr>
          <w:trHeight w:val="218"/>
        </w:trPr>
        <w:tc>
          <w:tcPr>
            <w:tcW w:w="5040" w:type="dxa"/>
            <w:vAlign w:val="bottom"/>
          </w:tcPr>
          <w:p>
            <w:pPr>
              <w:ind w:left="20"/>
              <w:spacing w:after="0"/>
              <w:rPr>
                <w:sz w:val="20"/>
                <w:szCs w:val="20"/>
                <w:color w:val="auto"/>
              </w:rPr>
            </w:pPr>
            <w:r>
              <w:rPr>
                <w:rFonts w:ascii="Arial" w:cs="Arial" w:eastAsia="Arial" w:hAnsi="Arial"/>
                <w:sz w:val="17"/>
                <w:szCs w:val="17"/>
                <w:color w:val="auto"/>
              </w:rPr>
              <w:t>Add (deduct)</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69"/>
        </w:trPr>
        <w:tc>
          <w:tcPr>
            <w:tcW w:w="5040" w:type="dxa"/>
            <w:vAlign w:val="bottom"/>
            <w:shd w:val="clear" w:color="auto" w:fill="CCEEFF"/>
          </w:tcPr>
          <w:p>
            <w:pPr>
              <w:ind w:left="320"/>
              <w:spacing w:after="0" w:line="169" w:lineRule="exact"/>
              <w:rPr>
                <w:sz w:val="20"/>
                <w:szCs w:val="20"/>
                <w:color w:val="auto"/>
              </w:rPr>
            </w:pPr>
            <w:r>
              <w:rPr>
                <w:rFonts w:ascii="Arial" w:cs="Arial" w:eastAsia="Arial" w:hAnsi="Arial"/>
                <w:sz w:val="17"/>
                <w:szCs w:val="17"/>
                <w:color w:val="auto"/>
                <w:w w:val="99"/>
              </w:rPr>
              <w:t>Accumulated other comprehensive (income) loss for regulatory</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232"/>
        </w:trPr>
        <w:tc>
          <w:tcPr>
            <w:tcW w:w="50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purposes</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86,506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86,966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86,506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86,966</w:t>
            </w:r>
          </w:p>
        </w:tc>
      </w:tr>
      <w:tr>
        <w:trPr>
          <w:trHeight w:val="244"/>
        </w:trPr>
        <w:tc>
          <w:tcPr>
            <w:tcW w:w="5040" w:type="dxa"/>
            <w:vAlign w:val="bottom"/>
          </w:tcPr>
          <w:p>
            <w:pPr>
              <w:ind w:left="320"/>
              <w:spacing w:after="0"/>
              <w:rPr>
                <w:sz w:val="20"/>
                <w:szCs w:val="20"/>
                <w:color w:val="auto"/>
              </w:rPr>
            </w:pPr>
            <w:r>
              <w:rPr>
                <w:rFonts w:ascii="Arial" w:cs="Arial" w:eastAsia="Arial" w:hAnsi="Arial"/>
                <w:sz w:val="17"/>
                <w:szCs w:val="17"/>
                <w:color w:val="auto"/>
              </w:rPr>
              <w:t>Goodwill and other intangibles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(30,441)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(30,851)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(30,441)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(30,851)</w:t>
            </w:r>
          </w:p>
        </w:tc>
      </w:tr>
      <w:tr>
        <w:trPr>
          <w:trHeight w:val="246"/>
        </w:trPr>
        <w:tc>
          <w:tcPr>
            <w:tcW w:w="5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CECL (1)</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5,152</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2,576</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5,152</w:t>
            </w:r>
          </w:p>
        </w:tc>
      </w:tr>
      <w:tr>
        <w:trPr>
          <w:trHeight w:val="211"/>
        </w:trPr>
        <w:tc>
          <w:tcPr>
            <w:tcW w:w="5040" w:type="dxa"/>
            <w:vAlign w:val="bottom"/>
          </w:tcPr>
          <w:p>
            <w:pPr>
              <w:ind w:left="480"/>
              <w:spacing w:after="0"/>
              <w:rPr>
                <w:sz w:val="20"/>
                <w:szCs w:val="20"/>
                <w:color w:val="auto"/>
              </w:rPr>
            </w:pPr>
            <w:r>
              <w:rPr>
                <w:rFonts w:ascii="Arial" w:cs="Arial" w:eastAsia="Arial" w:hAnsi="Arial"/>
                <w:sz w:val="17"/>
                <w:szCs w:val="17"/>
                <w:color w:val="auto"/>
              </w:rPr>
              <w:t>Common equity tier 1 capital</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433,639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408,863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460,064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431,685</w:t>
            </w:r>
          </w:p>
        </w:tc>
      </w:tr>
      <w:tr>
        <w:trPr>
          <w:trHeight w:val="246"/>
        </w:trPr>
        <w:tc>
          <w:tcPr>
            <w:tcW w:w="5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Qualifying trust preferred securities</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38,487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38,436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5040" w:type="dxa"/>
            <w:vAlign w:val="bottom"/>
          </w:tcPr>
          <w:p>
            <w:pPr>
              <w:ind w:left="480"/>
              <w:spacing w:after="0"/>
              <w:rPr>
                <w:sz w:val="20"/>
                <w:szCs w:val="20"/>
                <w:color w:val="auto"/>
              </w:rPr>
            </w:pPr>
            <w:r>
              <w:rPr>
                <w:rFonts w:ascii="Arial" w:cs="Arial" w:eastAsia="Arial" w:hAnsi="Arial"/>
                <w:sz w:val="17"/>
                <w:szCs w:val="17"/>
                <w:color w:val="auto"/>
              </w:rPr>
              <w:t>Tier 1 capital</w:t>
            </w: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472,126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447,299</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460,064</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431,685</w:t>
            </w:r>
          </w:p>
        </w:tc>
      </w:tr>
      <w:tr>
        <w:trPr>
          <w:trHeight w:val="246"/>
        </w:trPr>
        <w:tc>
          <w:tcPr>
            <w:tcW w:w="5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Subordinated debt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68"/>
        </w:trPr>
        <w:tc>
          <w:tcPr>
            <w:tcW w:w="5040" w:type="dxa"/>
            <w:vAlign w:val="bottom"/>
          </w:tcPr>
          <w:p>
            <w:pPr>
              <w:ind w:left="320"/>
              <w:spacing w:after="0" w:line="168" w:lineRule="exact"/>
              <w:rPr>
                <w:sz w:val="20"/>
                <w:szCs w:val="20"/>
                <w:color w:val="auto"/>
              </w:rPr>
            </w:pPr>
            <w:r>
              <w:rPr>
                <w:rFonts w:ascii="Arial" w:cs="Arial" w:eastAsia="Arial" w:hAnsi="Arial"/>
                <w:sz w:val="17"/>
                <w:szCs w:val="17"/>
                <w:color w:val="auto"/>
                <w:w w:val="99"/>
              </w:rPr>
              <w:t>Allowance for credit losses and allowance for unfunded lending</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31"/>
        </w:trPr>
        <w:tc>
          <w:tcPr>
            <w:tcW w:w="5040" w:type="dxa"/>
            <w:vAlign w:val="bottom"/>
            <w:tcBorders>
              <w:bottom w:val="single" w:sz="8" w:color="CCEEFF"/>
            </w:tcBorders>
          </w:tcPr>
          <w:p>
            <w:pPr>
              <w:ind w:left="480"/>
              <w:spacing w:after="0"/>
              <w:rPr>
                <w:sz w:val="20"/>
                <w:szCs w:val="20"/>
                <w:color w:val="auto"/>
              </w:rPr>
            </w:pPr>
            <w:r>
              <w:rPr>
                <w:rFonts w:ascii="Arial" w:cs="Arial" w:eastAsia="Arial" w:hAnsi="Arial"/>
                <w:sz w:val="17"/>
                <w:szCs w:val="17"/>
                <w:color w:val="auto"/>
              </w:rPr>
              <w:t>commitments limited to 1.25% of total risk-weighted assets</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51,989</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49,250</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51,938</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49,201</w:t>
            </w:r>
          </w:p>
        </w:tc>
      </w:tr>
      <w:tr>
        <w:trPr>
          <w:trHeight w:val="238"/>
        </w:trPr>
        <w:tc>
          <w:tcPr>
            <w:tcW w:w="5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Total risk-based capital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564,115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536,549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512,002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480,886</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580" w:hanging="560"/>
        <w:spacing w:after="0"/>
        <w:tabs>
          <w:tab w:leader="none" w:pos="5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We elected the three year CECL transition method for regulatory purposes.</w:t>
      </w:r>
    </w:p>
    <w:p>
      <w:pPr>
        <w:spacing w:after="0" w:line="281" w:lineRule="exact"/>
        <w:rPr>
          <w:rFonts w:ascii="Arial" w:cs="Arial" w:eastAsia="Arial" w:hAnsi="Arial"/>
          <w:sz w:val="17"/>
          <w:szCs w:val="17"/>
          <w:color w:val="auto"/>
        </w:rPr>
      </w:pPr>
    </w:p>
    <w:p>
      <w:pPr>
        <w:ind w:left="380" w:hanging="377"/>
        <w:spacing w:after="0"/>
        <w:tabs>
          <w:tab w:leader="none" w:pos="380"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Fair Value Disclosures</w:t>
      </w:r>
    </w:p>
    <w:p>
      <w:pPr>
        <w:spacing w:after="0" w:line="17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FASB ASC topic 820 also establishes a fair value hierarchy which requires an entity to maximize the use of observable inputs and minimize the use of unobservable inputs when measuring fair value.</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The standard describes three levels of inputs that may be used to measure fair value:</w:t>
      </w:r>
    </w:p>
    <w:p>
      <w:pPr>
        <w:spacing w:after="0" w:line="191" w:lineRule="exact"/>
        <w:rPr>
          <w:sz w:val="20"/>
          <w:szCs w:val="20"/>
          <w:color w:val="auto"/>
        </w:rPr>
      </w:pPr>
    </w:p>
    <w:p>
      <w:pPr>
        <w:jc w:val="both"/>
        <w:ind w:left="620"/>
        <w:spacing w:after="0" w:line="266" w:lineRule="auto"/>
        <w:rPr>
          <w:sz w:val="20"/>
          <w:szCs w:val="20"/>
          <w:color w:val="auto"/>
        </w:rPr>
      </w:pPr>
      <w:r>
        <w:rPr>
          <w:rFonts w:ascii="Arial" w:cs="Arial" w:eastAsia="Arial" w:hAnsi="Arial"/>
          <w:sz w:val="17"/>
          <w:szCs w:val="17"/>
          <w:color w:val="auto"/>
        </w:rPr>
        <w:t>Level 1: Valuation is based upon quoted prices for identical instruments traded in active markets. Level 1 instruments include securities traded on active exchange markets, such as the New York Stock Exchange, as well as U.S. Treasury securities that are traded by dealers or brokers in active over-the-counter markets.</w:t>
      </w:r>
    </w:p>
    <w:p>
      <w:pPr>
        <w:spacing w:after="0" w:line="136" w:lineRule="exact"/>
        <w:rPr>
          <w:sz w:val="20"/>
          <w:szCs w:val="20"/>
          <w:color w:val="auto"/>
        </w:rPr>
      </w:pPr>
    </w:p>
    <w:p>
      <w:pPr>
        <w:jc w:val="both"/>
        <w:ind w:left="620"/>
        <w:spacing w:after="0" w:line="266" w:lineRule="auto"/>
        <w:rPr>
          <w:sz w:val="20"/>
          <w:szCs w:val="20"/>
          <w:color w:val="auto"/>
        </w:rPr>
      </w:pPr>
      <w:r>
        <w:rPr>
          <w:rFonts w:ascii="Arial" w:cs="Arial" w:eastAsia="Arial" w:hAnsi="Arial"/>
          <w:sz w:val="17"/>
          <w:szCs w:val="17"/>
          <w:color w:val="auto"/>
        </w:rPr>
        <w:t>Level 2: Valuation is based upon quoted prices for similar instruments in active markets, quoted prices for identical or similar instruments in markets that are not active, and model-based valuation techniques for which all significant assumptions are observable in the market. Level 2 instruments include securities traded in less active dealer or broker markets.</w:t>
      </w:r>
    </w:p>
    <w:p>
      <w:pPr>
        <w:spacing w:after="0" w:line="136" w:lineRule="exact"/>
        <w:rPr>
          <w:sz w:val="20"/>
          <w:szCs w:val="20"/>
          <w:color w:val="auto"/>
        </w:rPr>
      </w:pPr>
    </w:p>
    <w:p>
      <w:pPr>
        <w:jc w:val="both"/>
        <w:ind w:left="620"/>
        <w:spacing w:after="0" w:line="266" w:lineRule="auto"/>
        <w:rPr>
          <w:sz w:val="20"/>
          <w:szCs w:val="20"/>
          <w:color w:val="auto"/>
        </w:rPr>
      </w:pPr>
      <w:r>
        <w:rPr>
          <w:rFonts w:ascii="Arial" w:cs="Arial" w:eastAsia="Arial" w:hAnsi="Arial"/>
          <w:sz w:val="17"/>
          <w:szCs w:val="17"/>
          <w:color w:val="auto"/>
        </w:rPr>
        <w:t>Level 3: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use of option pricing models, discounted cash flow models and similar techniques.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We used the following methods and significant assumptions to estimate fair value: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u w:val="single" w:color="auto"/>
          <w:color w:val="auto"/>
        </w:rPr>
        <w:t>Securities</w:t>
      </w:r>
      <w:r>
        <w:rPr>
          <w:rFonts w:ascii="Arial" w:cs="Arial" w:eastAsia="Arial" w:hAnsi="Arial"/>
          <w:sz w:val="17"/>
          <w:szCs w:val="17"/>
          <w:color w:val="auto"/>
        </w:rPr>
        <w:t>: Where quoted market prices are available in an active market, securities are classified as Level 1 of the valuation hierarchy. We currently do not have any Level 1 securities. If quoted market prices are not available for the specific security, then fair values are estimated by (1) using quoted market prices of securities with similar characteristics, (2) matrix pricing, which is a mathematical technique used widely in the industry to value debt securities without relying exclusively on quoted prices for specific securities but rather by relying on the securities’ relationship to other benchmark quoted prices, or (3) a discounted cash flow analysis whose significant fair value inputs can generally be verified and do</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not typically involve judgment by management. These securities are classified as Level 2 of the valuation hierarchy and primarily include agency securities, private label mortgage-backed securities, other asset backed securities, obligations of states and political subdivisions, trust preferred securities, corporate securities and foreign government securities.</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Loans held for sale</w:t>
      </w:r>
      <w:r>
        <w:rPr>
          <w:rFonts w:ascii="Arial" w:cs="Arial" w:eastAsia="Arial" w:hAnsi="Arial"/>
          <w:sz w:val="17"/>
          <w:szCs w:val="17"/>
          <w:color w:val="auto"/>
        </w:rPr>
        <w:t>: The fair value of mortgage loans held for sale, carried at fair value is based on agency cash window loan pricing for comparable assets (recurring Level 2).</w:t>
      </w:r>
    </w:p>
    <w:p>
      <w:pPr>
        <w:spacing w:after="0" w:line="126" w:lineRule="exact"/>
        <w:rPr>
          <w:sz w:val="20"/>
          <w:szCs w:val="20"/>
          <w:color w:val="auto"/>
        </w:rPr>
      </w:pPr>
    </w:p>
    <w:p>
      <w:pPr>
        <w:jc w:val="both"/>
        <w:spacing w:after="0" w:line="302" w:lineRule="auto"/>
        <w:rPr>
          <w:sz w:val="20"/>
          <w:szCs w:val="20"/>
          <w:color w:val="auto"/>
        </w:rPr>
      </w:pPr>
      <w:r>
        <w:rPr>
          <w:rFonts w:ascii="Arial" w:cs="Arial" w:eastAsia="Arial" w:hAnsi="Arial"/>
          <w:sz w:val="15"/>
          <w:szCs w:val="15"/>
          <w:u w:val="single" w:color="auto"/>
          <w:color w:val="auto"/>
        </w:rPr>
        <w:t>Collateral dependent loans with specific loss allocations based on collateral value</w:t>
      </w:r>
      <w:r>
        <w:rPr>
          <w:rFonts w:ascii="Arial" w:cs="Arial" w:eastAsia="Arial" w:hAnsi="Arial"/>
          <w:sz w:val="15"/>
          <w:szCs w:val="15"/>
          <w:color w:val="auto"/>
        </w:rPr>
        <w:t>: From time to time, certain collateral dependent loans will have an ACL established. When the fair value of the collateral is based on an appraised value or when an appraised value is not available we record the collateral dependent loan as nonrecurring Level 3.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thus will typically result in a Level 3 classification of the inputs for determining fair value.</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u w:val="single" w:color="auto"/>
          <w:color w:val="auto"/>
        </w:rPr>
        <w:t>Other real estate</w:t>
      </w:r>
      <w:r>
        <w:rPr>
          <w:rFonts w:ascii="Arial" w:cs="Arial" w:eastAsia="Arial" w:hAnsi="Arial"/>
          <w:sz w:val="17"/>
          <w:szCs w:val="17"/>
          <w:color w:val="auto"/>
          <w:highlight w:val="white"/>
        </w:rPr>
        <w:t>: At the time of acquisition, other real estate is recorded at fair value, less estimated costs to sell, which becomes the property’s new basis.</w:t>
      </w:r>
      <w:r>
        <w:rPr>
          <w:rFonts w:ascii="Arial" w:cs="Arial" w:eastAsia="Arial" w:hAnsi="Arial"/>
          <w:sz w:val="17"/>
          <w:szCs w:val="17"/>
          <w:color w:val="auto"/>
        </w:rPr>
        <w:t xml:space="preserve"> Subsequent write-downs to reflect declines in value since the time of acquisition may occur from time to time and are recorded in net gains on other real estate and repossessed assets, which is part of non-interest expense - other in the Condensed Consolidated Statements of Operations. The fair value of the property used at and subsequent to the time of acquisition is typically determined by a third party appraisal of the property.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typically result in a Level 3 classification of the inputs for determining fair value.</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Appraisals for both collateral-dependent loans and other real estate are performed by certified general appraisers (for commercial properties) or certified residential appraisers (for residential properties) whose qualifications and licenses have been reviewed and verified by us. Once received, an independent third party, or a member of our Collateral Evaluation Department (for commercial properties), or a member of our Special Assets Group (for residential properties) reviews the assumptions and approaches utilized in the appraisal as well as the overall resulting fair value in comparison with independent data sources such as recent market data or industry-wide statistics. We compare the actual selling price of collateral that has been sold to the most recent appraised value of our properties to determine what additional adjustment, if any, should be made to the appraisal value to arrive at fair value. For commercial and residential properties we typically discount an appraisal to account for various factors that the appraisal excludes in its assumptions. These additional discounts generally do not result in material adjustments to the appraised value.</w:t>
      </w:r>
    </w:p>
    <w:p>
      <w:pPr>
        <w:spacing w:after="0" w:line="143" w:lineRule="exact"/>
        <w:rPr>
          <w:sz w:val="20"/>
          <w:szCs w:val="20"/>
          <w:color w:val="auto"/>
        </w:rPr>
      </w:pPr>
    </w:p>
    <w:p>
      <w:pPr>
        <w:jc w:val="both"/>
        <w:spacing w:after="0" w:line="302" w:lineRule="auto"/>
        <w:rPr>
          <w:sz w:val="20"/>
          <w:szCs w:val="20"/>
          <w:color w:val="auto"/>
        </w:rPr>
      </w:pPr>
      <w:r>
        <w:rPr>
          <w:rFonts w:ascii="Arial" w:cs="Arial" w:eastAsia="Arial" w:hAnsi="Arial"/>
          <w:sz w:val="15"/>
          <w:szCs w:val="15"/>
          <w:u w:val="single" w:color="auto"/>
          <w:color w:val="auto"/>
        </w:rPr>
        <w:t>Capitalized mortgage loan servicing rights</w:t>
      </w:r>
      <w:r>
        <w:rPr>
          <w:rFonts w:ascii="Arial" w:cs="Arial" w:eastAsia="Arial" w:hAnsi="Arial"/>
          <w:sz w:val="15"/>
          <w:szCs w:val="15"/>
          <w:color w:val="auto"/>
        </w:rPr>
        <w:t>: The fair value of capitalized mortgage loan servicing rights is based on a valuation model used by an independent third party that calculates the present value of estimated net servicing income. The valuation model incorporates assumptions that market participants would use in estimating future net servicing income. Certain model assumptions are generally unobservable and are based upon the best information available including data relating to our own servicing portfolio, reviews of mortgage servicing assumption and valuation surveys and input from various mortgage servicers and, therefore, are recorded as Level 3. Management evaluates the third party valuation for reasonableness each quarter as part of our financial reporting control processes.</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u w:val="single" w:color="auto"/>
          <w:color w:val="auto"/>
        </w:rPr>
        <w:t>Derivatives</w:t>
      </w:r>
      <w:r>
        <w:rPr>
          <w:rFonts w:ascii="Arial" w:cs="Arial" w:eastAsia="Arial" w:hAnsi="Arial"/>
          <w:sz w:val="17"/>
          <w:szCs w:val="17"/>
          <w:color w:val="auto"/>
          <w:highlight w:val="white"/>
        </w:rPr>
        <w:t>: The fair value of rate-lock mortgage loan commitments is based on agency cash window loan pricing for comparable assets and the fair value of</w:t>
      </w:r>
      <w:r>
        <w:rPr>
          <w:rFonts w:ascii="Arial" w:cs="Arial" w:eastAsia="Arial" w:hAnsi="Arial"/>
          <w:sz w:val="17"/>
          <w:szCs w:val="17"/>
          <w:color w:val="auto"/>
        </w:rPr>
        <w:t xml:space="preserve"> mandatory commitments to sell mortgage loans is based on mortgage backed security pricing for comparable assets (recurring Level 2). The fair value of interest rate swap, interest rate cap and swaption agreements are derived from proprietary models which utilize current market data. The significant fair value inputs can generally be observed in the market place and do not typically involve judgment by management (recurring Level 2).</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Assets and liabilities measured at fair value, including financial assets for which we have elected the fair value option,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1"/>
              </w:rPr>
              <w:t>Fair Value Measurements Using</w:t>
            </w:r>
          </w:p>
        </w:tc>
        <w:tc>
          <w:tcPr>
            <w:tcW w:w="1160" w:type="dxa"/>
            <w:vAlign w:val="bottom"/>
            <w:tcBorders>
              <w:bottom w:val="single" w:sz="8" w:color="auto"/>
            </w:tcBorders>
          </w:tcPr>
          <w:p>
            <w:pPr>
              <w:spacing w:after="0"/>
              <w:rPr>
                <w:sz w:val="18"/>
                <w:szCs w:val="18"/>
                <w:color w:val="auto"/>
              </w:rPr>
            </w:pPr>
          </w:p>
        </w:tc>
      </w:tr>
      <w:tr>
        <w:trPr>
          <w:trHeight w:val="162"/>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jc w:val="center"/>
              <w:ind w:left="254"/>
              <w:spacing w:after="0" w:line="162" w:lineRule="exact"/>
              <w:rPr>
                <w:sz w:val="20"/>
                <w:szCs w:val="20"/>
                <w:color w:val="auto"/>
              </w:rPr>
            </w:pPr>
            <w:r>
              <w:rPr>
                <w:rFonts w:ascii="Arial" w:cs="Arial" w:eastAsia="Arial" w:hAnsi="Arial"/>
                <w:sz w:val="17"/>
                <w:szCs w:val="17"/>
                <w:color w:val="auto"/>
                <w:w w:val="93"/>
              </w:rPr>
              <w:t>Quoted</w:t>
            </w:r>
          </w:p>
        </w:tc>
        <w:tc>
          <w:tcPr>
            <w:tcW w:w="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jc w:val="center"/>
              <w:ind w:left="234"/>
              <w:spacing w:after="0" w:line="167" w:lineRule="exact"/>
              <w:rPr>
                <w:sz w:val="20"/>
                <w:szCs w:val="20"/>
                <w:color w:val="auto"/>
              </w:rPr>
            </w:pPr>
            <w:r>
              <w:rPr>
                <w:rFonts w:ascii="Arial" w:cs="Arial" w:eastAsia="Arial" w:hAnsi="Arial"/>
                <w:sz w:val="17"/>
                <w:szCs w:val="17"/>
                <w:color w:val="auto"/>
                <w:w w:val="88"/>
              </w:rPr>
              <w:t>Prices</w:t>
            </w:r>
          </w:p>
        </w:tc>
        <w:tc>
          <w:tcPr>
            <w:tcW w:w="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0"/>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40" w:type="dxa"/>
            <w:vAlign w:val="bottom"/>
          </w:tcPr>
          <w:p>
            <w:pPr>
              <w:jc w:val="center"/>
              <w:ind w:left="254"/>
              <w:spacing w:after="0" w:line="180" w:lineRule="exact"/>
              <w:rPr>
                <w:sz w:val="20"/>
                <w:szCs w:val="20"/>
                <w:color w:val="auto"/>
              </w:rPr>
            </w:pPr>
            <w:r>
              <w:rPr>
                <w:rFonts w:ascii="Arial" w:cs="Arial" w:eastAsia="Arial" w:hAnsi="Arial"/>
                <w:sz w:val="17"/>
                <w:szCs w:val="17"/>
                <w:color w:val="auto"/>
                <w:w w:val="99"/>
              </w:rPr>
              <w:t>in Active</w:t>
            </w:r>
          </w:p>
        </w:tc>
        <w:tc>
          <w:tcPr>
            <w:tcW w:w="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68"/>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jc w:val="center"/>
              <w:ind w:left="254"/>
              <w:spacing w:after="0" w:line="167" w:lineRule="exact"/>
              <w:rPr>
                <w:sz w:val="20"/>
                <w:szCs w:val="20"/>
                <w:color w:val="auto"/>
              </w:rPr>
            </w:pPr>
            <w:r>
              <w:rPr>
                <w:rFonts w:ascii="Arial" w:cs="Arial" w:eastAsia="Arial" w:hAnsi="Arial"/>
                <w:sz w:val="17"/>
                <w:szCs w:val="17"/>
                <w:color w:val="auto"/>
                <w:w w:val="92"/>
              </w:rPr>
              <w:t>Markets</w:t>
            </w:r>
          </w:p>
        </w:tc>
        <w:tc>
          <w:tcPr>
            <w:tcW w:w="660" w:type="dxa"/>
            <w:vAlign w:val="bottom"/>
          </w:tcPr>
          <w:p>
            <w:pPr>
              <w:spacing w:after="0"/>
              <w:rPr>
                <w:sz w:val="14"/>
                <w:szCs w:val="14"/>
                <w:color w:val="auto"/>
              </w:rPr>
            </w:pPr>
          </w:p>
        </w:tc>
        <w:tc>
          <w:tcPr>
            <w:tcW w:w="1280" w:type="dxa"/>
            <w:vAlign w:val="bottom"/>
          </w:tcPr>
          <w:p>
            <w:pPr>
              <w:jc w:val="center"/>
              <w:ind w:right="174"/>
              <w:spacing w:after="0" w:line="167" w:lineRule="exact"/>
              <w:rPr>
                <w:sz w:val="20"/>
                <w:szCs w:val="20"/>
                <w:color w:val="auto"/>
              </w:rPr>
            </w:pPr>
            <w:r>
              <w:rPr>
                <w:rFonts w:ascii="Arial" w:cs="Arial" w:eastAsia="Arial" w:hAnsi="Arial"/>
                <w:sz w:val="17"/>
                <w:szCs w:val="17"/>
                <w:color w:val="auto"/>
                <w:w w:val="94"/>
              </w:rPr>
              <w:t>Significant</w:t>
            </w:r>
          </w:p>
        </w:tc>
        <w:tc>
          <w:tcPr>
            <w:tcW w:w="380" w:type="dxa"/>
            <w:vAlign w:val="bottom"/>
          </w:tcPr>
          <w:p>
            <w:pPr>
              <w:spacing w:after="0"/>
              <w:rPr>
                <w:sz w:val="14"/>
                <w:szCs w:val="14"/>
                <w:color w:val="auto"/>
              </w:rPr>
            </w:pPr>
          </w:p>
        </w:tc>
        <w:tc>
          <w:tcPr>
            <w:tcW w:w="1160" w:type="dxa"/>
            <w:vAlign w:val="bottom"/>
          </w:tcPr>
          <w:p>
            <w:pPr>
              <w:jc w:val="center"/>
              <w:ind w:right="234"/>
              <w:spacing w:after="0" w:line="167" w:lineRule="exact"/>
              <w:rPr>
                <w:sz w:val="20"/>
                <w:szCs w:val="20"/>
                <w:color w:val="auto"/>
              </w:rPr>
            </w:pPr>
            <w:r>
              <w:rPr>
                <w:rFonts w:ascii="Arial" w:cs="Arial" w:eastAsia="Arial" w:hAnsi="Arial"/>
                <w:sz w:val="17"/>
                <w:szCs w:val="17"/>
                <w:color w:val="auto"/>
                <w:w w:val="96"/>
              </w:rPr>
              <w:t>Significant</w:t>
            </w:r>
          </w:p>
        </w:tc>
      </w:tr>
      <w:tr>
        <w:trPr>
          <w:trHeight w:val="168"/>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jc w:val="center"/>
              <w:ind w:left="254"/>
              <w:spacing w:after="0" w:line="167" w:lineRule="exact"/>
              <w:rPr>
                <w:sz w:val="20"/>
                <w:szCs w:val="20"/>
                <w:color w:val="auto"/>
              </w:rPr>
            </w:pPr>
            <w:r>
              <w:rPr>
                <w:rFonts w:ascii="Arial" w:cs="Arial" w:eastAsia="Arial" w:hAnsi="Arial"/>
                <w:sz w:val="17"/>
                <w:szCs w:val="17"/>
                <w:color w:val="auto"/>
              </w:rPr>
              <w:t>for</w:t>
            </w:r>
          </w:p>
        </w:tc>
        <w:tc>
          <w:tcPr>
            <w:tcW w:w="660" w:type="dxa"/>
            <w:vAlign w:val="bottom"/>
          </w:tcPr>
          <w:p>
            <w:pPr>
              <w:spacing w:after="0"/>
              <w:rPr>
                <w:sz w:val="14"/>
                <w:szCs w:val="14"/>
                <w:color w:val="auto"/>
              </w:rPr>
            </w:pPr>
          </w:p>
        </w:tc>
        <w:tc>
          <w:tcPr>
            <w:tcW w:w="1280" w:type="dxa"/>
            <w:vAlign w:val="bottom"/>
          </w:tcPr>
          <w:p>
            <w:pPr>
              <w:jc w:val="center"/>
              <w:ind w:right="174"/>
              <w:spacing w:after="0" w:line="167" w:lineRule="exact"/>
              <w:rPr>
                <w:sz w:val="20"/>
                <w:szCs w:val="20"/>
                <w:color w:val="auto"/>
              </w:rPr>
            </w:pPr>
            <w:r>
              <w:rPr>
                <w:rFonts w:ascii="Arial" w:cs="Arial" w:eastAsia="Arial" w:hAnsi="Arial"/>
                <w:sz w:val="17"/>
                <w:szCs w:val="17"/>
                <w:color w:val="auto"/>
                <w:w w:val="89"/>
              </w:rPr>
              <w:t>Other</w:t>
            </w:r>
          </w:p>
        </w:tc>
        <w:tc>
          <w:tcPr>
            <w:tcW w:w="380" w:type="dxa"/>
            <w:vAlign w:val="bottom"/>
          </w:tcPr>
          <w:p>
            <w:pPr>
              <w:spacing w:after="0"/>
              <w:rPr>
                <w:sz w:val="14"/>
                <w:szCs w:val="14"/>
                <w:color w:val="auto"/>
              </w:rPr>
            </w:pPr>
          </w:p>
        </w:tc>
        <w:tc>
          <w:tcPr>
            <w:tcW w:w="1160" w:type="dxa"/>
            <w:vAlign w:val="bottom"/>
          </w:tcPr>
          <w:p>
            <w:pPr>
              <w:jc w:val="center"/>
              <w:ind w:right="214"/>
              <w:spacing w:after="0" w:line="167" w:lineRule="exact"/>
              <w:rPr>
                <w:sz w:val="20"/>
                <w:szCs w:val="20"/>
                <w:color w:val="auto"/>
              </w:rPr>
            </w:pPr>
            <w:r>
              <w:rPr>
                <w:rFonts w:ascii="Arial" w:cs="Arial" w:eastAsia="Arial" w:hAnsi="Arial"/>
                <w:sz w:val="17"/>
                <w:szCs w:val="17"/>
                <w:color w:val="auto"/>
                <w:w w:val="94"/>
              </w:rPr>
              <w:t>Un-</w:t>
            </w:r>
          </w:p>
        </w:tc>
      </w:tr>
      <w:tr>
        <w:trPr>
          <w:trHeight w:val="180"/>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center"/>
              <w:ind w:right="254"/>
              <w:spacing w:after="0" w:line="180" w:lineRule="exact"/>
              <w:rPr>
                <w:sz w:val="20"/>
                <w:szCs w:val="20"/>
                <w:color w:val="auto"/>
              </w:rPr>
            </w:pPr>
            <w:r>
              <w:rPr>
                <w:rFonts w:ascii="Arial" w:cs="Arial" w:eastAsia="Arial" w:hAnsi="Arial"/>
                <w:sz w:val="17"/>
                <w:szCs w:val="17"/>
                <w:color w:val="auto"/>
                <w:w w:val="92"/>
              </w:rPr>
              <w:t>Fair Value</w:t>
            </w:r>
          </w:p>
        </w:tc>
        <w:tc>
          <w:tcPr>
            <w:tcW w:w="1140" w:type="dxa"/>
            <w:vAlign w:val="bottom"/>
          </w:tcPr>
          <w:p>
            <w:pPr>
              <w:jc w:val="center"/>
              <w:ind w:left="254"/>
              <w:spacing w:after="0" w:line="180" w:lineRule="exact"/>
              <w:rPr>
                <w:sz w:val="20"/>
                <w:szCs w:val="20"/>
                <w:color w:val="auto"/>
              </w:rPr>
            </w:pPr>
            <w:r>
              <w:rPr>
                <w:rFonts w:ascii="Arial" w:cs="Arial" w:eastAsia="Arial" w:hAnsi="Arial"/>
                <w:sz w:val="17"/>
                <w:szCs w:val="17"/>
                <w:color w:val="auto"/>
                <w:w w:val="94"/>
              </w:rPr>
              <w:t>Identical</w:t>
            </w:r>
          </w:p>
        </w:tc>
        <w:tc>
          <w:tcPr>
            <w:tcW w:w="660" w:type="dxa"/>
            <w:vAlign w:val="bottom"/>
          </w:tcPr>
          <w:p>
            <w:pPr>
              <w:spacing w:after="0"/>
              <w:rPr>
                <w:sz w:val="15"/>
                <w:szCs w:val="15"/>
                <w:color w:val="auto"/>
              </w:rPr>
            </w:pPr>
          </w:p>
        </w:tc>
        <w:tc>
          <w:tcPr>
            <w:tcW w:w="1280" w:type="dxa"/>
            <w:vAlign w:val="bottom"/>
          </w:tcPr>
          <w:p>
            <w:pPr>
              <w:jc w:val="center"/>
              <w:ind w:right="174"/>
              <w:spacing w:after="0" w:line="180" w:lineRule="exact"/>
              <w:rPr>
                <w:sz w:val="20"/>
                <w:szCs w:val="20"/>
                <w:color w:val="auto"/>
              </w:rPr>
            </w:pPr>
            <w:r>
              <w:rPr>
                <w:rFonts w:ascii="Arial" w:cs="Arial" w:eastAsia="Arial" w:hAnsi="Arial"/>
                <w:sz w:val="17"/>
                <w:szCs w:val="17"/>
                <w:color w:val="auto"/>
                <w:w w:val="89"/>
              </w:rPr>
              <w:t>Observable</w:t>
            </w:r>
          </w:p>
        </w:tc>
        <w:tc>
          <w:tcPr>
            <w:tcW w:w="380" w:type="dxa"/>
            <w:vAlign w:val="bottom"/>
          </w:tcPr>
          <w:p>
            <w:pPr>
              <w:spacing w:after="0"/>
              <w:rPr>
                <w:sz w:val="15"/>
                <w:szCs w:val="15"/>
                <w:color w:val="auto"/>
              </w:rPr>
            </w:pPr>
          </w:p>
        </w:tc>
        <w:tc>
          <w:tcPr>
            <w:tcW w:w="1160" w:type="dxa"/>
            <w:vAlign w:val="bottom"/>
          </w:tcPr>
          <w:p>
            <w:pPr>
              <w:jc w:val="center"/>
              <w:ind w:right="214"/>
              <w:spacing w:after="0" w:line="180" w:lineRule="exact"/>
              <w:rPr>
                <w:sz w:val="20"/>
                <w:szCs w:val="20"/>
                <w:color w:val="auto"/>
              </w:rPr>
            </w:pPr>
            <w:r>
              <w:rPr>
                <w:rFonts w:ascii="Arial" w:cs="Arial" w:eastAsia="Arial" w:hAnsi="Arial"/>
                <w:sz w:val="17"/>
                <w:szCs w:val="17"/>
                <w:color w:val="auto"/>
                <w:w w:val="88"/>
              </w:rPr>
              <w:t>observable</w:t>
            </w:r>
          </w:p>
        </w:tc>
      </w:tr>
      <w:tr>
        <w:trPr>
          <w:trHeight w:val="168"/>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254"/>
              <w:spacing w:after="0" w:line="167" w:lineRule="exact"/>
              <w:rPr>
                <w:sz w:val="20"/>
                <w:szCs w:val="20"/>
                <w:color w:val="auto"/>
              </w:rPr>
            </w:pPr>
            <w:r>
              <w:rPr>
                <w:rFonts w:ascii="Arial" w:cs="Arial" w:eastAsia="Arial" w:hAnsi="Arial"/>
                <w:sz w:val="17"/>
                <w:szCs w:val="17"/>
                <w:color w:val="auto"/>
                <w:w w:val="89"/>
              </w:rPr>
              <w:t>Measure-</w:t>
            </w:r>
          </w:p>
        </w:tc>
        <w:tc>
          <w:tcPr>
            <w:tcW w:w="1140" w:type="dxa"/>
            <w:vAlign w:val="bottom"/>
          </w:tcPr>
          <w:p>
            <w:pPr>
              <w:jc w:val="center"/>
              <w:ind w:left="254"/>
              <w:spacing w:after="0" w:line="167" w:lineRule="exact"/>
              <w:rPr>
                <w:sz w:val="20"/>
                <w:szCs w:val="20"/>
                <w:color w:val="auto"/>
              </w:rPr>
            </w:pPr>
            <w:r>
              <w:rPr>
                <w:rFonts w:ascii="Arial" w:cs="Arial" w:eastAsia="Arial" w:hAnsi="Arial"/>
                <w:sz w:val="17"/>
                <w:szCs w:val="17"/>
                <w:color w:val="auto"/>
                <w:w w:val="86"/>
              </w:rPr>
              <w:t>Assets</w:t>
            </w:r>
          </w:p>
        </w:tc>
        <w:tc>
          <w:tcPr>
            <w:tcW w:w="660" w:type="dxa"/>
            <w:vAlign w:val="bottom"/>
          </w:tcPr>
          <w:p>
            <w:pPr>
              <w:spacing w:after="0"/>
              <w:rPr>
                <w:sz w:val="14"/>
                <w:szCs w:val="14"/>
                <w:color w:val="auto"/>
              </w:rPr>
            </w:pPr>
          </w:p>
        </w:tc>
        <w:tc>
          <w:tcPr>
            <w:tcW w:w="1280" w:type="dxa"/>
            <w:vAlign w:val="bottom"/>
          </w:tcPr>
          <w:p>
            <w:pPr>
              <w:jc w:val="center"/>
              <w:ind w:right="174"/>
              <w:spacing w:after="0" w:line="167" w:lineRule="exact"/>
              <w:rPr>
                <w:sz w:val="20"/>
                <w:szCs w:val="20"/>
                <w:color w:val="auto"/>
              </w:rPr>
            </w:pPr>
            <w:r>
              <w:rPr>
                <w:rFonts w:ascii="Arial" w:cs="Arial" w:eastAsia="Arial" w:hAnsi="Arial"/>
                <w:sz w:val="17"/>
                <w:szCs w:val="17"/>
                <w:color w:val="auto"/>
                <w:w w:val="90"/>
              </w:rPr>
              <w:t>Inputs</w:t>
            </w:r>
          </w:p>
        </w:tc>
        <w:tc>
          <w:tcPr>
            <w:tcW w:w="380" w:type="dxa"/>
            <w:vAlign w:val="bottom"/>
          </w:tcPr>
          <w:p>
            <w:pPr>
              <w:spacing w:after="0"/>
              <w:rPr>
                <w:sz w:val="14"/>
                <w:szCs w:val="14"/>
                <w:color w:val="auto"/>
              </w:rPr>
            </w:pPr>
          </w:p>
        </w:tc>
        <w:tc>
          <w:tcPr>
            <w:tcW w:w="1160" w:type="dxa"/>
            <w:vAlign w:val="bottom"/>
          </w:tcPr>
          <w:p>
            <w:pPr>
              <w:jc w:val="center"/>
              <w:ind w:right="234"/>
              <w:spacing w:after="0" w:line="167" w:lineRule="exact"/>
              <w:rPr>
                <w:sz w:val="20"/>
                <w:szCs w:val="20"/>
                <w:color w:val="auto"/>
              </w:rPr>
            </w:pPr>
            <w:r>
              <w:rPr>
                <w:rFonts w:ascii="Arial" w:cs="Arial" w:eastAsia="Arial" w:hAnsi="Arial"/>
                <w:sz w:val="17"/>
                <w:szCs w:val="17"/>
                <w:color w:val="auto"/>
                <w:w w:val="94"/>
              </w:rPr>
              <w:t>Inputs</w:t>
            </w:r>
          </w:p>
        </w:tc>
      </w:tr>
      <w:tr>
        <w:trPr>
          <w:trHeight w:val="224"/>
        </w:trPr>
        <w:tc>
          <w:tcPr>
            <w:tcW w:w="5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234"/>
              <w:spacing w:after="0"/>
              <w:rPr>
                <w:sz w:val="20"/>
                <w:szCs w:val="20"/>
                <w:color w:val="auto"/>
              </w:rPr>
            </w:pPr>
            <w:r>
              <w:rPr>
                <w:rFonts w:ascii="Arial" w:cs="Arial" w:eastAsia="Arial" w:hAnsi="Arial"/>
                <w:sz w:val="17"/>
                <w:szCs w:val="17"/>
                <w:color w:val="auto"/>
                <w:w w:val="90"/>
              </w:rPr>
              <w:t>ments</w:t>
            </w:r>
          </w:p>
        </w:tc>
        <w:tc>
          <w:tcPr>
            <w:tcW w:w="1140" w:type="dxa"/>
            <w:vAlign w:val="bottom"/>
            <w:tcBorders>
              <w:bottom w:val="single" w:sz="8" w:color="auto"/>
            </w:tcBorders>
          </w:tcPr>
          <w:p>
            <w:pPr>
              <w:jc w:val="center"/>
              <w:ind w:left="254"/>
              <w:spacing w:after="0"/>
              <w:rPr>
                <w:sz w:val="20"/>
                <w:szCs w:val="20"/>
                <w:color w:val="auto"/>
              </w:rPr>
            </w:pPr>
            <w:r>
              <w:rPr>
                <w:rFonts w:ascii="Arial" w:cs="Arial" w:eastAsia="Arial" w:hAnsi="Arial"/>
                <w:sz w:val="17"/>
                <w:szCs w:val="17"/>
                <w:color w:val="auto"/>
                <w:w w:val="96"/>
              </w:rPr>
              <w:t>(Level 1)</w:t>
            </w:r>
          </w:p>
        </w:tc>
        <w:tc>
          <w:tcPr>
            <w:tcW w:w="6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74"/>
              <w:spacing w:after="0"/>
              <w:rPr>
                <w:sz w:val="20"/>
                <w:szCs w:val="20"/>
                <w:color w:val="auto"/>
              </w:rPr>
            </w:pPr>
            <w:r>
              <w:rPr>
                <w:rFonts w:ascii="Arial" w:cs="Arial" w:eastAsia="Arial" w:hAnsi="Arial"/>
                <w:sz w:val="17"/>
                <w:szCs w:val="17"/>
                <w:color w:val="auto"/>
                <w:w w:val="93"/>
              </w:rPr>
              <w:t>(Level 2)</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234"/>
              <w:spacing w:after="0"/>
              <w:rPr>
                <w:sz w:val="20"/>
                <w:szCs w:val="20"/>
                <w:color w:val="auto"/>
              </w:rPr>
            </w:pPr>
            <w:r>
              <w:rPr>
                <w:rFonts w:ascii="Arial" w:cs="Arial" w:eastAsia="Arial" w:hAnsi="Arial"/>
                <w:sz w:val="17"/>
                <w:szCs w:val="17"/>
                <w:color w:val="auto"/>
                <w:w w:val="96"/>
              </w:rPr>
              <w:t>(Level 3)</w:t>
            </w:r>
          </w:p>
        </w:tc>
      </w:tr>
      <w:tr>
        <w:trPr>
          <w:trHeight w:val="218"/>
        </w:trPr>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80" w:type="dxa"/>
            <w:vAlign w:val="bottom"/>
            <w:gridSpan w:val="3"/>
          </w:tcPr>
          <w:p>
            <w:pPr>
              <w:jc w:val="right"/>
              <w:ind w:right="974"/>
              <w:spacing w:after="0"/>
              <w:rPr>
                <w:sz w:val="20"/>
                <w:szCs w:val="20"/>
                <w:color w:val="auto"/>
              </w:rPr>
            </w:pPr>
            <w:r>
              <w:rPr>
                <w:rFonts w:ascii="Arial" w:cs="Arial" w:eastAsia="Arial" w:hAnsi="Arial"/>
                <w:sz w:val="17"/>
                <w:szCs w:val="17"/>
                <w:color w:val="auto"/>
              </w:rPr>
              <w:t>(In thousands)</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0"/>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September 30, 2023:</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211"/>
        </w:trPr>
        <w:tc>
          <w:tcPr>
            <w:tcW w:w="5040" w:type="dxa"/>
            <w:vAlign w:val="bottom"/>
          </w:tcPr>
          <w:p>
            <w:pPr>
              <w:ind w:left="20"/>
              <w:spacing w:after="0"/>
              <w:rPr>
                <w:sz w:val="20"/>
                <w:szCs w:val="20"/>
                <w:color w:val="auto"/>
              </w:rPr>
            </w:pPr>
            <w:r>
              <w:rPr>
                <w:rFonts w:ascii="Arial" w:cs="Arial" w:eastAsia="Arial" w:hAnsi="Arial"/>
                <w:sz w:val="17"/>
                <w:szCs w:val="17"/>
                <w:color w:val="auto"/>
              </w:rPr>
              <w:t>Measured at Fair Value on a Recurring Basis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5040" w:type="dxa"/>
            <w:vAlign w:val="bottom"/>
          </w:tcPr>
          <w:p>
            <w:pPr>
              <w:ind w:left="180"/>
              <w:spacing w:after="0"/>
              <w:rPr>
                <w:sz w:val="20"/>
                <w:szCs w:val="20"/>
                <w:color w:val="auto"/>
              </w:rPr>
            </w:pPr>
            <w:r>
              <w:rPr>
                <w:rFonts w:ascii="Arial" w:cs="Arial" w:eastAsia="Arial" w:hAnsi="Arial"/>
                <w:sz w:val="17"/>
                <w:szCs w:val="17"/>
                <w:color w:val="auto"/>
              </w:rPr>
              <w:t>Assets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0"/>
        </w:trPr>
        <w:tc>
          <w:tcPr>
            <w:tcW w:w="5040" w:type="dxa"/>
            <w:vAlign w:val="bottom"/>
          </w:tcPr>
          <w:p>
            <w:pPr>
              <w:ind w:left="320"/>
              <w:spacing w:after="0"/>
              <w:rPr>
                <w:sz w:val="20"/>
                <w:szCs w:val="20"/>
                <w:color w:val="auto"/>
              </w:rPr>
            </w:pPr>
            <w:r>
              <w:rPr>
                <w:rFonts w:ascii="Arial" w:cs="Arial" w:eastAsia="Arial" w:hAnsi="Arial"/>
                <w:sz w:val="17"/>
                <w:szCs w:val="17"/>
                <w:color w:val="auto"/>
              </w:rPr>
              <w:t>Securities available for sale</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0"/>
        </w:trPr>
        <w:tc>
          <w:tcPr>
            <w:tcW w:w="50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U.S. agency</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9,503</w:t>
            </w:r>
          </w:p>
        </w:tc>
        <w:tc>
          <w:tcPr>
            <w:tcW w:w="1140" w:type="dxa"/>
            <w:vAlign w:val="bottom"/>
            <w:shd w:val="clear" w:color="auto" w:fill="CCEEFF"/>
          </w:tcPr>
          <w:p>
            <w:pPr>
              <w:jc w:val="right"/>
              <w:ind w:right="954"/>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  $</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9,503</w:t>
            </w:r>
          </w:p>
        </w:tc>
        <w:tc>
          <w:tcPr>
            <w:tcW w:w="3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040" w:type="dxa"/>
            <w:vAlign w:val="bottom"/>
          </w:tcPr>
          <w:p>
            <w:pPr>
              <w:ind w:left="480"/>
              <w:spacing w:after="0"/>
              <w:rPr>
                <w:sz w:val="20"/>
                <w:szCs w:val="20"/>
                <w:color w:val="auto"/>
              </w:rPr>
            </w:pPr>
            <w:r>
              <w:rPr>
                <w:rFonts w:ascii="Arial" w:cs="Arial" w:eastAsia="Arial" w:hAnsi="Arial"/>
                <w:sz w:val="17"/>
                <w:szCs w:val="17"/>
                <w:color w:val="auto"/>
              </w:rPr>
              <w:t>U.S. agency residential mortgage-backed</w:t>
            </w:r>
          </w:p>
        </w:tc>
        <w:tc>
          <w:tcPr>
            <w:tcW w:w="240" w:type="dxa"/>
            <w:vAlign w:val="bottom"/>
          </w:tcPr>
          <w:p>
            <w:pPr>
              <w:spacing w:after="0"/>
              <w:rPr>
                <w:sz w:val="18"/>
                <w:szCs w:val="18"/>
                <w:color w:val="auto"/>
              </w:rPr>
            </w:pPr>
          </w:p>
        </w:tc>
        <w:tc>
          <w:tcPr>
            <w:tcW w:w="1340" w:type="dxa"/>
            <w:vAlign w:val="bottom"/>
          </w:tcPr>
          <w:p>
            <w:pPr>
              <w:jc w:val="right"/>
              <w:ind w:right="74"/>
              <w:spacing w:after="0"/>
              <w:rPr>
                <w:sz w:val="20"/>
                <w:szCs w:val="20"/>
                <w:color w:val="auto"/>
              </w:rPr>
            </w:pPr>
            <w:r>
              <w:rPr>
                <w:rFonts w:ascii="Arial" w:cs="Arial" w:eastAsia="Arial" w:hAnsi="Arial"/>
                <w:sz w:val="17"/>
                <w:szCs w:val="17"/>
                <w:color w:val="auto"/>
              </w:rPr>
              <w:t>80,682</w:t>
            </w:r>
          </w:p>
        </w:tc>
        <w:tc>
          <w:tcPr>
            <w:tcW w:w="114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4"/>
              <w:spacing w:after="0"/>
              <w:rPr>
                <w:sz w:val="20"/>
                <w:szCs w:val="20"/>
                <w:color w:val="auto"/>
              </w:rPr>
            </w:pPr>
            <w:r>
              <w:rPr>
                <w:rFonts w:ascii="Arial" w:cs="Arial" w:eastAsia="Arial" w:hAnsi="Arial"/>
                <w:sz w:val="17"/>
                <w:szCs w:val="17"/>
                <w:color w:val="auto"/>
              </w:rPr>
              <w:t>80,682</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50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U.S. agency commercial mortgage-backed</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12,157</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12,157</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040" w:type="dxa"/>
            <w:vAlign w:val="bottom"/>
          </w:tcPr>
          <w:p>
            <w:pPr>
              <w:ind w:left="480"/>
              <w:spacing w:after="0"/>
              <w:rPr>
                <w:sz w:val="20"/>
                <w:szCs w:val="20"/>
                <w:color w:val="auto"/>
              </w:rPr>
            </w:pPr>
            <w:r>
              <w:rPr>
                <w:rFonts w:ascii="Arial" w:cs="Arial" w:eastAsia="Arial" w:hAnsi="Arial"/>
                <w:sz w:val="17"/>
                <w:szCs w:val="17"/>
                <w:color w:val="auto"/>
              </w:rPr>
              <w:t>Private label mortgage-backed</w:t>
            </w:r>
          </w:p>
        </w:tc>
        <w:tc>
          <w:tcPr>
            <w:tcW w:w="240" w:type="dxa"/>
            <w:vAlign w:val="bottom"/>
          </w:tcPr>
          <w:p>
            <w:pPr>
              <w:spacing w:after="0"/>
              <w:rPr>
                <w:sz w:val="18"/>
                <w:szCs w:val="18"/>
                <w:color w:val="auto"/>
              </w:rPr>
            </w:pPr>
          </w:p>
        </w:tc>
        <w:tc>
          <w:tcPr>
            <w:tcW w:w="1340" w:type="dxa"/>
            <w:vAlign w:val="bottom"/>
          </w:tcPr>
          <w:p>
            <w:pPr>
              <w:jc w:val="right"/>
              <w:ind w:right="74"/>
              <w:spacing w:after="0"/>
              <w:rPr>
                <w:sz w:val="20"/>
                <w:szCs w:val="20"/>
                <w:color w:val="auto"/>
              </w:rPr>
            </w:pPr>
            <w:r>
              <w:rPr>
                <w:rFonts w:ascii="Arial" w:cs="Arial" w:eastAsia="Arial" w:hAnsi="Arial"/>
                <w:sz w:val="17"/>
                <w:szCs w:val="17"/>
                <w:color w:val="auto"/>
              </w:rPr>
              <w:t>86,662</w:t>
            </w:r>
          </w:p>
        </w:tc>
        <w:tc>
          <w:tcPr>
            <w:tcW w:w="114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4"/>
              <w:spacing w:after="0"/>
              <w:rPr>
                <w:sz w:val="20"/>
                <w:szCs w:val="20"/>
                <w:color w:val="auto"/>
              </w:rPr>
            </w:pPr>
            <w:r>
              <w:rPr>
                <w:rFonts w:ascii="Arial" w:cs="Arial" w:eastAsia="Arial" w:hAnsi="Arial"/>
                <w:sz w:val="17"/>
                <w:szCs w:val="17"/>
                <w:color w:val="auto"/>
              </w:rPr>
              <w:t>86,662</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50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Other asset backed</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135,288</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135,288</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040" w:type="dxa"/>
            <w:vAlign w:val="bottom"/>
          </w:tcPr>
          <w:p>
            <w:pPr>
              <w:ind w:left="480"/>
              <w:spacing w:after="0"/>
              <w:rPr>
                <w:sz w:val="20"/>
                <w:szCs w:val="20"/>
                <w:color w:val="auto"/>
              </w:rPr>
            </w:pPr>
            <w:r>
              <w:rPr>
                <w:rFonts w:ascii="Arial" w:cs="Arial" w:eastAsia="Arial" w:hAnsi="Arial"/>
                <w:sz w:val="17"/>
                <w:szCs w:val="17"/>
                <w:color w:val="auto"/>
              </w:rPr>
              <w:t>Obligations of states and political subdivisions</w:t>
            </w:r>
          </w:p>
        </w:tc>
        <w:tc>
          <w:tcPr>
            <w:tcW w:w="240" w:type="dxa"/>
            <w:vAlign w:val="bottom"/>
          </w:tcPr>
          <w:p>
            <w:pPr>
              <w:spacing w:after="0"/>
              <w:rPr>
                <w:sz w:val="18"/>
                <w:szCs w:val="18"/>
                <w:color w:val="auto"/>
              </w:rPr>
            </w:pPr>
          </w:p>
        </w:tc>
        <w:tc>
          <w:tcPr>
            <w:tcW w:w="1340" w:type="dxa"/>
            <w:vAlign w:val="bottom"/>
          </w:tcPr>
          <w:p>
            <w:pPr>
              <w:jc w:val="right"/>
              <w:ind w:right="74"/>
              <w:spacing w:after="0"/>
              <w:rPr>
                <w:sz w:val="20"/>
                <w:szCs w:val="20"/>
                <w:color w:val="auto"/>
              </w:rPr>
            </w:pPr>
            <w:r>
              <w:rPr>
                <w:rFonts w:ascii="Arial" w:cs="Arial" w:eastAsia="Arial" w:hAnsi="Arial"/>
                <w:sz w:val="17"/>
                <w:szCs w:val="17"/>
                <w:color w:val="auto"/>
              </w:rPr>
              <w:t>285,728</w:t>
            </w:r>
          </w:p>
        </w:tc>
        <w:tc>
          <w:tcPr>
            <w:tcW w:w="114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4"/>
              <w:spacing w:after="0"/>
              <w:rPr>
                <w:sz w:val="20"/>
                <w:szCs w:val="20"/>
                <w:color w:val="auto"/>
              </w:rPr>
            </w:pPr>
            <w:r>
              <w:rPr>
                <w:rFonts w:ascii="Arial" w:cs="Arial" w:eastAsia="Arial" w:hAnsi="Arial"/>
                <w:sz w:val="17"/>
                <w:szCs w:val="17"/>
                <w:color w:val="auto"/>
              </w:rPr>
              <w:t>285,728</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50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Corporate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73,678</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73,678</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040" w:type="dxa"/>
            <w:vAlign w:val="bottom"/>
          </w:tcPr>
          <w:p>
            <w:pPr>
              <w:ind w:left="480"/>
              <w:spacing w:after="0"/>
              <w:rPr>
                <w:sz w:val="20"/>
                <w:szCs w:val="20"/>
                <w:color w:val="auto"/>
              </w:rPr>
            </w:pPr>
            <w:r>
              <w:rPr>
                <w:rFonts w:ascii="Arial" w:cs="Arial" w:eastAsia="Arial" w:hAnsi="Arial"/>
                <w:sz w:val="17"/>
                <w:szCs w:val="17"/>
                <w:color w:val="auto"/>
              </w:rPr>
              <w:t>Trust preferred</w:t>
            </w:r>
          </w:p>
        </w:tc>
        <w:tc>
          <w:tcPr>
            <w:tcW w:w="240" w:type="dxa"/>
            <w:vAlign w:val="bottom"/>
          </w:tcPr>
          <w:p>
            <w:pPr>
              <w:spacing w:after="0"/>
              <w:rPr>
                <w:sz w:val="18"/>
                <w:szCs w:val="18"/>
                <w:color w:val="auto"/>
              </w:rPr>
            </w:pPr>
          </w:p>
        </w:tc>
        <w:tc>
          <w:tcPr>
            <w:tcW w:w="1340" w:type="dxa"/>
            <w:vAlign w:val="bottom"/>
          </w:tcPr>
          <w:p>
            <w:pPr>
              <w:jc w:val="right"/>
              <w:ind w:right="74"/>
              <w:spacing w:after="0"/>
              <w:rPr>
                <w:sz w:val="20"/>
                <w:szCs w:val="20"/>
                <w:color w:val="auto"/>
              </w:rPr>
            </w:pPr>
            <w:r>
              <w:rPr>
                <w:rFonts w:ascii="Arial" w:cs="Arial" w:eastAsia="Arial" w:hAnsi="Arial"/>
                <w:sz w:val="17"/>
                <w:szCs w:val="17"/>
                <w:color w:val="auto"/>
              </w:rPr>
              <w:t>943</w:t>
            </w:r>
          </w:p>
        </w:tc>
        <w:tc>
          <w:tcPr>
            <w:tcW w:w="114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4"/>
              <w:spacing w:after="0"/>
              <w:rPr>
                <w:sz w:val="20"/>
                <w:szCs w:val="20"/>
                <w:color w:val="auto"/>
              </w:rPr>
            </w:pPr>
            <w:r>
              <w:rPr>
                <w:rFonts w:ascii="Arial" w:cs="Arial" w:eastAsia="Arial" w:hAnsi="Arial"/>
                <w:sz w:val="17"/>
                <w:szCs w:val="17"/>
                <w:color w:val="auto"/>
              </w:rPr>
              <w:t>943</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5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Loans held for sale, carried at fair value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13,979</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13,979</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040" w:type="dxa"/>
            <w:vAlign w:val="bottom"/>
          </w:tcPr>
          <w:p>
            <w:pPr>
              <w:ind w:left="320"/>
              <w:spacing w:after="0"/>
              <w:rPr>
                <w:sz w:val="20"/>
                <w:szCs w:val="20"/>
                <w:color w:val="auto"/>
              </w:rPr>
            </w:pPr>
            <w:r>
              <w:rPr>
                <w:rFonts w:ascii="Arial" w:cs="Arial" w:eastAsia="Arial" w:hAnsi="Arial"/>
                <w:sz w:val="17"/>
                <w:szCs w:val="17"/>
                <w:color w:val="auto"/>
              </w:rPr>
              <w:t>Capitalized mortgage loan servicing rights</w:t>
            </w:r>
          </w:p>
        </w:tc>
        <w:tc>
          <w:tcPr>
            <w:tcW w:w="240" w:type="dxa"/>
            <w:vAlign w:val="bottom"/>
          </w:tcPr>
          <w:p>
            <w:pPr>
              <w:spacing w:after="0"/>
              <w:rPr>
                <w:sz w:val="18"/>
                <w:szCs w:val="18"/>
                <w:color w:val="auto"/>
              </w:rPr>
            </w:pPr>
          </w:p>
        </w:tc>
        <w:tc>
          <w:tcPr>
            <w:tcW w:w="1340" w:type="dxa"/>
            <w:vAlign w:val="bottom"/>
          </w:tcPr>
          <w:p>
            <w:pPr>
              <w:jc w:val="right"/>
              <w:ind w:right="74"/>
              <w:spacing w:after="0"/>
              <w:rPr>
                <w:sz w:val="20"/>
                <w:szCs w:val="20"/>
                <w:color w:val="auto"/>
              </w:rPr>
            </w:pPr>
            <w:r>
              <w:rPr>
                <w:rFonts w:ascii="Arial" w:cs="Arial" w:eastAsia="Arial" w:hAnsi="Arial"/>
                <w:sz w:val="17"/>
                <w:szCs w:val="17"/>
                <w:color w:val="auto"/>
              </w:rPr>
              <w:t>46,057</w:t>
            </w:r>
          </w:p>
        </w:tc>
        <w:tc>
          <w:tcPr>
            <w:tcW w:w="114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46,057</w:t>
            </w:r>
          </w:p>
        </w:tc>
      </w:tr>
      <w:tr>
        <w:trPr>
          <w:trHeight w:val="220"/>
        </w:trPr>
        <w:tc>
          <w:tcPr>
            <w:tcW w:w="5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Derivatives (1)</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49,227</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49,227</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040" w:type="dxa"/>
            <w:vAlign w:val="bottom"/>
          </w:tcPr>
          <w:p>
            <w:pPr>
              <w:ind w:left="180"/>
              <w:spacing w:after="0"/>
              <w:rPr>
                <w:sz w:val="20"/>
                <w:szCs w:val="20"/>
                <w:color w:val="auto"/>
              </w:rPr>
            </w:pPr>
            <w:r>
              <w:rPr>
                <w:rFonts w:ascii="Arial" w:cs="Arial" w:eastAsia="Arial" w:hAnsi="Arial"/>
                <w:sz w:val="17"/>
                <w:szCs w:val="17"/>
                <w:color w:val="auto"/>
              </w:rPr>
              <w:t>Liabilities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0"/>
        </w:trPr>
        <w:tc>
          <w:tcPr>
            <w:tcW w:w="5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Derivatives (2)</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23,183</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23,183</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52"/>
        </w:trPr>
        <w:tc>
          <w:tcPr>
            <w:tcW w:w="50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Measured at Fair Value on a Non-recurring Basis: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8"/>
        </w:trPr>
        <w:tc>
          <w:tcPr>
            <w:tcW w:w="5040" w:type="dxa"/>
            <w:vAlign w:val="bottom"/>
          </w:tcPr>
          <w:p>
            <w:pPr>
              <w:ind w:left="180"/>
              <w:spacing w:after="0"/>
              <w:rPr>
                <w:sz w:val="20"/>
                <w:szCs w:val="20"/>
                <w:color w:val="auto"/>
              </w:rPr>
            </w:pPr>
            <w:r>
              <w:rPr>
                <w:rFonts w:ascii="Arial" w:cs="Arial" w:eastAsia="Arial" w:hAnsi="Arial"/>
                <w:sz w:val="17"/>
                <w:szCs w:val="17"/>
                <w:color w:val="auto"/>
              </w:rPr>
              <w:t>Assets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0"/>
        </w:trPr>
        <w:tc>
          <w:tcPr>
            <w:tcW w:w="5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Collateral dependent loans (3)</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8"/>
        </w:trPr>
        <w:tc>
          <w:tcPr>
            <w:tcW w:w="5040" w:type="dxa"/>
            <w:vAlign w:val="bottom"/>
          </w:tcPr>
          <w:p>
            <w:pPr>
              <w:ind w:left="480"/>
              <w:spacing w:after="0"/>
              <w:rPr>
                <w:sz w:val="20"/>
                <w:szCs w:val="20"/>
                <w:color w:val="auto"/>
              </w:rPr>
            </w:pPr>
            <w:r>
              <w:rPr>
                <w:rFonts w:ascii="Arial" w:cs="Arial" w:eastAsia="Arial" w:hAnsi="Arial"/>
                <w:sz w:val="17"/>
                <w:szCs w:val="17"/>
                <w:color w:val="auto"/>
              </w:rPr>
              <w:t>Commercial</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0"/>
        </w:trPr>
        <w:tc>
          <w:tcPr>
            <w:tcW w:w="50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Commercial and industrial</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2,769</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2,769</w:t>
            </w:r>
          </w:p>
        </w:tc>
      </w:tr>
      <w:tr>
        <w:trPr>
          <w:trHeight w:val="218"/>
        </w:trPr>
        <w:tc>
          <w:tcPr>
            <w:tcW w:w="5040" w:type="dxa"/>
            <w:vAlign w:val="bottom"/>
          </w:tcPr>
          <w:p>
            <w:pPr>
              <w:ind w:left="480"/>
              <w:spacing w:after="0"/>
              <w:rPr>
                <w:sz w:val="20"/>
                <w:szCs w:val="20"/>
                <w:color w:val="auto"/>
              </w:rPr>
            </w:pPr>
            <w:r>
              <w:rPr>
                <w:rFonts w:ascii="Arial" w:cs="Arial" w:eastAsia="Arial" w:hAnsi="Arial"/>
                <w:sz w:val="17"/>
                <w:szCs w:val="17"/>
                <w:color w:val="auto"/>
              </w:rPr>
              <w:t>Mortgage</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0"/>
        </w:trPr>
        <w:tc>
          <w:tcPr>
            <w:tcW w:w="50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1-4 family owner occupied - non-jumbo</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655</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w:t>
            </w:r>
          </w:p>
        </w:tc>
      </w:tr>
      <w:tr>
        <w:trPr>
          <w:trHeight w:val="218"/>
        </w:trPr>
        <w:tc>
          <w:tcPr>
            <w:tcW w:w="5040" w:type="dxa"/>
            <w:vAlign w:val="bottom"/>
          </w:tcPr>
          <w:p>
            <w:pPr>
              <w:ind w:left="640"/>
              <w:spacing w:after="0"/>
              <w:rPr>
                <w:sz w:val="20"/>
                <w:szCs w:val="20"/>
                <w:color w:val="auto"/>
              </w:rPr>
            </w:pPr>
            <w:r>
              <w:rPr>
                <w:rFonts w:ascii="Arial" w:cs="Arial" w:eastAsia="Arial" w:hAnsi="Arial"/>
                <w:sz w:val="17"/>
                <w:szCs w:val="17"/>
                <w:color w:val="auto"/>
              </w:rPr>
              <w:t>1-4 family - 2nd lien</w:t>
            </w:r>
          </w:p>
        </w:tc>
        <w:tc>
          <w:tcPr>
            <w:tcW w:w="240" w:type="dxa"/>
            <w:vAlign w:val="bottom"/>
          </w:tcPr>
          <w:p>
            <w:pPr>
              <w:spacing w:after="0"/>
              <w:rPr>
                <w:sz w:val="18"/>
                <w:szCs w:val="18"/>
                <w:color w:val="auto"/>
              </w:rPr>
            </w:pPr>
          </w:p>
        </w:tc>
        <w:tc>
          <w:tcPr>
            <w:tcW w:w="1340" w:type="dxa"/>
            <w:vAlign w:val="bottom"/>
          </w:tcPr>
          <w:p>
            <w:pPr>
              <w:jc w:val="right"/>
              <w:ind w:right="74"/>
              <w:spacing w:after="0"/>
              <w:rPr>
                <w:sz w:val="20"/>
                <w:szCs w:val="20"/>
                <w:color w:val="auto"/>
              </w:rPr>
            </w:pPr>
            <w:r>
              <w:rPr>
                <w:rFonts w:ascii="Arial" w:cs="Arial" w:eastAsia="Arial" w:hAnsi="Arial"/>
                <w:sz w:val="17"/>
                <w:szCs w:val="17"/>
                <w:color w:val="auto"/>
              </w:rPr>
              <w:t>201</w:t>
            </w:r>
          </w:p>
        </w:tc>
        <w:tc>
          <w:tcPr>
            <w:tcW w:w="114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201</w:t>
            </w:r>
          </w:p>
        </w:tc>
      </w:tr>
      <w:tr>
        <w:trPr>
          <w:trHeight w:val="220"/>
        </w:trPr>
        <w:tc>
          <w:tcPr>
            <w:tcW w:w="50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Resort lending</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60</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r>
      <w:tr>
        <w:trPr>
          <w:trHeight w:val="218"/>
        </w:trPr>
        <w:tc>
          <w:tcPr>
            <w:tcW w:w="5040" w:type="dxa"/>
            <w:vAlign w:val="bottom"/>
          </w:tcPr>
          <w:p>
            <w:pPr>
              <w:ind w:left="480"/>
              <w:spacing w:after="0"/>
              <w:rPr>
                <w:sz w:val="20"/>
                <w:szCs w:val="20"/>
                <w:color w:val="auto"/>
              </w:rPr>
            </w:pPr>
            <w:r>
              <w:rPr>
                <w:rFonts w:ascii="Arial" w:cs="Arial" w:eastAsia="Arial" w:hAnsi="Arial"/>
                <w:sz w:val="17"/>
                <w:szCs w:val="17"/>
                <w:color w:val="auto"/>
              </w:rPr>
              <w:t>Installment</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0"/>
        </w:trPr>
        <w:tc>
          <w:tcPr>
            <w:tcW w:w="50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Boat lending</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134</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r>
      <w:tr>
        <w:trPr>
          <w:trHeight w:val="218"/>
        </w:trPr>
        <w:tc>
          <w:tcPr>
            <w:tcW w:w="5040" w:type="dxa"/>
            <w:vAlign w:val="bottom"/>
          </w:tcPr>
          <w:p>
            <w:pPr>
              <w:ind w:left="640"/>
              <w:spacing w:after="0"/>
              <w:rPr>
                <w:sz w:val="20"/>
                <w:szCs w:val="20"/>
                <w:color w:val="auto"/>
              </w:rPr>
            </w:pPr>
            <w:r>
              <w:rPr>
                <w:rFonts w:ascii="Arial" w:cs="Arial" w:eastAsia="Arial" w:hAnsi="Arial"/>
                <w:sz w:val="17"/>
                <w:szCs w:val="17"/>
                <w:color w:val="auto"/>
              </w:rPr>
              <w:t>Recreational vehicle lending</w:t>
            </w:r>
          </w:p>
        </w:tc>
        <w:tc>
          <w:tcPr>
            <w:tcW w:w="240" w:type="dxa"/>
            <w:vAlign w:val="bottom"/>
          </w:tcPr>
          <w:p>
            <w:pPr>
              <w:spacing w:after="0"/>
              <w:rPr>
                <w:sz w:val="18"/>
                <w:szCs w:val="18"/>
                <w:color w:val="auto"/>
              </w:rPr>
            </w:pPr>
          </w:p>
        </w:tc>
        <w:tc>
          <w:tcPr>
            <w:tcW w:w="1340" w:type="dxa"/>
            <w:vAlign w:val="bottom"/>
          </w:tcPr>
          <w:p>
            <w:pPr>
              <w:jc w:val="right"/>
              <w:ind w:right="74"/>
              <w:spacing w:after="0"/>
              <w:rPr>
                <w:sz w:val="20"/>
                <w:szCs w:val="20"/>
                <w:color w:val="auto"/>
              </w:rPr>
            </w:pPr>
            <w:r>
              <w:rPr>
                <w:rFonts w:ascii="Arial" w:cs="Arial" w:eastAsia="Arial" w:hAnsi="Arial"/>
                <w:sz w:val="17"/>
                <w:szCs w:val="17"/>
                <w:color w:val="auto"/>
              </w:rPr>
              <w:t>152</w:t>
            </w:r>
          </w:p>
        </w:tc>
        <w:tc>
          <w:tcPr>
            <w:tcW w:w="114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152</w:t>
            </w:r>
          </w:p>
        </w:tc>
      </w:tr>
      <w:tr>
        <w:trPr>
          <w:trHeight w:val="220"/>
        </w:trPr>
        <w:tc>
          <w:tcPr>
            <w:tcW w:w="50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Other</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57</w:t>
            </w: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w:t>
      </w:r>
    </w:p>
    <w:p>
      <w:pPr>
        <w:spacing w:after="0" w:line="17" w:lineRule="exact"/>
        <w:rPr>
          <w:sz w:val="20"/>
          <w:szCs w:val="20"/>
          <w:color w:val="auto"/>
        </w:rPr>
      </w:pPr>
    </w:p>
    <w:p>
      <w:pPr>
        <w:ind w:left="300" w:hanging="297"/>
        <w:spacing w:after="0"/>
        <w:tabs>
          <w:tab w:leader="none" w:pos="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Included in accrued income and other assets</w:t>
      </w:r>
    </w:p>
    <w:p>
      <w:pPr>
        <w:spacing w:after="0" w:line="1" w:lineRule="exact"/>
        <w:rPr>
          <w:rFonts w:ascii="Arial" w:cs="Arial" w:eastAsia="Arial" w:hAnsi="Arial"/>
          <w:sz w:val="14"/>
          <w:szCs w:val="14"/>
          <w:color w:val="auto"/>
        </w:rPr>
      </w:pPr>
    </w:p>
    <w:p>
      <w:pPr>
        <w:ind w:left="300" w:hanging="297"/>
        <w:spacing w:after="0"/>
        <w:tabs>
          <w:tab w:leader="none" w:pos="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Included in accrued expenses and other liabilities</w:t>
      </w:r>
    </w:p>
    <w:p>
      <w:pPr>
        <w:spacing w:after="0" w:line="6" w:lineRule="exact"/>
        <w:rPr>
          <w:rFonts w:ascii="Arial" w:cs="Arial" w:eastAsia="Arial" w:hAnsi="Arial"/>
          <w:sz w:val="14"/>
          <w:szCs w:val="14"/>
          <w:color w:val="auto"/>
        </w:rPr>
      </w:pPr>
    </w:p>
    <w:p>
      <w:pPr>
        <w:ind w:left="300" w:hanging="297"/>
        <w:spacing w:after="0"/>
        <w:tabs>
          <w:tab w:leader="none" w:pos="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Only includes individually evaluated loans with specific loss allocations based on collateral value.</w:t>
      </w:r>
    </w:p>
    <w:p>
      <w:pPr>
        <w:spacing w:after="0" w:line="6" w:lineRule="exact"/>
        <w:rPr>
          <w:rFonts w:ascii="Arial" w:cs="Arial" w:eastAsia="Arial" w:hAnsi="Arial"/>
          <w:sz w:val="14"/>
          <w:szCs w:val="14"/>
          <w:color w:val="auto"/>
        </w:rPr>
      </w:pPr>
    </w:p>
    <w:p>
      <w:pPr>
        <w:ind w:left="300" w:hanging="297"/>
        <w:spacing w:after="0"/>
        <w:tabs>
          <w:tab w:leader="none" w:pos="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Only includes other real estate with subsequent write downs to fair value.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ind w:right="100"/>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(Unaudited)</w:t>
      </w:r>
    </w:p>
    <w:p>
      <w:pPr>
        <w:spacing w:after="0" w:line="296" w:lineRule="exact"/>
        <w:rPr>
          <w:sz w:val="20"/>
          <w:szCs w:val="20"/>
          <w:color w:val="auto"/>
        </w:rPr>
      </w:pPr>
    </w:p>
    <w:tbl>
      <w:tblPr>
        <w:tblLayout w:type="fixed"/>
        <w:tblInd w:w="620" w:type="dxa"/>
        <w:tblCellMar>
          <w:top w:w="0" w:type="dxa"/>
          <w:left w:w="0" w:type="dxa"/>
          <w:bottom w:w="0" w:type="dxa"/>
          <w:right w:w="0" w:type="dxa"/>
        </w:tblCellMar>
      </w:tblPr>
      <w:tr>
        <w:trPr>
          <w:trHeight w:val="218"/>
        </w:trPr>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3"/>
          </w:tcPr>
          <w:p>
            <w:pPr>
              <w:jc w:val="center"/>
              <w:ind w:left="174"/>
              <w:spacing w:after="0"/>
              <w:rPr>
                <w:sz w:val="20"/>
                <w:szCs w:val="20"/>
                <w:color w:val="auto"/>
              </w:rPr>
            </w:pPr>
            <w:r>
              <w:rPr>
                <w:rFonts w:ascii="Arial" w:cs="Arial" w:eastAsia="Arial" w:hAnsi="Arial"/>
                <w:sz w:val="17"/>
                <w:szCs w:val="17"/>
                <w:color w:val="auto"/>
                <w:w w:val="91"/>
              </w:rPr>
              <w:t>Fair Value Measurements Using</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center"/>
              <w:ind w:right="514"/>
              <w:spacing w:after="0" w:line="162" w:lineRule="exact"/>
              <w:rPr>
                <w:sz w:val="20"/>
                <w:szCs w:val="20"/>
                <w:color w:val="auto"/>
              </w:rPr>
            </w:pPr>
            <w:r>
              <w:rPr>
                <w:rFonts w:ascii="Arial" w:cs="Arial" w:eastAsia="Arial" w:hAnsi="Arial"/>
                <w:sz w:val="17"/>
                <w:szCs w:val="17"/>
                <w:color w:val="auto"/>
                <w:w w:val="89"/>
              </w:rPr>
              <w:t>Quoted</w:t>
            </w: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jc w:val="center"/>
              <w:ind w:right="514"/>
              <w:spacing w:after="0" w:line="180" w:lineRule="exact"/>
              <w:rPr>
                <w:sz w:val="20"/>
                <w:szCs w:val="20"/>
                <w:color w:val="auto"/>
              </w:rPr>
            </w:pPr>
            <w:r>
              <w:rPr>
                <w:rFonts w:ascii="Arial" w:cs="Arial" w:eastAsia="Arial" w:hAnsi="Arial"/>
                <w:sz w:val="17"/>
                <w:szCs w:val="17"/>
                <w:color w:val="auto"/>
                <w:w w:val="88"/>
              </w:rPr>
              <w:t>Prices</w:t>
            </w:r>
          </w:p>
        </w:tc>
        <w:tc>
          <w:tcPr>
            <w:tcW w:w="1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center"/>
              <w:ind w:right="494"/>
              <w:spacing w:after="0" w:line="167" w:lineRule="exact"/>
              <w:rPr>
                <w:sz w:val="20"/>
                <w:szCs w:val="20"/>
                <w:color w:val="auto"/>
              </w:rPr>
            </w:pPr>
            <w:r>
              <w:rPr>
                <w:rFonts w:ascii="Arial" w:cs="Arial" w:eastAsia="Arial" w:hAnsi="Arial"/>
                <w:sz w:val="17"/>
                <w:szCs w:val="17"/>
                <w:color w:val="auto"/>
                <w:w w:val="99"/>
              </w:rPr>
              <w:t>in Active</w:t>
            </w:r>
          </w:p>
        </w:tc>
        <w:tc>
          <w:tcPr>
            <w:tcW w:w="1280" w:type="dxa"/>
            <w:vAlign w:val="bottom"/>
            <w:vMerge w:val="restart"/>
          </w:tcPr>
          <w:p>
            <w:pPr>
              <w:jc w:val="center"/>
              <w:ind w:right="174"/>
              <w:spacing w:after="0"/>
              <w:rPr>
                <w:sz w:val="20"/>
                <w:szCs w:val="20"/>
                <w:color w:val="auto"/>
              </w:rPr>
            </w:pPr>
            <w:r>
              <w:rPr>
                <w:rFonts w:ascii="Arial" w:cs="Arial" w:eastAsia="Arial" w:hAnsi="Arial"/>
                <w:sz w:val="17"/>
                <w:szCs w:val="17"/>
                <w:color w:val="auto"/>
                <w:w w:val="94"/>
              </w:rPr>
              <w:t>Significant</w:t>
            </w: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Significa</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center"/>
              <w:ind w:right="494"/>
              <w:spacing w:after="0" w:line="167" w:lineRule="exact"/>
              <w:rPr>
                <w:sz w:val="20"/>
                <w:szCs w:val="20"/>
                <w:color w:val="auto"/>
              </w:rPr>
            </w:pPr>
            <w:r>
              <w:rPr>
                <w:rFonts w:ascii="Arial" w:cs="Arial" w:eastAsia="Arial" w:hAnsi="Arial"/>
                <w:sz w:val="17"/>
                <w:szCs w:val="17"/>
                <w:color w:val="auto"/>
                <w:w w:val="92"/>
              </w:rPr>
              <w:t>Markets</w:t>
            </w:r>
          </w:p>
        </w:tc>
        <w:tc>
          <w:tcPr>
            <w:tcW w:w="12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jc w:val="center"/>
              <w:ind w:right="494"/>
              <w:spacing w:after="0" w:line="180" w:lineRule="exact"/>
              <w:rPr>
                <w:sz w:val="20"/>
                <w:szCs w:val="20"/>
                <w:color w:val="auto"/>
              </w:rPr>
            </w:pPr>
            <w:r>
              <w:rPr>
                <w:rFonts w:ascii="Arial" w:cs="Arial" w:eastAsia="Arial" w:hAnsi="Arial"/>
                <w:sz w:val="17"/>
                <w:szCs w:val="17"/>
                <w:color w:val="auto"/>
              </w:rPr>
              <w:t>for</w:t>
            </w:r>
          </w:p>
        </w:tc>
        <w:tc>
          <w:tcPr>
            <w:tcW w:w="1280" w:type="dxa"/>
            <w:vAlign w:val="bottom"/>
          </w:tcPr>
          <w:p>
            <w:pPr>
              <w:jc w:val="center"/>
              <w:ind w:right="174"/>
              <w:spacing w:after="0" w:line="180" w:lineRule="exact"/>
              <w:rPr>
                <w:sz w:val="20"/>
                <w:szCs w:val="20"/>
                <w:color w:val="auto"/>
              </w:rPr>
            </w:pPr>
            <w:r>
              <w:rPr>
                <w:rFonts w:ascii="Arial" w:cs="Arial" w:eastAsia="Arial" w:hAnsi="Arial"/>
                <w:sz w:val="17"/>
                <w:szCs w:val="17"/>
                <w:color w:val="auto"/>
                <w:w w:val="89"/>
              </w:rPr>
              <w:t>Other</w:t>
            </w:r>
          </w:p>
        </w:tc>
        <w:tc>
          <w:tcPr>
            <w:tcW w:w="1020" w:type="dxa"/>
            <w:vAlign w:val="bottom"/>
          </w:tcPr>
          <w:p>
            <w:pPr>
              <w:jc w:val="right"/>
              <w:spacing w:after="0" w:line="180" w:lineRule="exact"/>
              <w:rPr>
                <w:sz w:val="20"/>
                <w:szCs w:val="20"/>
                <w:color w:val="auto"/>
              </w:rPr>
            </w:pPr>
            <w:r>
              <w:rPr>
                <w:rFonts w:ascii="Arial" w:cs="Arial" w:eastAsia="Arial" w:hAnsi="Arial"/>
                <w:sz w:val="17"/>
                <w:szCs w:val="17"/>
                <w:color w:val="auto"/>
              </w:rPr>
              <w:t>Un-</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254"/>
              <w:spacing w:after="0" w:line="167" w:lineRule="exact"/>
              <w:rPr>
                <w:sz w:val="20"/>
                <w:szCs w:val="20"/>
                <w:color w:val="auto"/>
              </w:rPr>
            </w:pPr>
            <w:r>
              <w:rPr>
                <w:rFonts w:ascii="Arial" w:cs="Arial" w:eastAsia="Arial" w:hAnsi="Arial"/>
                <w:sz w:val="17"/>
                <w:szCs w:val="17"/>
                <w:color w:val="auto"/>
                <w:w w:val="92"/>
              </w:rPr>
              <w:t>Fair Value</w:t>
            </w:r>
          </w:p>
        </w:tc>
        <w:tc>
          <w:tcPr>
            <w:tcW w:w="260" w:type="dxa"/>
            <w:vAlign w:val="bottom"/>
          </w:tcPr>
          <w:p>
            <w:pPr>
              <w:spacing w:after="0"/>
              <w:rPr>
                <w:sz w:val="14"/>
                <w:szCs w:val="14"/>
                <w:color w:val="auto"/>
              </w:rPr>
            </w:pPr>
          </w:p>
        </w:tc>
        <w:tc>
          <w:tcPr>
            <w:tcW w:w="1540" w:type="dxa"/>
            <w:vAlign w:val="bottom"/>
          </w:tcPr>
          <w:p>
            <w:pPr>
              <w:jc w:val="center"/>
              <w:ind w:right="494"/>
              <w:spacing w:after="0" w:line="167" w:lineRule="exact"/>
              <w:rPr>
                <w:sz w:val="20"/>
                <w:szCs w:val="20"/>
                <w:color w:val="auto"/>
              </w:rPr>
            </w:pPr>
            <w:r>
              <w:rPr>
                <w:rFonts w:ascii="Arial" w:cs="Arial" w:eastAsia="Arial" w:hAnsi="Arial"/>
                <w:sz w:val="17"/>
                <w:szCs w:val="17"/>
                <w:color w:val="auto"/>
                <w:w w:val="94"/>
              </w:rPr>
              <w:t>Identical</w:t>
            </w:r>
          </w:p>
        </w:tc>
        <w:tc>
          <w:tcPr>
            <w:tcW w:w="1280" w:type="dxa"/>
            <w:vAlign w:val="bottom"/>
          </w:tcPr>
          <w:p>
            <w:pPr>
              <w:jc w:val="center"/>
              <w:ind w:right="174"/>
              <w:spacing w:after="0" w:line="167" w:lineRule="exact"/>
              <w:rPr>
                <w:sz w:val="20"/>
                <w:szCs w:val="20"/>
                <w:color w:val="auto"/>
              </w:rPr>
            </w:pPr>
            <w:r>
              <w:rPr>
                <w:rFonts w:ascii="Arial" w:cs="Arial" w:eastAsia="Arial" w:hAnsi="Arial"/>
                <w:sz w:val="17"/>
                <w:szCs w:val="17"/>
                <w:color w:val="auto"/>
                <w:w w:val="89"/>
              </w:rPr>
              <w:t>Observable</w:t>
            </w:r>
          </w:p>
        </w:tc>
        <w:tc>
          <w:tcPr>
            <w:tcW w:w="1020" w:type="dxa"/>
            <w:vAlign w:val="bottom"/>
          </w:tcPr>
          <w:p>
            <w:pPr>
              <w:jc w:val="right"/>
              <w:spacing w:after="0" w:line="167" w:lineRule="exact"/>
              <w:rPr>
                <w:sz w:val="20"/>
                <w:szCs w:val="20"/>
                <w:color w:val="auto"/>
              </w:rPr>
            </w:pPr>
            <w:r>
              <w:rPr>
                <w:rFonts w:ascii="Arial" w:cs="Arial" w:eastAsia="Arial" w:hAnsi="Arial"/>
                <w:sz w:val="17"/>
                <w:szCs w:val="17"/>
                <w:color w:val="auto"/>
              </w:rPr>
              <w:t>observab</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254"/>
              <w:spacing w:after="0" w:line="167" w:lineRule="exact"/>
              <w:rPr>
                <w:sz w:val="20"/>
                <w:szCs w:val="20"/>
                <w:color w:val="auto"/>
              </w:rPr>
            </w:pPr>
            <w:r>
              <w:rPr>
                <w:rFonts w:ascii="Arial" w:cs="Arial" w:eastAsia="Arial" w:hAnsi="Arial"/>
                <w:sz w:val="17"/>
                <w:szCs w:val="17"/>
                <w:color w:val="auto"/>
                <w:w w:val="89"/>
              </w:rPr>
              <w:t>Measure-</w:t>
            </w:r>
          </w:p>
        </w:tc>
        <w:tc>
          <w:tcPr>
            <w:tcW w:w="260" w:type="dxa"/>
            <w:vAlign w:val="bottom"/>
          </w:tcPr>
          <w:p>
            <w:pPr>
              <w:spacing w:after="0"/>
              <w:rPr>
                <w:sz w:val="14"/>
                <w:szCs w:val="14"/>
                <w:color w:val="auto"/>
              </w:rPr>
            </w:pPr>
          </w:p>
        </w:tc>
        <w:tc>
          <w:tcPr>
            <w:tcW w:w="1540" w:type="dxa"/>
            <w:vAlign w:val="bottom"/>
          </w:tcPr>
          <w:p>
            <w:pPr>
              <w:jc w:val="center"/>
              <w:ind w:right="494"/>
              <w:spacing w:after="0" w:line="167" w:lineRule="exact"/>
              <w:rPr>
                <w:sz w:val="20"/>
                <w:szCs w:val="20"/>
                <w:color w:val="auto"/>
              </w:rPr>
            </w:pPr>
            <w:r>
              <w:rPr>
                <w:rFonts w:ascii="Arial" w:cs="Arial" w:eastAsia="Arial" w:hAnsi="Arial"/>
                <w:sz w:val="17"/>
                <w:szCs w:val="17"/>
                <w:color w:val="auto"/>
                <w:w w:val="86"/>
              </w:rPr>
              <w:t>Assets</w:t>
            </w:r>
          </w:p>
        </w:tc>
        <w:tc>
          <w:tcPr>
            <w:tcW w:w="1280" w:type="dxa"/>
            <w:vAlign w:val="bottom"/>
          </w:tcPr>
          <w:p>
            <w:pPr>
              <w:jc w:val="center"/>
              <w:ind w:right="174"/>
              <w:spacing w:after="0" w:line="167" w:lineRule="exact"/>
              <w:rPr>
                <w:sz w:val="20"/>
                <w:szCs w:val="20"/>
                <w:color w:val="auto"/>
              </w:rPr>
            </w:pPr>
            <w:r>
              <w:rPr>
                <w:rFonts w:ascii="Arial" w:cs="Arial" w:eastAsia="Arial" w:hAnsi="Arial"/>
                <w:sz w:val="17"/>
                <w:szCs w:val="17"/>
                <w:color w:val="auto"/>
                <w:w w:val="90"/>
              </w:rPr>
              <w:t>Inputs</w:t>
            </w:r>
          </w:p>
        </w:tc>
        <w:tc>
          <w:tcPr>
            <w:tcW w:w="1020" w:type="dxa"/>
            <w:vAlign w:val="bottom"/>
          </w:tcPr>
          <w:p>
            <w:pPr>
              <w:jc w:val="right"/>
              <w:spacing w:after="0" w:line="167" w:lineRule="exact"/>
              <w:rPr>
                <w:sz w:val="20"/>
                <w:szCs w:val="20"/>
                <w:color w:val="auto"/>
              </w:rPr>
            </w:pPr>
            <w:r>
              <w:rPr>
                <w:rFonts w:ascii="Arial" w:cs="Arial" w:eastAsia="Arial" w:hAnsi="Arial"/>
                <w:sz w:val="17"/>
                <w:szCs w:val="17"/>
                <w:color w:val="auto"/>
              </w:rPr>
              <w:t>Inputs</w:t>
            </w:r>
          </w:p>
        </w:tc>
        <w:tc>
          <w:tcPr>
            <w:tcW w:w="0" w:type="dxa"/>
            <w:vAlign w:val="bottom"/>
          </w:tcPr>
          <w:p>
            <w:pPr>
              <w:spacing w:after="0"/>
              <w:rPr>
                <w:sz w:val="1"/>
                <w:szCs w:val="1"/>
                <w:color w:val="auto"/>
              </w:rPr>
            </w:pPr>
          </w:p>
        </w:tc>
      </w:tr>
      <w:tr>
        <w:trPr>
          <w:trHeight w:val="231"/>
        </w:trPr>
        <w:tc>
          <w:tcPr>
            <w:tcW w:w="5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254"/>
              <w:spacing w:after="0"/>
              <w:rPr>
                <w:sz w:val="20"/>
                <w:szCs w:val="20"/>
                <w:color w:val="auto"/>
              </w:rPr>
            </w:pPr>
            <w:r>
              <w:rPr>
                <w:rFonts w:ascii="Arial" w:cs="Arial" w:eastAsia="Arial" w:hAnsi="Arial"/>
                <w:sz w:val="17"/>
                <w:szCs w:val="17"/>
                <w:color w:val="auto"/>
                <w:w w:val="86"/>
              </w:rPr>
              <w:t>ments</w:t>
            </w: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494"/>
              <w:spacing w:after="0"/>
              <w:rPr>
                <w:sz w:val="20"/>
                <w:szCs w:val="20"/>
                <w:color w:val="auto"/>
              </w:rPr>
            </w:pPr>
            <w:r>
              <w:rPr>
                <w:rFonts w:ascii="Arial" w:cs="Arial" w:eastAsia="Arial" w:hAnsi="Arial"/>
                <w:sz w:val="17"/>
                <w:szCs w:val="17"/>
                <w:color w:val="auto"/>
                <w:w w:val="96"/>
              </w:rPr>
              <w:t>(Level 1)</w:t>
            </w:r>
          </w:p>
        </w:tc>
        <w:tc>
          <w:tcPr>
            <w:tcW w:w="1280" w:type="dxa"/>
            <w:vAlign w:val="bottom"/>
            <w:tcBorders>
              <w:bottom w:val="single" w:sz="8" w:color="auto"/>
            </w:tcBorders>
          </w:tcPr>
          <w:p>
            <w:pPr>
              <w:jc w:val="center"/>
              <w:ind w:right="174"/>
              <w:spacing w:after="0"/>
              <w:rPr>
                <w:sz w:val="20"/>
                <w:szCs w:val="20"/>
                <w:color w:val="auto"/>
              </w:rPr>
            </w:pPr>
            <w:r>
              <w:rPr>
                <w:rFonts w:ascii="Arial" w:cs="Arial" w:eastAsia="Arial" w:hAnsi="Arial"/>
                <w:sz w:val="17"/>
                <w:szCs w:val="17"/>
                <w:color w:val="auto"/>
                <w:w w:val="93"/>
              </w:rPr>
              <w:t>(Level 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(Level 3</w:t>
            </w:r>
          </w:p>
        </w:tc>
        <w:tc>
          <w:tcPr>
            <w:tcW w:w="0" w:type="dxa"/>
            <w:vAlign w:val="bottom"/>
          </w:tcPr>
          <w:p>
            <w:pPr>
              <w:spacing w:after="0"/>
              <w:rPr>
                <w:sz w:val="1"/>
                <w:szCs w:val="1"/>
                <w:color w:val="auto"/>
              </w:rPr>
            </w:pPr>
          </w:p>
        </w:tc>
      </w:tr>
      <w:tr>
        <w:trPr>
          <w:trHeight w:val="211"/>
        </w:trPr>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20" w:type="dxa"/>
            <w:vAlign w:val="bottom"/>
            <w:gridSpan w:val="2"/>
          </w:tcPr>
          <w:p>
            <w:pPr>
              <w:jc w:val="right"/>
              <w:ind w:right="974"/>
              <w:spacing w:after="0"/>
              <w:rPr>
                <w:sz w:val="20"/>
                <w:szCs w:val="20"/>
                <w:color w:val="auto"/>
              </w:rPr>
            </w:pPr>
            <w:r>
              <w:rPr>
                <w:rFonts w:ascii="Arial" w:cs="Arial" w:eastAsia="Arial" w:hAnsi="Arial"/>
                <w:sz w:val="17"/>
                <w:szCs w:val="17"/>
                <w:color w:val="auto"/>
              </w:rPr>
              <w:t>(In thousands)</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December 31, 2022:</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040" w:type="dxa"/>
            <w:vAlign w:val="bottom"/>
          </w:tcPr>
          <w:p>
            <w:pPr>
              <w:ind w:left="20"/>
              <w:spacing w:after="0"/>
              <w:rPr>
                <w:sz w:val="20"/>
                <w:szCs w:val="20"/>
                <w:color w:val="auto"/>
              </w:rPr>
            </w:pPr>
            <w:r>
              <w:rPr>
                <w:rFonts w:ascii="Arial" w:cs="Arial" w:eastAsia="Arial" w:hAnsi="Arial"/>
                <w:sz w:val="17"/>
                <w:szCs w:val="17"/>
                <w:color w:val="auto"/>
              </w:rPr>
              <w:t>Measured at Fair Value on a Recurring Basis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Arial" w:cs="Arial" w:eastAsia="Arial" w:hAnsi="Arial"/>
                <w:sz w:val="17"/>
                <w:szCs w:val="17"/>
                <w:color w:val="auto"/>
              </w:rPr>
              <w:t>Assets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40" w:type="dxa"/>
            <w:vAlign w:val="bottom"/>
          </w:tcPr>
          <w:p>
            <w:pPr>
              <w:ind w:left="320"/>
              <w:spacing w:after="0"/>
              <w:rPr>
                <w:sz w:val="20"/>
                <w:szCs w:val="20"/>
                <w:color w:val="auto"/>
              </w:rPr>
            </w:pPr>
            <w:r>
              <w:rPr>
                <w:rFonts w:ascii="Arial" w:cs="Arial" w:eastAsia="Arial" w:hAnsi="Arial"/>
                <w:sz w:val="17"/>
                <w:szCs w:val="17"/>
                <w:color w:val="auto"/>
              </w:rPr>
              <w:t>Securities available for sale</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U.S. agency</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12,101</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  $</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12,101</w:t>
            </w:r>
          </w:p>
        </w:tc>
        <w:tc>
          <w:tcPr>
            <w:tcW w:w="102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5040" w:type="dxa"/>
            <w:vAlign w:val="bottom"/>
          </w:tcPr>
          <w:p>
            <w:pPr>
              <w:ind w:left="480"/>
              <w:spacing w:after="0"/>
              <w:rPr>
                <w:sz w:val="20"/>
                <w:szCs w:val="20"/>
                <w:color w:val="auto"/>
              </w:rPr>
            </w:pPr>
            <w:r>
              <w:rPr>
                <w:rFonts w:ascii="Arial" w:cs="Arial" w:eastAsia="Arial" w:hAnsi="Arial"/>
                <w:sz w:val="17"/>
                <w:szCs w:val="17"/>
                <w:color w:val="auto"/>
              </w:rPr>
              <w:t>U.S. agency residential mortgage-backed</w:t>
            </w:r>
          </w:p>
        </w:tc>
        <w:tc>
          <w:tcPr>
            <w:tcW w:w="240" w:type="dxa"/>
            <w:vAlign w:val="bottom"/>
          </w:tcPr>
          <w:p>
            <w:pPr>
              <w:spacing w:after="0"/>
              <w:rPr>
                <w:sz w:val="18"/>
                <w:szCs w:val="18"/>
                <w:color w:val="auto"/>
              </w:rPr>
            </w:pPr>
          </w:p>
        </w:tc>
        <w:tc>
          <w:tcPr>
            <w:tcW w:w="1340" w:type="dxa"/>
            <w:vAlign w:val="bottom"/>
          </w:tcPr>
          <w:p>
            <w:pPr>
              <w:jc w:val="right"/>
              <w:ind w:right="74"/>
              <w:spacing w:after="0"/>
              <w:rPr>
                <w:sz w:val="20"/>
                <w:szCs w:val="20"/>
                <w:color w:val="auto"/>
              </w:rPr>
            </w:pPr>
            <w:r>
              <w:rPr>
                <w:rFonts w:ascii="Arial" w:cs="Arial" w:eastAsia="Arial" w:hAnsi="Arial"/>
                <w:sz w:val="17"/>
                <w:szCs w:val="17"/>
                <w:color w:val="auto"/>
              </w:rPr>
              <w:t>90,458</w:t>
            </w:r>
          </w:p>
        </w:tc>
        <w:tc>
          <w:tcPr>
            <w:tcW w:w="260" w:type="dxa"/>
            <w:vAlign w:val="bottom"/>
          </w:tcPr>
          <w:p>
            <w:pPr>
              <w:spacing w:after="0"/>
              <w:rPr>
                <w:sz w:val="18"/>
                <w:szCs w:val="18"/>
                <w:color w:val="auto"/>
              </w:rPr>
            </w:pPr>
          </w:p>
        </w:tc>
        <w:tc>
          <w:tcPr>
            <w:tcW w:w="154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4"/>
              <w:spacing w:after="0"/>
              <w:rPr>
                <w:sz w:val="20"/>
                <w:szCs w:val="20"/>
                <w:color w:val="auto"/>
              </w:rPr>
            </w:pPr>
            <w:r>
              <w:rPr>
                <w:rFonts w:ascii="Arial" w:cs="Arial" w:eastAsia="Arial" w:hAnsi="Arial"/>
                <w:sz w:val="17"/>
                <w:szCs w:val="17"/>
                <w:color w:val="auto"/>
              </w:rPr>
              <w:t>90,458</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U.S. agency commercial mortgage-backed</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13,453</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13,453</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40" w:type="dxa"/>
            <w:vAlign w:val="bottom"/>
          </w:tcPr>
          <w:p>
            <w:pPr>
              <w:ind w:left="480"/>
              <w:spacing w:after="0"/>
              <w:rPr>
                <w:sz w:val="20"/>
                <w:szCs w:val="20"/>
                <w:color w:val="auto"/>
              </w:rPr>
            </w:pPr>
            <w:r>
              <w:rPr>
                <w:rFonts w:ascii="Arial" w:cs="Arial" w:eastAsia="Arial" w:hAnsi="Arial"/>
                <w:sz w:val="17"/>
                <w:szCs w:val="17"/>
                <w:color w:val="auto"/>
              </w:rPr>
              <w:t>Private label mortgage-backed</w:t>
            </w:r>
          </w:p>
        </w:tc>
        <w:tc>
          <w:tcPr>
            <w:tcW w:w="240" w:type="dxa"/>
            <w:vAlign w:val="bottom"/>
          </w:tcPr>
          <w:p>
            <w:pPr>
              <w:spacing w:after="0"/>
              <w:rPr>
                <w:sz w:val="18"/>
                <w:szCs w:val="18"/>
                <w:color w:val="auto"/>
              </w:rPr>
            </w:pPr>
          </w:p>
        </w:tc>
        <w:tc>
          <w:tcPr>
            <w:tcW w:w="1340" w:type="dxa"/>
            <w:vAlign w:val="bottom"/>
          </w:tcPr>
          <w:p>
            <w:pPr>
              <w:jc w:val="right"/>
              <w:ind w:right="74"/>
              <w:spacing w:after="0"/>
              <w:rPr>
                <w:sz w:val="20"/>
                <w:szCs w:val="20"/>
                <w:color w:val="auto"/>
              </w:rPr>
            </w:pPr>
            <w:r>
              <w:rPr>
                <w:rFonts w:ascii="Arial" w:cs="Arial" w:eastAsia="Arial" w:hAnsi="Arial"/>
                <w:sz w:val="17"/>
                <w:szCs w:val="17"/>
                <w:color w:val="auto"/>
              </w:rPr>
              <w:t>93,845</w:t>
            </w:r>
          </w:p>
        </w:tc>
        <w:tc>
          <w:tcPr>
            <w:tcW w:w="260" w:type="dxa"/>
            <w:vAlign w:val="bottom"/>
          </w:tcPr>
          <w:p>
            <w:pPr>
              <w:spacing w:after="0"/>
              <w:rPr>
                <w:sz w:val="18"/>
                <w:szCs w:val="18"/>
                <w:color w:val="auto"/>
              </w:rPr>
            </w:pPr>
          </w:p>
        </w:tc>
        <w:tc>
          <w:tcPr>
            <w:tcW w:w="154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4"/>
              <w:spacing w:after="0"/>
              <w:rPr>
                <w:sz w:val="20"/>
                <w:szCs w:val="20"/>
                <w:color w:val="auto"/>
              </w:rPr>
            </w:pPr>
            <w:r>
              <w:rPr>
                <w:rFonts w:ascii="Arial" w:cs="Arial" w:eastAsia="Arial" w:hAnsi="Arial"/>
                <w:sz w:val="17"/>
                <w:szCs w:val="17"/>
                <w:color w:val="auto"/>
              </w:rPr>
              <w:t>93,845</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Other asset backed</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194,725</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194,725</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40" w:type="dxa"/>
            <w:vAlign w:val="bottom"/>
          </w:tcPr>
          <w:p>
            <w:pPr>
              <w:ind w:left="480"/>
              <w:spacing w:after="0"/>
              <w:rPr>
                <w:sz w:val="20"/>
                <w:szCs w:val="20"/>
                <w:color w:val="auto"/>
              </w:rPr>
            </w:pPr>
            <w:r>
              <w:rPr>
                <w:rFonts w:ascii="Arial" w:cs="Arial" w:eastAsia="Arial" w:hAnsi="Arial"/>
                <w:sz w:val="17"/>
                <w:szCs w:val="17"/>
                <w:color w:val="auto"/>
              </w:rPr>
              <w:t>Obligations of states and political subdivisions</w:t>
            </w:r>
          </w:p>
        </w:tc>
        <w:tc>
          <w:tcPr>
            <w:tcW w:w="240" w:type="dxa"/>
            <w:vAlign w:val="bottom"/>
          </w:tcPr>
          <w:p>
            <w:pPr>
              <w:spacing w:after="0"/>
              <w:rPr>
                <w:sz w:val="18"/>
                <w:szCs w:val="18"/>
                <w:color w:val="auto"/>
              </w:rPr>
            </w:pPr>
          </w:p>
        </w:tc>
        <w:tc>
          <w:tcPr>
            <w:tcW w:w="1340" w:type="dxa"/>
            <w:vAlign w:val="bottom"/>
          </w:tcPr>
          <w:p>
            <w:pPr>
              <w:jc w:val="right"/>
              <w:ind w:right="74"/>
              <w:spacing w:after="0"/>
              <w:rPr>
                <w:sz w:val="20"/>
                <w:szCs w:val="20"/>
                <w:color w:val="auto"/>
              </w:rPr>
            </w:pPr>
            <w:r>
              <w:rPr>
                <w:rFonts w:ascii="Arial" w:cs="Arial" w:eastAsia="Arial" w:hAnsi="Arial"/>
                <w:sz w:val="17"/>
                <w:szCs w:val="17"/>
                <w:color w:val="auto"/>
              </w:rPr>
              <w:t>295,677</w:t>
            </w:r>
          </w:p>
        </w:tc>
        <w:tc>
          <w:tcPr>
            <w:tcW w:w="260" w:type="dxa"/>
            <w:vAlign w:val="bottom"/>
          </w:tcPr>
          <w:p>
            <w:pPr>
              <w:spacing w:after="0"/>
              <w:rPr>
                <w:sz w:val="18"/>
                <w:szCs w:val="18"/>
                <w:color w:val="auto"/>
              </w:rPr>
            </w:pPr>
          </w:p>
        </w:tc>
        <w:tc>
          <w:tcPr>
            <w:tcW w:w="154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4"/>
              <w:spacing w:after="0"/>
              <w:rPr>
                <w:sz w:val="20"/>
                <w:szCs w:val="20"/>
                <w:color w:val="auto"/>
              </w:rPr>
            </w:pPr>
            <w:r>
              <w:rPr>
                <w:rFonts w:ascii="Arial" w:cs="Arial" w:eastAsia="Arial" w:hAnsi="Arial"/>
                <w:sz w:val="17"/>
                <w:szCs w:val="17"/>
                <w:color w:val="auto"/>
              </w:rPr>
              <w:t>295,677</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Corporate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78,157</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78,157</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40" w:type="dxa"/>
            <w:vAlign w:val="bottom"/>
          </w:tcPr>
          <w:p>
            <w:pPr>
              <w:ind w:left="480"/>
              <w:spacing w:after="0"/>
              <w:rPr>
                <w:sz w:val="20"/>
                <w:szCs w:val="20"/>
                <w:color w:val="auto"/>
              </w:rPr>
            </w:pPr>
            <w:r>
              <w:rPr>
                <w:rFonts w:ascii="Arial" w:cs="Arial" w:eastAsia="Arial" w:hAnsi="Arial"/>
                <w:sz w:val="17"/>
                <w:szCs w:val="17"/>
                <w:color w:val="auto"/>
              </w:rPr>
              <w:t>Trust preferred</w:t>
            </w:r>
          </w:p>
        </w:tc>
        <w:tc>
          <w:tcPr>
            <w:tcW w:w="240" w:type="dxa"/>
            <w:vAlign w:val="bottom"/>
          </w:tcPr>
          <w:p>
            <w:pPr>
              <w:spacing w:after="0"/>
              <w:rPr>
                <w:sz w:val="18"/>
                <w:szCs w:val="18"/>
                <w:color w:val="auto"/>
              </w:rPr>
            </w:pPr>
          </w:p>
        </w:tc>
        <w:tc>
          <w:tcPr>
            <w:tcW w:w="1340" w:type="dxa"/>
            <w:vAlign w:val="bottom"/>
          </w:tcPr>
          <w:p>
            <w:pPr>
              <w:jc w:val="right"/>
              <w:ind w:right="74"/>
              <w:spacing w:after="0"/>
              <w:rPr>
                <w:sz w:val="20"/>
                <w:szCs w:val="20"/>
                <w:color w:val="auto"/>
              </w:rPr>
            </w:pPr>
            <w:r>
              <w:rPr>
                <w:rFonts w:ascii="Arial" w:cs="Arial" w:eastAsia="Arial" w:hAnsi="Arial"/>
                <w:sz w:val="17"/>
                <w:szCs w:val="17"/>
                <w:color w:val="auto"/>
              </w:rPr>
              <w:t>931</w:t>
            </w:r>
          </w:p>
        </w:tc>
        <w:tc>
          <w:tcPr>
            <w:tcW w:w="260" w:type="dxa"/>
            <w:vAlign w:val="bottom"/>
          </w:tcPr>
          <w:p>
            <w:pPr>
              <w:spacing w:after="0"/>
              <w:rPr>
                <w:sz w:val="18"/>
                <w:szCs w:val="18"/>
                <w:color w:val="auto"/>
              </w:rPr>
            </w:pPr>
          </w:p>
        </w:tc>
        <w:tc>
          <w:tcPr>
            <w:tcW w:w="154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4"/>
              <w:spacing w:after="0"/>
              <w:rPr>
                <w:sz w:val="20"/>
                <w:szCs w:val="20"/>
                <w:color w:val="auto"/>
              </w:rPr>
            </w:pPr>
            <w:r>
              <w:rPr>
                <w:rFonts w:ascii="Arial" w:cs="Arial" w:eastAsia="Arial" w:hAnsi="Arial"/>
                <w:sz w:val="17"/>
                <w:szCs w:val="17"/>
                <w:color w:val="auto"/>
              </w:rPr>
              <w:t>931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Loans held for sale, carried at fair value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26,518</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26,518</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40" w:type="dxa"/>
            <w:vAlign w:val="bottom"/>
          </w:tcPr>
          <w:p>
            <w:pPr>
              <w:ind w:left="320"/>
              <w:spacing w:after="0"/>
              <w:rPr>
                <w:sz w:val="20"/>
                <w:szCs w:val="20"/>
                <w:color w:val="auto"/>
              </w:rPr>
            </w:pPr>
            <w:r>
              <w:rPr>
                <w:rFonts w:ascii="Arial" w:cs="Arial" w:eastAsia="Arial" w:hAnsi="Arial"/>
                <w:sz w:val="17"/>
                <w:szCs w:val="17"/>
                <w:color w:val="auto"/>
              </w:rPr>
              <w:t>Capitalized mortgage loan servicing rights</w:t>
            </w:r>
          </w:p>
        </w:tc>
        <w:tc>
          <w:tcPr>
            <w:tcW w:w="240" w:type="dxa"/>
            <w:vAlign w:val="bottom"/>
          </w:tcPr>
          <w:p>
            <w:pPr>
              <w:spacing w:after="0"/>
              <w:rPr>
                <w:sz w:val="18"/>
                <w:szCs w:val="18"/>
                <w:color w:val="auto"/>
              </w:rPr>
            </w:pPr>
          </w:p>
        </w:tc>
        <w:tc>
          <w:tcPr>
            <w:tcW w:w="1340" w:type="dxa"/>
            <w:vAlign w:val="bottom"/>
          </w:tcPr>
          <w:p>
            <w:pPr>
              <w:jc w:val="right"/>
              <w:ind w:right="74"/>
              <w:spacing w:after="0"/>
              <w:rPr>
                <w:sz w:val="20"/>
                <w:szCs w:val="20"/>
                <w:color w:val="auto"/>
              </w:rPr>
            </w:pPr>
            <w:r>
              <w:rPr>
                <w:rFonts w:ascii="Arial" w:cs="Arial" w:eastAsia="Arial" w:hAnsi="Arial"/>
                <w:sz w:val="17"/>
                <w:szCs w:val="17"/>
                <w:color w:val="auto"/>
              </w:rPr>
              <w:t>42,489</w:t>
            </w:r>
          </w:p>
        </w:tc>
        <w:tc>
          <w:tcPr>
            <w:tcW w:w="260" w:type="dxa"/>
            <w:vAlign w:val="bottom"/>
          </w:tcPr>
          <w:p>
            <w:pPr>
              <w:spacing w:after="0"/>
              <w:rPr>
                <w:sz w:val="18"/>
                <w:szCs w:val="18"/>
                <w:color w:val="auto"/>
              </w:rPr>
            </w:pPr>
          </w:p>
        </w:tc>
        <w:tc>
          <w:tcPr>
            <w:tcW w:w="154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Derivatives (1)</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39,747</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39,747</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40" w:type="dxa"/>
            <w:vAlign w:val="bottom"/>
          </w:tcPr>
          <w:p>
            <w:pPr>
              <w:ind w:left="180"/>
              <w:spacing w:after="0"/>
              <w:rPr>
                <w:sz w:val="20"/>
                <w:szCs w:val="20"/>
                <w:color w:val="auto"/>
              </w:rPr>
            </w:pPr>
            <w:r>
              <w:rPr>
                <w:rFonts w:ascii="Arial" w:cs="Arial" w:eastAsia="Arial" w:hAnsi="Arial"/>
                <w:sz w:val="17"/>
                <w:szCs w:val="17"/>
                <w:color w:val="auto"/>
              </w:rPr>
              <w:t>Liabilities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Derivatives (2)</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19,127</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19,127</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Measured at Fair Value on a Non-recurring Basis: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40" w:type="dxa"/>
            <w:vAlign w:val="bottom"/>
          </w:tcPr>
          <w:p>
            <w:pPr>
              <w:ind w:left="180"/>
              <w:spacing w:after="0"/>
              <w:rPr>
                <w:sz w:val="20"/>
                <w:szCs w:val="20"/>
                <w:color w:val="auto"/>
              </w:rPr>
            </w:pPr>
            <w:r>
              <w:rPr>
                <w:rFonts w:ascii="Arial" w:cs="Arial" w:eastAsia="Arial" w:hAnsi="Arial"/>
                <w:sz w:val="17"/>
                <w:szCs w:val="17"/>
                <w:color w:val="auto"/>
              </w:rPr>
              <w:t>Assets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Loans held for sale, carried at the lower of cost or fair value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20,367</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20,367</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40" w:type="dxa"/>
            <w:vAlign w:val="bottom"/>
          </w:tcPr>
          <w:p>
            <w:pPr>
              <w:ind w:left="320"/>
              <w:spacing w:after="0"/>
              <w:rPr>
                <w:sz w:val="20"/>
                <w:szCs w:val="20"/>
                <w:color w:val="auto"/>
              </w:rPr>
            </w:pPr>
            <w:r>
              <w:rPr>
                <w:rFonts w:ascii="Arial" w:cs="Arial" w:eastAsia="Arial" w:hAnsi="Arial"/>
                <w:sz w:val="17"/>
                <w:szCs w:val="17"/>
                <w:color w:val="auto"/>
              </w:rPr>
              <w:t>Collateral dependent loans (3)</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Commercial</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40" w:type="dxa"/>
            <w:vAlign w:val="bottom"/>
          </w:tcPr>
          <w:p>
            <w:pPr>
              <w:ind w:left="640"/>
              <w:spacing w:after="0"/>
              <w:rPr>
                <w:sz w:val="20"/>
                <w:szCs w:val="20"/>
                <w:color w:val="auto"/>
              </w:rPr>
            </w:pPr>
            <w:r>
              <w:rPr>
                <w:rFonts w:ascii="Arial" w:cs="Arial" w:eastAsia="Arial" w:hAnsi="Arial"/>
                <w:sz w:val="17"/>
                <w:szCs w:val="17"/>
                <w:color w:val="auto"/>
              </w:rPr>
              <w:t>Commercial and industrial</w:t>
            </w:r>
          </w:p>
        </w:tc>
        <w:tc>
          <w:tcPr>
            <w:tcW w:w="240" w:type="dxa"/>
            <w:vAlign w:val="bottom"/>
          </w:tcPr>
          <w:p>
            <w:pPr>
              <w:spacing w:after="0"/>
              <w:rPr>
                <w:sz w:val="18"/>
                <w:szCs w:val="18"/>
                <w:color w:val="auto"/>
              </w:rPr>
            </w:pPr>
          </w:p>
        </w:tc>
        <w:tc>
          <w:tcPr>
            <w:tcW w:w="1340" w:type="dxa"/>
            <w:vAlign w:val="bottom"/>
          </w:tcPr>
          <w:p>
            <w:pPr>
              <w:jc w:val="right"/>
              <w:ind w:right="74"/>
              <w:spacing w:after="0"/>
              <w:rPr>
                <w:sz w:val="20"/>
                <w:szCs w:val="20"/>
                <w:color w:val="auto"/>
              </w:rPr>
            </w:pPr>
            <w:r>
              <w:rPr>
                <w:rFonts w:ascii="Arial" w:cs="Arial" w:eastAsia="Arial" w:hAnsi="Arial"/>
                <w:sz w:val="17"/>
                <w:szCs w:val="17"/>
                <w:color w:val="auto"/>
              </w:rPr>
              <w:t>138</w:t>
            </w:r>
          </w:p>
        </w:tc>
        <w:tc>
          <w:tcPr>
            <w:tcW w:w="260" w:type="dxa"/>
            <w:vAlign w:val="bottom"/>
          </w:tcPr>
          <w:p>
            <w:pPr>
              <w:spacing w:after="0"/>
              <w:rPr>
                <w:sz w:val="18"/>
                <w:szCs w:val="18"/>
                <w:color w:val="auto"/>
              </w:rPr>
            </w:pPr>
          </w:p>
        </w:tc>
        <w:tc>
          <w:tcPr>
            <w:tcW w:w="154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Commercial real estate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1,068</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40" w:type="dxa"/>
            <w:vAlign w:val="bottom"/>
          </w:tcPr>
          <w:p>
            <w:pPr>
              <w:ind w:left="480"/>
              <w:spacing w:after="0"/>
              <w:rPr>
                <w:sz w:val="20"/>
                <w:szCs w:val="20"/>
                <w:color w:val="auto"/>
              </w:rPr>
            </w:pPr>
            <w:r>
              <w:rPr>
                <w:rFonts w:ascii="Arial" w:cs="Arial" w:eastAsia="Arial" w:hAnsi="Arial"/>
                <w:sz w:val="17"/>
                <w:szCs w:val="17"/>
                <w:color w:val="auto"/>
              </w:rPr>
              <w:t>Mortgage</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1-4 family owner occupied - non-jumbo</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415</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40" w:type="dxa"/>
            <w:vAlign w:val="bottom"/>
          </w:tcPr>
          <w:p>
            <w:pPr>
              <w:ind w:left="640"/>
              <w:spacing w:after="0"/>
              <w:rPr>
                <w:sz w:val="20"/>
                <w:szCs w:val="20"/>
                <w:color w:val="auto"/>
              </w:rPr>
            </w:pPr>
            <w:r>
              <w:rPr>
                <w:rFonts w:ascii="Arial" w:cs="Arial" w:eastAsia="Arial" w:hAnsi="Arial"/>
                <w:sz w:val="17"/>
                <w:szCs w:val="17"/>
                <w:color w:val="auto"/>
              </w:rPr>
              <w:t>1-4 family non-owner occupied</w:t>
            </w:r>
          </w:p>
        </w:tc>
        <w:tc>
          <w:tcPr>
            <w:tcW w:w="240" w:type="dxa"/>
            <w:vAlign w:val="bottom"/>
          </w:tcPr>
          <w:p>
            <w:pPr>
              <w:spacing w:after="0"/>
              <w:rPr>
                <w:sz w:val="18"/>
                <w:szCs w:val="18"/>
                <w:color w:val="auto"/>
              </w:rPr>
            </w:pPr>
          </w:p>
        </w:tc>
        <w:tc>
          <w:tcPr>
            <w:tcW w:w="1340" w:type="dxa"/>
            <w:vAlign w:val="bottom"/>
          </w:tcPr>
          <w:p>
            <w:pPr>
              <w:jc w:val="right"/>
              <w:ind w:right="74"/>
              <w:spacing w:after="0"/>
              <w:rPr>
                <w:sz w:val="20"/>
                <w:szCs w:val="20"/>
                <w:color w:val="auto"/>
              </w:rPr>
            </w:pPr>
            <w:r>
              <w:rPr>
                <w:rFonts w:ascii="Arial" w:cs="Arial" w:eastAsia="Arial" w:hAnsi="Arial"/>
                <w:sz w:val="17"/>
                <w:szCs w:val="17"/>
                <w:color w:val="auto"/>
              </w:rPr>
              <w:t>52</w:t>
            </w:r>
          </w:p>
        </w:tc>
        <w:tc>
          <w:tcPr>
            <w:tcW w:w="260" w:type="dxa"/>
            <w:vAlign w:val="bottom"/>
          </w:tcPr>
          <w:p>
            <w:pPr>
              <w:spacing w:after="0"/>
              <w:rPr>
                <w:sz w:val="18"/>
                <w:szCs w:val="18"/>
                <w:color w:val="auto"/>
              </w:rPr>
            </w:pPr>
          </w:p>
        </w:tc>
        <w:tc>
          <w:tcPr>
            <w:tcW w:w="154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1-4 family - 2nd lien</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165</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40" w:type="dxa"/>
            <w:vAlign w:val="bottom"/>
          </w:tcPr>
          <w:p>
            <w:pPr>
              <w:ind w:left="640"/>
              <w:spacing w:after="0"/>
              <w:rPr>
                <w:sz w:val="20"/>
                <w:szCs w:val="20"/>
                <w:color w:val="auto"/>
              </w:rPr>
            </w:pPr>
            <w:r>
              <w:rPr>
                <w:rFonts w:ascii="Arial" w:cs="Arial" w:eastAsia="Arial" w:hAnsi="Arial"/>
                <w:sz w:val="17"/>
                <w:szCs w:val="17"/>
                <w:color w:val="auto"/>
              </w:rPr>
              <w:t>Resort lending</w:t>
            </w:r>
          </w:p>
        </w:tc>
        <w:tc>
          <w:tcPr>
            <w:tcW w:w="240" w:type="dxa"/>
            <w:vAlign w:val="bottom"/>
          </w:tcPr>
          <w:p>
            <w:pPr>
              <w:spacing w:after="0"/>
              <w:rPr>
                <w:sz w:val="18"/>
                <w:szCs w:val="18"/>
                <w:color w:val="auto"/>
              </w:rPr>
            </w:pPr>
          </w:p>
        </w:tc>
        <w:tc>
          <w:tcPr>
            <w:tcW w:w="1340" w:type="dxa"/>
            <w:vAlign w:val="bottom"/>
          </w:tcPr>
          <w:p>
            <w:pPr>
              <w:jc w:val="right"/>
              <w:ind w:right="74"/>
              <w:spacing w:after="0"/>
              <w:rPr>
                <w:sz w:val="20"/>
                <w:szCs w:val="20"/>
                <w:color w:val="auto"/>
              </w:rPr>
            </w:pPr>
            <w:r>
              <w:rPr>
                <w:rFonts w:ascii="Arial" w:cs="Arial" w:eastAsia="Arial" w:hAnsi="Arial"/>
                <w:sz w:val="17"/>
                <w:szCs w:val="17"/>
                <w:color w:val="auto"/>
              </w:rPr>
              <w:t>25</w:t>
            </w:r>
          </w:p>
        </w:tc>
        <w:tc>
          <w:tcPr>
            <w:tcW w:w="260" w:type="dxa"/>
            <w:vAlign w:val="bottom"/>
          </w:tcPr>
          <w:p>
            <w:pPr>
              <w:spacing w:after="0"/>
              <w:rPr>
                <w:sz w:val="18"/>
                <w:szCs w:val="18"/>
                <w:color w:val="auto"/>
              </w:rPr>
            </w:pPr>
          </w:p>
        </w:tc>
        <w:tc>
          <w:tcPr>
            <w:tcW w:w="154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Installment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40" w:type="dxa"/>
            <w:vAlign w:val="bottom"/>
          </w:tcPr>
          <w:p>
            <w:pPr>
              <w:ind w:left="640"/>
              <w:spacing w:after="0"/>
              <w:rPr>
                <w:sz w:val="20"/>
                <w:szCs w:val="20"/>
                <w:color w:val="auto"/>
              </w:rPr>
            </w:pPr>
            <w:r>
              <w:rPr>
                <w:rFonts w:ascii="Arial" w:cs="Arial" w:eastAsia="Arial" w:hAnsi="Arial"/>
                <w:sz w:val="17"/>
                <w:szCs w:val="17"/>
                <w:color w:val="auto"/>
              </w:rPr>
              <w:t>Boat lending</w:t>
            </w:r>
          </w:p>
        </w:tc>
        <w:tc>
          <w:tcPr>
            <w:tcW w:w="240" w:type="dxa"/>
            <w:vAlign w:val="bottom"/>
          </w:tcPr>
          <w:p>
            <w:pPr>
              <w:spacing w:after="0"/>
              <w:rPr>
                <w:sz w:val="18"/>
                <w:szCs w:val="18"/>
                <w:color w:val="auto"/>
              </w:rPr>
            </w:pPr>
          </w:p>
        </w:tc>
        <w:tc>
          <w:tcPr>
            <w:tcW w:w="1340" w:type="dxa"/>
            <w:vAlign w:val="bottom"/>
          </w:tcPr>
          <w:p>
            <w:pPr>
              <w:jc w:val="right"/>
              <w:ind w:right="74"/>
              <w:spacing w:after="0"/>
              <w:rPr>
                <w:sz w:val="20"/>
                <w:szCs w:val="20"/>
                <w:color w:val="auto"/>
              </w:rPr>
            </w:pPr>
            <w:r>
              <w:rPr>
                <w:rFonts w:ascii="Arial" w:cs="Arial" w:eastAsia="Arial" w:hAnsi="Arial"/>
                <w:sz w:val="17"/>
                <w:szCs w:val="17"/>
                <w:color w:val="auto"/>
              </w:rPr>
              <w:t>196</w:t>
            </w:r>
          </w:p>
        </w:tc>
        <w:tc>
          <w:tcPr>
            <w:tcW w:w="260" w:type="dxa"/>
            <w:vAlign w:val="bottom"/>
          </w:tcPr>
          <w:p>
            <w:pPr>
              <w:spacing w:after="0"/>
              <w:rPr>
                <w:sz w:val="18"/>
                <w:szCs w:val="18"/>
                <w:color w:val="auto"/>
              </w:rPr>
            </w:pPr>
          </w:p>
        </w:tc>
        <w:tc>
          <w:tcPr>
            <w:tcW w:w="154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Recreational vehicle lending</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19</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40" w:type="dxa"/>
            <w:vAlign w:val="bottom"/>
          </w:tcPr>
          <w:p>
            <w:pPr>
              <w:ind w:left="640"/>
              <w:spacing w:after="0"/>
              <w:rPr>
                <w:sz w:val="20"/>
                <w:szCs w:val="20"/>
                <w:color w:val="auto"/>
              </w:rPr>
            </w:pPr>
            <w:r>
              <w:rPr>
                <w:rFonts w:ascii="Arial" w:cs="Arial" w:eastAsia="Arial" w:hAnsi="Arial"/>
                <w:sz w:val="17"/>
                <w:szCs w:val="17"/>
                <w:color w:val="auto"/>
              </w:rPr>
              <w:t>Other</w:t>
            </w:r>
          </w:p>
        </w:tc>
        <w:tc>
          <w:tcPr>
            <w:tcW w:w="240" w:type="dxa"/>
            <w:vAlign w:val="bottom"/>
          </w:tcPr>
          <w:p>
            <w:pPr>
              <w:spacing w:after="0"/>
              <w:rPr>
                <w:sz w:val="18"/>
                <w:szCs w:val="18"/>
                <w:color w:val="auto"/>
              </w:rPr>
            </w:pPr>
          </w:p>
        </w:tc>
        <w:tc>
          <w:tcPr>
            <w:tcW w:w="1340" w:type="dxa"/>
            <w:vAlign w:val="bottom"/>
          </w:tcPr>
          <w:p>
            <w:pPr>
              <w:jc w:val="right"/>
              <w:ind w:right="74"/>
              <w:spacing w:after="0"/>
              <w:rPr>
                <w:sz w:val="20"/>
                <w:szCs w:val="20"/>
                <w:color w:val="auto"/>
              </w:rPr>
            </w:pPr>
            <w:r>
              <w:rPr>
                <w:rFonts w:ascii="Arial" w:cs="Arial" w:eastAsia="Arial" w:hAnsi="Arial"/>
                <w:sz w:val="17"/>
                <w:szCs w:val="17"/>
                <w:color w:val="auto"/>
              </w:rPr>
              <w:t>87</w:t>
            </w:r>
          </w:p>
        </w:tc>
        <w:tc>
          <w:tcPr>
            <w:tcW w:w="260" w:type="dxa"/>
            <w:vAlign w:val="bottom"/>
          </w:tcPr>
          <w:p>
            <w:pPr>
              <w:spacing w:after="0"/>
              <w:rPr>
                <w:sz w:val="18"/>
                <w:szCs w:val="18"/>
                <w:color w:val="auto"/>
              </w:rPr>
            </w:pPr>
          </w:p>
        </w:tc>
        <w:tc>
          <w:tcPr>
            <w:tcW w:w="154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w:t>
      </w:r>
    </w:p>
    <w:p>
      <w:pPr>
        <w:spacing w:after="0" w:line="22" w:lineRule="exact"/>
        <w:rPr>
          <w:sz w:val="20"/>
          <w:szCs w:val="20"/>
          <w:color w:val="auto"/>
        </w:rPr>
      </w:pPr>
    </w:p>
    <w:p>
      <w:pPr>
        <w:ind w:left="300" w:hanging="297"/>
        <w:spacing w:after="0"/>
        <w:tabs>
          <w:tab w:leader="none" w:pos="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Included in accrued income and other assets</w:t>
      </w:r>
    </w:p>
    <w:p>
      <w:pPr>
        <w:spacing w:after="0" w:line="10" w:lineRule="exact"/>
        <w:rPr>
          <w:rFonts w:ascii="Arial" w:cs="Arial" w:eastAsia="Arial" w:hAnsi="Arial"/>
          <w:sz w:val="17"/>
          <w:szCs w:val="17"/>
          <w:color w:val="auto"/>
        </w:rPr>
      </w:pPr>
    </w:p>
    <w:p>
      <w:pPr>
        <w:ind w:left="300" w:hanging="297"/>
        <w:spacing w:after="0"/>
        <w:tabs>
          <w:tab w:leader="none" w:pos="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Included in accrued expenses and other liabilities</w:t>
      </w:r>
    </w:p>
    <w:p>
      <w:pPr>
        <w:spacing w:after="0" w:line="10" w:lineRule="exact"/>
        <w:rPr>
          <w:rFonts w:ascii="Arial" w:cs="Arial" w:eastAsia="Arial" w:hAnsi="Arial"/>
          <w:sz w:val="17"/>
          <w:szCs w:val="17"/>
          <w:color w:val="auto"/>
        </w:rPr>
      </w:pPr>
    </w:p>
    <w:p>
      <w:pPr>
        <w:ind w:left="300" w:hanging="297"/>
        <w:spacing w:after="0"/>
        <w:tabs>
          <w:tab w:leader="none" w:pos="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Only includes impaired loans with specific loss allocations based on collateral value.</w:t>
      </w:r>
    </w:p>
    <w:p>
      <w:pPr>
        <w:spacing w:after="0" w:line="200" w:lineRule="exact"/>
        <w:rPr>
          <w:sz w:val="20"/>
          <w:szCs w:val="20"/>
          <w:color w:val="auto"/>
        </w:rPr>
      </w:pPr>
    </w:p>
    <w:p>
      <w:pPr>
        <w:spacing w:after="0" w:line="36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48" w:name="page49"/>
    <w:bookmarkEnd w:id="48"/>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Changes in fair values for financial assets which we have elected the fair value option for the periods presented were as follows:</w:t>
      </w:r>
    </w:p>
    <w:p>
      <w:pPr>
        <w:spacing w:after="0" w:line="216" w:lineRule="exact"/>
        <w:rPr>
          <w:sz w:val="20"/>
          <w:szCs w:val="20"/>
          <w:color w:val="auto"/>
        </w:rPr>
      </w:pPr>
    </w:p>
    <w:p>
      <w:pPr>
        <w:ind w:left="7700"/>
        <w:spacing w:after="0"/>
        <w:rPr>
          <w:sz w:val="20"/>
          <w:szCs w:val="20"/>
          <w:color w:val="auto"/>
        </w:rPr>
      </w:pPr>
      <w:r>
        <w:rPr>
          <w:rFonts w:ascii="Arial" w:cs="Arial" w:eastAsia="Arial" w:hAnsi="Arial"/>
          <w:sz w:val="17"/>
          <w:szCs w:val="17"/>
          <w:color w:val="auto"/>
        </w:rPr>
        <w:t>Changes in Fair Values for the Nine</w:t>
      </w:r>
    </w:p>
    <w:p>
      <w:pPr>
        <w:ind w:left="7560"/>
        <w:spacing w:after="0" w:line="205" w:lineRule="auto"/>
        <w:rPr>
          <w:sz w:val="20"/>
          <w:szCs w:val="20"/>
          <w:color w:val="auto"/>
        </w:rPr>
      </w:pPr>
      <w:r>
        <w:rPr>
          <w:rFonts w:ascii="Arial" w:cs="Arial" w:eastAsia="Arial" w:hAnsi="Arial"/>
          <w:sz w:val="17"/>
          <w:szCs w:val="17"/>
          <w:color w:val="auto"/>
        </w:rPr>
        <w:t>Month Periods Ended September 30 for</w:t>
      </w:r>
    </w:p>
    <w:p>
      <w:pPr>
        <w:ind w:left="7600"/>
        <w:spacing w:after="0" w:line="222" w:lineRule="auto"/>
        <w:rPr>
          <w:sz w:val="20"/>
          <w:szCs w:val="20"/>
          <w:color w:val="auto"/>
        </w:rPr>
      </w:pPr>
      <w:r>
        <w:rPr>
          <w:rFonts w:ascii="Arial" w:cs="Arial" w:eastAsia="Arial" w:hAnsi="Arial"/>
          <w:sz w:val="17"/>
          <w:szCs w:val="17"/>
          <w:color w:val="auto"/>
        </w:rPr>
        <w:t>items Measured at Fair Value Pursuant</w:t>
      </w:r>
    </w:p>
    <w:p>
      <w:pPr>
        <w:ind w:left="7700"/>
        <w:spacing w:after="0"/>
        <w:rPr>
          <w:sz w:val="20"/>
          <w:szCs w:val="20"/>
          <w:color w:val="auto"/>
        </w:rPr>
      </w:pPr>
      <w:r>
        <w:rPr>
          <w:rFonts w:ascii="Arial" w:cs="Arial" w:eastAsia="Arial" w:hAnsi="Arial"/>
          <w:sz w:val="17"/>
          <w:szCs w:val="17"/>
          <w:color w:val="auto"/>
        </w:rPr>
        <w:t>to Election of the Fair Value Option</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6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center"/>
              <w:ind w:right="154"/>
              <w:spacing w:after="0" w:line="163" w:lineRule="exact"/>
              <w:rPr>
                <w:sz w:val="20"/>
                <w:szCs w:val="20"/>
                <w:color w:val="auto"/>
              </w:rPr>
            </w:pPr>
            <w:r>
              <w:rPr>
                <w:rFonts w:ascii="Arial" w:cs="Arial" w:eastAsia="Arial" w:hAnsi="Arial"/>
                <w:sz w:val="17"/>
                <w:szCs w:val="17"/>
                <w:color w:val="auto"/>
                <w:w w:val="95"/>
              </w:rPr>
              <w:t>Total</w:t>
            </w:r>
          </w:p>
        </w:tc>
        <w:tc>
          <w:tcPr>
            <w:tcW w:w="0" w:type="dxa"/>
            <w:vAlign w:val="bottom"/>
          </w:tcPr>
          <w:p>
            <w:pPr>
              <w:spacing w:after="0"/>
              <w:rPr>
                <w:sz w:val="1"/>
                <w:szCs w:val="1"/>
                <w:color w:val="auto"/>
              </w:rPr>
            </w:pPr>
          </w:p>
        </w:tc>
      </w:tr>
      <w:tr>
        <w:trPr>
          <w:trHeight w:val="168"/>
        </w:trPr>
        <w:tc>
          <w:tcPr>
            <w:tcW w:w="6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40" w:type="dxa"/>
            <w:vAlign w:val="bottom"/>
          </w:tcPr>
          <w:p>
            <w:pPr>
              <w:jc w:val="center"/>
              <w:ind w:right="154"/>
              <w:spacing w:after="0" w:line="167" w:lineRule="exact"/>
              <w:rPr>
                <w:sz w:val="20"/>
                <w:szCs w:val="20"/>
                <w:color w:val="auto"/>
              </w:rPr>
            </w:pPr>
            <w:r>
              <w:rPr>
                <w:rFonts w:ascii="Arial" w:cs="Arial" w:eastAsia="Arial" w:hAnsi="Arial"/>
                <w:sz w:val="17"/>
                <w:szCs w:val="17"/>
                <w:color w:val="auto"/>
                <w:w w:val="87"/>
              </w:rPr>
              <w:t>Change</w:t>
            </w:r>
          </w:p>
        </w:tc>
        <w:tc>
          <w:tcPr>
            <w:tcW w:w="0" w:type="dxa"/>
            <w:vAlign w:val="bottom"/>
          </w:tcPr>
          <w:p>
            <w:pPr>
              <w:spacing w:after="0"/>
              <w:rPr>
                <w:sz w:val="1"/>
                <w:szCs w:val="1"/>
                <w:color w:val="auto"/>
              </w:rPr>
            </w:pPr>
          </w:p>
        </w:tc>
      </w:tr>
      <w:tr>
        <w:trPr>
          <w:trHeight w:val="180"/>
        </w:trPr>
        <w:tc>
          <w:tcPr>
            <w:tcW w:w="6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40" w:type="dxa"/>
            <w:vAlign w:val="bottom"/>
          </w:tcPr>
          <w:p>
            <w:pPr>
              <w:jc w:val="center"/>
              <w:ind w:right="134"/>
              <w:spacing w:after="0" w:line="180" w:lineRule="exact"/>
              <w:rPr>
                <w:sz w:val="20"/>
                <w:szCs w:val="20"/>
                <w:color w:val="auto"/>
              </w:rPr>
            </w:pPr>
            <w:r>
              <w:rPr>
                <w:rFonts w:ascii="Arial" w:cs="Arial" w:eastAsia="Arial" w:hAnsi="Arial"/>
                <w:sz w:val="17"/>
                <w:szCs w:val="17"/>
                <w:color w:val="auto"/>
                <w:w w:val="97"/>
              </w:rPr>
              <w:t>in Fair</w:t>
            </w:r>
          </w:p>
        </w:tc>
        <w:tc>
          <w:tcPr>
            <w:tcW w:w="0" w:type="dxa"/>
            <w:vAlign w:val="bottom"/>
          </w:tcPr>
          <w:p>
            <w:pPr>
              <w:spacing w:after="0"/>
              <w:rPr>
                <w:sz w:val="1"/>
                <w:szCs w:val="1"/>
                <w:color w:val="auto"/>
              </w:rPr>
            </w:pPr>
          </w:p>
        </w:tc>
      </w:tr>
      <w:tr>
        <w:trPr>
          <w:trHeight w:val="168"/>
        </w:trPr>
        <w:tc>
          <w:tcPr>
            <w:tcW w:w="6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vMerge w:val="restart"/>
          </w:tcPr>
          <w:p>
            <w:pPr>
              <w:jc w:val="center"/>
              <w:ind w:right="154"/>
              <w:spacing w:after="0"/>
              <w:rPr>
                <w:sz w:val="20"/>
                <w:szCs w:val="20"/>
                <w:color w:val="auto"/>
              </w:rPr>
            </w:pPr>
            <w:r>
              <w:rPr>
                <w:rFonts w:ascii="Arial" w:cs="Arial" w:eastAsia="Arial" w:hAnsi="Arial"/>
                <w:sz w:val="17"/>
                <w:szCs w:val="17"/>
                <w:color w:val="auto"/>
                <w:w w:val="89"/>
              </w:rPr>
              <w:t>Net Gains</w:t>
            </w: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40" w:type="dxa"/>
            <w:vAlign w:val="bottom"/>
          </w:tcPr>
          <w:p>
            <w:pPr>
              <w:jc w:val="center"/>
              <w:ind w:right="134"/>
              <w:spacing w:after="0" w:line="167" w:lineRule="exact"/>
              <w:rPr>
                <w:sz w:val="20"/>
                <w:szCs w:val="20"/>
                <w:color w:val="auto"/>
              </w:rPr>
            </w:pPr>
            <w:r>
              <w:rPr>
                <w:rFonts w:ascii="Arial" w:cs="Arial" w:eastAsia="Arial" w:hAnsi="Arial"/>
                <w:sz w:val="17"/>
                <w:szCs w:val="17"/>
                <w:color w:val="auto"/>
                <w:w w:val="88"/>
              </w:rPr>
              <w:t>Values</w:t>
            </w:r>
          </w:p>
        </w:tc>
        <w:tc>
          <w:tcPr>
            <w:tcW w:w="0" w:type="dxa"/>
            <w:vAlign w:val="bottom"/>
          </w:tcPr>
          <w:p>
            <w:pPr>
              <w:spacing w:after="0"/>
              <w:rPr>
                <w:sz w:val="1"/>
                <w:szCs w:val="1"/>
                <w:color w:val="auto"/>
              </w:rPr>
            </w:pPr>
          </w:p>
        </w:tc>
      </w:tr>
      <w:tr>
        <w:trPr>
          <w:trHeight w:val="103"/>
        </w:trPr>
        <w:tc>
          <w:tcPr>
            <w:tcW w:w="6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240" w:type="dxa"/>
            <w:vAlign w:val="bottom"/>
            <w:vMerge w:val="restart"/>
          </w:tcPr>
          <w:p>
            <w:pPr>
              <w:jc w:val="center"/>
              <w:ind w:right="154"/>
              <w:spacing w:after="0" w:line="167" w:lineRule="exact"/>
              <w:rPr>
                <w:sz w:val="20"/>
                <w:szCs w:val="20"/>
                <w:color w:val="auto"/>
              </w:rPr>
            </w:pPr>
            <w:r>
              <w:rPr>
                <w:rFonts w:ascii="Arial" w:cs="Arial" w:eastAsia="Arial" w:hAnsi="Arial"/>
                <w:sz w:val="17"/>
                <w:szCs w:val="17"/>
                <w:color w:val="auto"/>
                <w:w w:val="93"/>
              </w:rPr>
              <w:t>Included</w:t>
            </w:r>
          </w:p>
        </w:tc>
        <w:tc>
          <w:tcPr>
            <w:tcW w:w="0" w:type="dxa"/>
            <w:vAlign w:val="bottom"/>
          </w:tcPr>
          <w:p>
            <w:pPr>
              <w:spacing w:after="0"/>
              <w:rPr>
                <w:sz w:val="1"/>
                <w:szCs w:val="1"/>
                <w:color w:val="auto"/>
              </w:rPr>
            </w:pPr>
          </w:p>
        </w:tc>
      </w:tr>
      <w:tr>
        <w:trPr>
          <w:trHeight w:val="64"/>
        </w:trPr>
        <w:tc>
          <w:tcPr>
            <w:tcW w:w="6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vMerge w:val="restart"/>
          </w:tcPr>
          <w:p>
            <w:pPr>
              <w:jc w:val="center"/>
              <w:ind w:right="174"/>
              <w:spacing w:after="0"/>
              <w:rPr>
                <w:sz w:val="20"/>
                <w:szCs w:val="20"/>
                <w:color w:val="auto"/>
              </w:rPr>
            </w:pPr>
            <w:r>
              <w:rPr>
                <w:rFonts w:ascii="Arial" w:cs="Arial" w:eastAsia="Arial" w:hAnsi="Arial"/>
                <w:sz w:val="17"/>
                <w:szCs w:val="17"/>
                <w:color w:val="auto"/>
                <w:w w:val="88"/>
              </w:rPr>
              <w:t>on Assets</w:t>
            </w:r>
          </w:p>
        </w:tc>
        <w:tc>
          <w:tcPr>
            <w:tcW w:w="2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66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center"/>
              <w:ind w:right="414"/>
              <w:spacing w:after="0" w:line="160" w:lineRule="exact"/>
              <w:rPr>
                <w:sz w:val="20"/>
                <w:szCs w:val="20"/>
                <w:color w:val="auto"/>
              </w:rPr>
            </w:pPr>
            <w:r>
              <w:rPr>
                <w:rFonts w:ascii="Arial" w:cs="Arial" w:eastAsia="Arial" w:hAnsi="Arial"/>
                <w:sz w:val="17"/>
                <w:szCs w:val="17"/>
                <w:color w:val="auto"/>
                <w:w w:val="91"/>
              </w:rPr>
              <w:t>Mortgage</w:t>
            </w:r>
          </w:p>
        </w:tc>
        <w:tc>
          <w:tcPr>
            <w:tcW w:w="1240" w:type="dxa"/>
            <w:vAlign w:val="bottom"/>
          </w:tcPr>
          <w:p>
            <w:pPr>
              <w:jc w:val="center"/>
              <w:ind w:right="134"/>
              <w:spacing w:after="0" w:line="160" w:lineRule="exact"/>
              <w:rPr>
                <w:sz w:val="20"/>
                <w:szCs w:val="20"/>
                <w:color w:val="auto"/>
              </w:rPr>
            </w:pPr>
            <w:r>
              <w:rPr>
                <w:rFonts w:ascii="Arial" w:cs="Arial" w:eastAsia="Arial" w:hAnsi="Arial"/>
                <w:sz w:val="17"/>
                <w:szCs w:val="17"/>
                <w:color w:val="auto"/>
                <w:w w:val="93"/>
              </w:rPr>
              <w:t>in Current</w:t>
            </w:r>
          </w:p>
        </w:tc>
        <w:tc>
          <w:tcPr>
            <w:tcW w:w="0" w:type="dxa"/>
            <w:vAlign w:val="bottom"/>
          </w:tcPr>
          <w:p>
            <w:pPr>
              <w:spacing w:after="0"/>
              <w:rPr>
                <w:sz w:val="1"/>
                <w:szCs w:val="1"/>
                <w:color w:val="auto"/>
              </w:rPr>
            </w:pPr>
          </w:p>
        </w:tc>
      </w:tr>
      <w:tr>
        <w:trPr>
          <w:trHeight w:val="168"/>
        </w:trPr>
        <w:tc>
          <w:tcPr>
            <w:tcW w:w="6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154"/>
              <w:spacing w:after="0" w:line="168" w:lineRule="exact"/>
              <w:rPr>
                <w:sz w:val="20"/>
                <w:szCs w:val="20"/>
                <w:color w:val="auto"/>
              </w:rPr>
            </w:pPr>
            <w:r>
              <w:rPr>
                <w:rFonts w:ascii="Arial" w:cs="Arial" w:eastAsia="Arial" w:hAnsi="Arial"/>
                <w:sz w:val="17"/>
                <w:szCs w:val="17"/>
                <w:color w:val="auto"/>
                <w:w w:val="94"/>
              </w:rPr>
              <w:t>Mortgage</w:t>
            </w:r>
          </w:p>
        </w:tc>
        <w:tc>
          <w:tcPr>
            <w:tcW w:w="260" w:type="dxa"/>
            <w:vAlign w:val="bottom"/>
          </w:tcPr>
          <w:p>
            <w:pPr>
              <w:spacing w:after="0"/>
              <w:rPr>
                <w:sz w:val="14"/>
                <w:szCs w:val="14"/>
                <w:color w:val="auto"/>
              </w:rPr>
            </w:pPr>
          </w:p>
        </w:tc>
        <w:tc>
          <w:tcPr>
            <w:tcW w:w="1640" w:type="dxa"/>
            <w:vAlign w:val="bottom"/>
          </w:tcPr>
          <w:p>
            <w:pPr>
              <w:jc w:val="center"/>
              <w:ind w:right="414"/>
              <w:spacing w:after="0" w:line="168" w:lineRule="exact"/>
              <w:rPr>
                <w:sz w:val="20"/>
                <w:szCs w:val="20"/>
                <w:color w:val="auto"/>
              </w:rPr>
            </w:pPr>
            <w:r>
              <w:rPr>
                <w:rFonts w:ascii="Arial" w:cs="Arial" w:eastAsia="Arial" w:hAnsi="Arial"/>
                <w:sz w:val="17"/>
                <w:szCs w:val="17"/>
                <w:color w:val="auto"/>
                <w:w w:val="89"/>
              </w:rPr>
              <w:t>Loan</w:t>
            </w:r>
          </w:p>
        </w:tc>
        <w:tc>
          <w:tcPr>
            <w:tcW w:w="1240" w:type="dxa"/>
            <w:vAlign w:val="bottom"/>
          </w:tcPr>
          <w:p>
            <w:pPr>
              <w:jc w:val="center"/>
              <w:ind w:right="154"/>
              <w:spacing w:after="0" w:line="168" w:lineRule="exact"/>
              <w:rPr>
                <w:sz w:val="20"/>
                <w:szCs w:val="20"/>
                <w:color w:val="auto"/>
              </w:rPr>
            </w:pPr>
            <w:r>
              <w:rPr>
                <w:rFonts w:ascii="Arial" w:cs="Arial" w:eastAsia="Arial" w:hAnsi="Arial"/>
                <w:sz w:val="17"/>
                <w:szCs w:val="17"/>
                <w:color w:val="auto"/>
                <w:w w:val="89"/>
              </w:rPr>
              <w:t>Period</w:t>
            </w:r>
          </w:p>
        </w:tc>
        <w:tc>
          <w:tcPr>
            <w:tcW w:w="0" w:type="dxa"/>
            <w:vAlign w:val="bottom"/>
          </w:tcPr>
          <w:p>
            <w:pPr>
              <w:spacing w:after="0"/>
              <w:rPr>
                <w:sz w:val="1"/>
                <w:szCs w:val="1"/>
                <w:color w:val="auto"/>
              </w:rPr>
            </w:pPr>
          </w:p>
        </w:tc>
      </w:tr>
      <w:tr>
        <w:trPr>
          <w:trHeight w:val="224"/>
        </w:trPr>
        <w:tc>
          <w:tcPr>
            <w:tcW w:w="6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74"/>
              <w:spacing w:after="0"/>
              <w:rPr>
                <w:sz w:val="20"/>
                <w:szCs w:val="20"/>
                <w:color w:val="auto"/>
              </w:rPr>
            </w:pPr>
            <w:r>
              <w:rPr>
                <w:rFonts w:ascii="Arial" w:cs="Arial" w:eastAsia="Arial" w:hAnsi="Arial"/>
                <w:sz w:val="17"/>
                <w:szCs w:val="17"/>
                <w:color w:val="auto"/>
                <w:w w:val="90"/>
              </w:rPr>
              <w:t>Loans</w:t>
            </w: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414"/>
              <w:spacing w:after="0"/>
              <w:rPr>
                <w:sz w:val="20"/>
                <w:szCs w:val="20"/>
                <w:color w:val="auto"/>
              </w:rPr>
            </w:pPr>
            <w:r>
              <w:rPr>
                <w:rFonts w:ascii="Arial" w:cs="Arial" w:eastAsia="Arial" w:hAnsi="Arial"/>
                <w:sz w:val="17"/>
                <w:szCs w:val="17"/>
                <w:color w:val="auto"/>
                <w:w w:val="91"/>
              </w:rPr>
              <w:t>Servicing, net</w:t>
            </w:r>
          </w:p>
        </w:tc>
        <w:tc>
          <w:tcPr>
            <w:tcW w:w="1240" w:type="dxa"/>
            <w:vAlign w:val="bottom"/>
            <w:tcBorders>
              <w:bottom w:val="single" w:sz="8" w:color="auto"/>
            </w:tcBorders>
          </w:tcPr>
          <w:p>
            <w:pPr>
              <w:jc w:val="center"/>
              <w:ind w:right="154"/>
              <w:spacing w:after="0"/>
              <w:rPr>
                <w:sz w:val="20"/>
                <w:szCs w:val="20"/>
                <w:color w:val="auto"/>
              </w:rPr>
            </w:pPr>
            <w:r>
              <w:rPr>
                <w:rFonts w:ascii="Arial" w:cs="Arial" w:eastAsia="Arial" w:hAnsi="Arial"/>
                <w:sz w:val="17"/>
                <w:szCs w:val="17"/>
                <w:color w:val="auto"/>
                <w:w w:val="89"/>
              </w:rPr>
              <w:t>Earnings</w:t>
            </w:r>
          </w:p>
        </w:tc>
        <w:tc>
          <w:tcPr>
            <w:tcW w:w="0" w:type="dxa"/>
            <w:vAlign w:val="bottom"/>
          </w:tcPr>
          <w:p>
            <w:pPr>
              <w:spacing w:after="0"/>
              <w:rPr>
                <w:sz w:val="1"/>
                <w:szCs w:val="1"/>
                <w:color w:val="auto"/>
              </w:rPr>
            </w:pPr>
          </w:p>
        </w:tc>
      </w:tr>
      <w:tr>
        <w:trPr>
          <w:trHeight w:val="218"/>
        </w:trPr>
        <w:tc>
          <w:tcPr>
            <w:tcW w:w="6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center"/>
              <w:ind w:right="414"/>
              <w:spacing w:after="0"/>
              <w:rPr>
                <w:sz w:val="20"/>
                <w:szCs w:val="20"/>
                <w:color w:val="auto"/>
              </w:rPr>
            </w:pPr>
            <w:r>
              <w:rPr>
                <w:rFonts w:ascii="Arial" w:cs="Arial" w:eastAsia="Arial" w:hAnsi="Arial"/>
                <w:sz w:val="17"/>
                <w:szCs w:val="17"/>
                <w:color w:val="auto"/>
                <w:w w:val="90"/>
              </w:rPr>
              <w:t>(In thousands)</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620" w:type="dxa"/>
            <w:vAlign w:val="bottom"/>
          </w:tcPr>
          <w:p>
            <w:pPr>
              <w:ind w:left="20"/>
              <w:spacing w:after="0"/>
              <w:rPr>
                <w:sz w:val="20"/>
                <w:szCs w:val="20"/>
                <w:color w:val="auto"/>
              </w:rPr>
            </w:pPr>
            <w:r>
              <w:rPr>
                <w:rFonts w:ascii="Arial" w:cs="Arial" w:eastAsia="Arial" w:hAnsi="Arial"/>
                <w:sz w:val="17"/>
                <w:szCs w:val="17"/>
                <w:color w:val="auto"/>
              </w:rPr>
              <w:t>2023</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Loans held for sale</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1,519</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  $</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1,519</w:t>
            </w:r>
          </w:p>
        </w:tc>
        <w:tc>
          <w:tcPr>
            <w:tcW w:w="0" w:type="dxa"/>
            <w:vAlign w:val="bottom"/>
          </w:tcPr>
          <w:p>
            <w:pPr>
              <w:spacing w:after="0"/>
              <w:rPr>
                <w:sz w:val="1"/>
                <w:szCs w:val="1"/>
                <w:color w:val="auto"/>
              </w:rPr>
            </w:pPr>
          </w:p>
        </w:tc>
      </w:tr>
      <w:tr>
        <w:trPr>
          <w:trHeight w:val="218"/>
        </w:trPr>
        <w:tc>
          <w:tcPr>
            <w:tcW w:w="6620" w:type="dxa"/>
            <w:vAlign w:val="bottom"/>
          </w:tcPr>
          <w:p>
            <w:pPr>
              <w:ind w:left="180"/>
              <w:spacing w:after="0"/>
              <w:rPr>
                <w:sz w:val="20"/>
                <w:szCs w:val="20"/>
                <w:color w:val="auto"/>
              </w:rPr>
            </w:pPr>
            <w:r>
              <w:rPr>
                <w:rFonts w:ascii="Arial" w:cs="Arial" w:eastAsia="Arial" w:hAnsi="Arial"/>
                <w:sz w:val="17"/>
                <w:szCs w:val="17"/>
                <w:color w:val="auto"/>
              </w:rPr>
              <w:t>Capitalized mortgage loan servicing rights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640" w:type="dxa"/>
            <w:vAlign w:val="bottom"/>
          </w:tcPr>
          <w:p>
            <w:pPr>
              <w:jc w:val="right"/>
              <w:ind w:right="314"/>
              <w:spacing w:after="0"/>
              <w:rPr>
                <w:sz w:val="20"/>
                <w:szCs w:val="20"/>
                <w:color w:val="auto"/>
              </w:rPr>
            </w:pPr>
            <w:r>
              <w:rPr>
                <w:rFonts w:ascii="Arial" w:cs="Arial" w:eastAsia="Arial" w:hAnsi="Arial"/>
                <w:sz w:val="17"/>
                <w:szCs w:val="17"/>
                <w:color w:val="auto"/>
              </w:rPr>
              <w:t>456</w:t>
            </w:r>
          </w:p>
        </w:tc>
        <w:tc>
          <w:tcPr>
            <w:tcW w:w="1240" w:type="dxa"/>
            <w:vAlign w:val="bottom"/>
          </w:tcPr>
          <w:p>
            <w:pPr>
              <w:jc w:val="right"/>
              <w:spacing w:after="0"/>
              <w:rPr>
                <w:sz w:val="20"/>
                <w:szCs w:val="20"/>
                <w:color w:val="auto"/>
              </w:rPr>
            </w:pPr>
            <w:r>
              <w:rPr>
                <w:rFonts w:ascii="Arial" w:cs="Arial" w:eastAsia="Arial" w:hAnsi="Arial"/>
                <w:sz w:val="17"/>
                <w:szCs w:val="17"/>
                <w:color w:val="auto"/>
              </w:rPr>
              <w:t>456</w:t>
            </w:r>
          </w:p>
        </w:tc>
        <w:tc>
          <w:tcPr>
            <w:tcW w:w="0" w:type="dxa"/>
            <w:vAlign w:val="bottom"/>
          </w:tcPr>
          <w:p>
            <w:pPr>
              <w:spacing w:after="0"/>
              <w:rPr>
                <w:sz w:val="1"/>
                <w:szCs w:val="1"/>
                <w:color w:val="auto"/>
              </w:rPr>
            </w:pPr>
          </w:p>
        </w:tc>
      </w:tr>
      <w:tr>
        <w:trPr>
          <w:trHeight w:val="259"/>
        </w:trPr>
        <w:tc>
          <w:tcPr>
            <w:tcW w:w="66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6620" w:type="dxa"/>
            <w:vAlign w:val="bottom"/>
          </w:tcPr>
          <w:p>
            <w:pPr>
              <w:ind w:left="20"/>
              <w:spacing w:after="0"/>
              <w:rPr>
                <w:sz w:val="20"/>
                <w:szCs w:val="20"/>
                <w:color w:val="auto"/>
              </w:rPr>
            </w:pPr>
            <w:r>
              <w:rPr>
                <w:rFonts w:ascii="Arial" w:cs="Arial" w:eastAsia="Arial" w:hAnsi="Arial"/>
                <w:sz w:val="17"/>
                <w:szCs w:val="17"/>
                <w:color w:val="auto"/>
              </w:rPr>
              <w:t>2022</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Loans held for sale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(1,518)</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(1,518)</w:t>
            </w:r>
          </w:p>
        </w:tc>
        <w:tc>
          <w:tcPr>
            <w:tcW w:w="0" w:type="dxa"/>
            <w:vAlign w:val="bottom"/>
          </w:tcPr>
          <w:p>
            <w:pPr>
              <w:spacing w:after="0"/>
              <w:rPr>
                <w:sz w:val="1"/>
                <w:szCs w:val="1"/>
                <w:color w:val="auto"/>
              </w:rPr>
            </w:pPr>
          </w:p>
        </w:tc>
      </w:tr>
      <w:tr>
        <w:trPr>
          <w:trHeight w:val="218"/>
        </w:trPr>
        <w:tc>
          <w:tcPr>
            <w:tcW w:w="6620" w:type="dxa"/>
            <w:vAlign w:val="bottom"/>
          </w:tcPr>
          <w:p>
            <w:pPr>
              <w:ind w:left="180"/>
              <w:spacing w:after="0"/>
              <w:rPr>
                <w:sz w:val="20"/>
                <w:szCs w:val="20"/>
                <w:color w:val="auto"/>
              </w:rPr>
            </w:pPr>
            <w:r>
              <w:rPr>
                <w:rFonts w:ascii="Arial" w:cs="Arial" w:eastAsia="Arial" w:hAnsi="Arial"/>
                <w:sz w:val="17"/>
                <w:szCs w:val="17"/>
                <w:color w:val="auto"/>
              </w:rPr>
              <w:t>Capitalized mortgage loan servicing rights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640" w:type="dxa"/>
            <w:vAlign w:val="bottom"/>
          </w:tcPr>
          <w:p>
            <w:pPr>
              <w:jc w:val="right"/>
              <w:ind w:right="314"/>
              <w:spacing w:after="0"/>
              <w:rPr>
                <w:sz w:val="20"/>
                <w:szCs w:val="20"/>
                <w:color w:val="auto"/>
              </w:rPr>
            </w:pPr>
            <w:r>
              <w:rPr>
                <w:rFonts w:ascii="Arial" w:cs="Arial" w:eastAsia="Arial" w:hAnsi="Arial"/>
                <w:sz w:val="17"/>
                <w:szCs w:val="17"/>
                <w:color w:val="auto"/>
              </w:rPr>
              <w:t>11,689</w:t>
            </w:r>
          </w:p>
        </w:tc>
        <w:tc>
          <w:tcPr>
            <w:tcW w:w="1240" w:type="dxa"/>
            <w:vAlign w:val="bottom"/>
          </w:tcPr>
          <w:p>
            <w:pPr>
              <w:jc w:val="right"/>
              <w:spacing w:after="0"/>
              <w:rPr>
                <w:sz w:val="20"/>
                <w:szCs w:val="20"/>
                <w:color w:val="auto"/>
              </w:rPr>
            </w:pPr>
            <w:r>
              <w:rPr>
                <w:rFonts w:ascii="Arial" w:cs="Arial" w:eastAsia="Arial" w:hAnsi="Arial"/>
                <w:sz w:val="17"/>
                <w:szCs w:val="17"/>
                <w:color w:val="auto"/>
              </w:rPr>
              <w:t>11,689</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For those items measured at fair value pursuant to our election of the fair value option, interest income is recorded within the Condensed Consolidated Statements of Operations based on the contractual amount of interest income earned on these financial assets and dividend income is recorded based on cash dividends received.</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following represent impairment charges recognized during the three and nine month periods ended September 30, 2023 and 2022 relating to assets measured at fair value on a non-recurring basis:</w:t>
      </w:r>
    </w:p>
    <w:p>
      <w:pPr>
        <w:spacing w:after="0" w:line="1" w:lineRule="exact"/>
        <w:rPr>
          <w:sz w:val="20"/>
          <w:szCs w:val="20"/>
          <w:color w:val="auto"/>
        </w:rPr>
      </w:pPr>
    </w:p>
    <w:p>
      <w:pPr>
        <w:jc w:val="both"/>
        <w:ind w:left="620" w:hanging="307"/>
        <w:spacing w:after="0" w:line="276" w:lineRule="auto"/>
        <w:tabs>
          <w:tab w:leader="none" w:pos="616" w:val="left"/>
        </w:tabs>
        <w:numPr>
          <w:ilvl w:val="0"/>
          <w:numId w:val="21"/>
        </w:numPr>
        <w:rPr>
          <w:rFonts w:ascii="Arial" w:cs="Arial" w:eastAsia="Arial" w:hAnsi="Arial"/>
          <w:sz w:val="16"/>
          <w:szCs w:val="16"/>
          <w:color w:val="auto"/>
        </w:rPr>
      </w:pPr>
      <w:r>
        <w:rPr>
          <w:rFonts w:ascii="Arial" w:cs="Arial" w:eastAsia="Arial" w:hAnsi="Arial"/>
          <w:sz w:val="16"/>
          <w:szCs w:val="16"/>
          <w:color w:val="auto"/>
        </w:rPr>
        <w:t>Loans that are individually evaluated using the fair value of collateral for collateral dependent loans had a carrying amount of $4.0 million, which is net of a valuation allowance of $2.6 million at September 30, 2023, and had a carrying amount of $2.2 million, which is net of a valuation allowance of $2.1 million at December 31, 2022. The provision for credit losses included in our results of operations relating to collateral dependent loans was a net expense of $0.2 million and $0.3 million for the three month periods ending September 30, 2023 and 2022, respectively, and a net expense of $2.1 million and $0.4 million for the nine month periods ending September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for all assets measured at fair value on a recurring basis using significant unobservable inputs (Level 3)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0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7"/>
          </w:tcPr>
          <w:p>
            <w:pPr>
              <w:ind w:left="80"/>
              <w:spacing w:after="0"/>
              <w:rPr>
                <w:sz w:val="20"/>
                <w:szCs w:val="20"/>
                <w:color w:val="auto"/>
              </w:rPr>
            </w:pPr>
            <w:r>
              <w:rPr>
                <w:rFonts w:ascii="Arial" w:cs="Arial" w:eastAsia="Arial" w:hAnsi="Arial"/>
                <w:sz w:val="17"/>
                <w:szCs w:val="17"/>
                <w:color w:val="auto"/>
                <w:w w:val="94"/>
              </w:rPr>
              <w:t>Capitalized Mortgage Loan Servicing Rights</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2500" w:type="dxa"/>
            <w:vAlign w:val="bottom"/>
            <w:gridSpan w:val="4"/>
          </w:tcPr>
          <w:p>
            <w:pPr>
              <w:jc w:val="right"/>
              <w:ind w:right="240"/>
              <w:spacing w:after="0" w:line="162" w:lineRule="exact"/>
              <w:rPr>
                <w:sz w:val="20"/>
                <w:szCs w:val="20"/>
                <w:color w:val="auto"/>
              </w:rPr>
            </w:pPr>
            <w:r>
              <w:rPr>
                <w:rFonts w:ascii="Arial" w:cs="Arial" w:eastAsia="Arial" w:hAnsi="Arial"/>
                <w:sz w:val="17"/>
                <w:szCs w:val="17"/>
                <w:color w:val="auto"/>
              </w:rPr>
              <w:t>Three Months Ended</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4"/>
          </w:tcPr>
          <w:p>
            <w:pPr>
              <w:jc w:val="right"/>
              <w:ind w:right="754"/>
              <w:spacing w:after="0" w:line="162" w:lineRule="exact"/>
              <w:rPr>
                <w:sz w:val="20"/>
                <w:szCs w:val="20"/>
                <w:color w:val="auto"/>
              </w:rPr>
            </w:pPr>
            <w:r>
              <w:rPr>
                <w:rFonts w:ascii="Arial" w:cs="Arial" w:eastAsia="Arial" w:hAnsi="Arial"/>
                <w:sz w:val="17"/>
                <w:szCs w:val="17"/>
                <w:color w:val="auto"/>
              </w:rPr>
              <w:t>Nine Months Ended</w:t>
            </w:r>
          </w:p>
        </w:tc>
        <w:tc>
          <w:tcPr>
            <w:tcW w:w="0" w:type="dxa"/>
            <w:vAlign w:val="bottom"/>
          </w:tcPr>
          <w:p>
            <w:pPr>
              <w:spacing w:after="0"/>
              <w:rPr>
                <w:sz w:val="1"/>
                <w:szCs w:val="1"/>
                <w:color w:val="auto"/>
              </w:rPr>
            </w:pPr>
          </w:p>
        </w:tc>
      </w:tr>
      <w:tr>
        <w:trPr>
          <w:trHeight w:val="217"/>
        </w:trPr>
        <w:tc>
          <w:tcPr>
            <w:tcW w:w="5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60" w:type="dxa"/>
            <w:vAlign w:val="bottom"/>
            <w:gridSpan w:val="3"/>
          </w:tcPr>
          <w:p>
            <w:pPr>
              <w:jc w:val="right"/>
              <w:ind w:right="480"/>
              <w:spacing w:after="0"/>
              <w:rPr>
                <w:sz w:val="20"/>
                <w:szCs w:val="20"/>
                <w:color w:val="auto"/>
              </w:rPr>
            </w:pPr>
            <w:r>
              <w:rPr>
                <w:rFonts w:ascii="Arial" w:cs="Arial" w:eastAsia="Arial" w:hAnsi="Arial"/>
                <w:sz w:val="17"/>
                <w:szCs w:val="17"/>
                <w:color w:val="auto"/>
                <w:w w:val="95"/>
              </w:rPr>
              <w:t>September 30,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7"/>
                <w:szCs w:val="17"/>
                <w:color w:val="auto"/>
              </w:rPr>
              <w:t>September 30,</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04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2022</w:t>
            </w:r>
          </w:p>
        </w:tc>
        <w:tc>
          <w:tcPr>
            <w:tcW w:w="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2023</w:t>
            </w: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212"/>
        </w:trPr>
        <w:tc>
          <w:tcPr>
            <w:tcW w:w="5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60" w:type="dxa"/>
            <w:vAlign w:val="bottom"/>
            <w:gridSpan w:val="3"/>
          </w:tcPr>
          <w:p>
            <w:pPr>
              <w:jc w:val="right"/>
              <w:ind w:right="480"/>
              <w:spacing w:after="0"/>
              <w:rPr>
                <w:sz w:val="20"/>
                <w:szCs w:val="20"/>
                <w:color w:val="auto"/>
              </w:rPr>
            </w:pPr>
            <w:r>
              <w:rPr>
                <w:rFonts w:ascii="Arial" w:cs="Arial" w:eastAsia="Arial" w:hAnsi="Arial"/>
                <w:sz w:val="17"/>
                <w:szCs w:val="17"/>
                <w:color w:val="auto"/>
                <w:w w:val="97"/>
              </w:rPr>
              <w:t>(In thousands)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7"/>
                <w:szCs w:val="17"/>
                <w:color w:val="auto"/>
              </w:rPr>
              <w:t>(In thousands)</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balance</w:t>
            </w:r>
          </w:p>
        </w:tc>
        <w:tc>
          <w:tcPr>
            <w:tcW w:w="940" w:type="dxa"/>
            <w:vAlign w:val="bottom"/>
            <w:shd w:val="clear" w:color="auto" w:fill="CCEEFF"/>
          </w:tcPr>
          <w:p>
            <w:pPr>
              <w:jc w:val="right"/>
              <w:ind w:right="754"/>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44,427</w:t>
            </w:r>
          </w:p>
        </w:tc>
        <w:tc>
          <w:tcPr>
            <w:tcW w:w="10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39,477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42,489</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26,232</w:t>
            </w:r>
          </w:p>
        </w:tc>
        <w:tc>
          <w:tcPr>
            <w:tcW w:w="0" w:type="dxa"/>
            <w:vAlign w:val="bottom"/>
          </w:tcPr>
          <w:p>
            <w:pPr>
              <w:spacing w:after="0"/>
              <w:rPr>
                <w:sz w:val="1"/>
                <w:szCs w:val="1"/>
                <w:color w:val="auto"/>
              </w:rPr>
            </w:pPr>
          </w:p>
        </w:tc>
      </w:tr>
      <w:tr>
        <w:trPr>
          <w:trHeight w:val="218"/>
        </w:trPr>
        <w:tc>
          <w:tcPr>
            <w:tcW w:w="5040" w:type="dxa"/>
            <w:vAlign w:val="bottom"/>
          </w:tcPr>
          <w:p>
            <w:pPr>
              <w:ind w:left="180"/>
              <w:spacing w:after="0"/>
              <w:rPr>
                <w:sz w:val="20"/>
                <w:szCs w:val="20"/>
                <w:color w:val="auto"/>
              </w:rPr>
            </w:pPr>
            <w:r>
              <w:rPr>
                <w:rFonts w:ascii="Arial" w:cs="Arial" w:eastAsia="Arial" w:hAnsi="Arial"/>
                <w:sz w:val="17"/>
                <w:szCs w:val="17"/>
                <w:color w:val="auto"/>
              </w:rPr>
              <w:t>Total gains (losses) realized and unrealized:</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Included in results of operations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11,689</w:t>
            </w:r>
          </w:p>
        </w:tc>
        <w:tc>
          <w:tcPr>
            <w:tcW w:w="0" w:type="dxa"/>
            <w:vAlign w:val="bottom"/>
          </w:tcPr>
          <w:p>
            <w:pPr>
              <w:spacing w:after="0"/>
              <w:rPr>
                <w:sz w:val="1"/>
                <w:szCs w:val="1"/>
                <w:color w:val="auto"/>
              </w:rPr>
            </w:pPr>
          </w:p>
        </w:tc>
      </w:tr>
      <w:tr>
        <w:trPr>
          <w:trHeight w:val="218"/>
        </w:trPr>
        <w:tc>
          <w:tcPr>
            <w:tcW w:w="5040" w:type="dxa"/>
            <w:vAlign w:val="bottom"/>
          </w:tcPr>
          <w:p>
            <w:pPr>
              <w:ind w:left="320"/>
              <w:spacing w:after="0"/>
              <w:rPr>
                <w:sz w:val="20"/>
                <w:szCs w:val="20"/>
                <w:color w:val="auto"/>
              </w:rPr>
            </w:pPr>
            <w:r>
              <w:rPr>
                <w:rFonts w:ascii="Arial" w:cs="Arial" w:eastAsia="Arial" w:hAnsi="Arial"/>
                <w:sz w:val="17"/>
                <w:szCs w:val="17"/>
                <w:color w:val="auto"/>
              </w:rPr>
              <w:t>Included in other comprehensive loss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Purchases, issuances, settlements, maturities and calls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5,237</w:t>
            </w:r>
          </w:p>
        </w:tc>
        <w:tc>
          <w:tcPr>
            <w:tcW w:w="0" w:type="dxa"/>
            <w:vAlign w:val="bottom"/>
          </w:tcPr>
          <w:p>
            <w:pPr>
              <w:spacing w:after="0"/>
              <w:rPr>
                <w:sz w:val="1"/>
                <w:szCs w:val="1"/>
                <w:color w:val="auto"/>
              </w:rPr>
            </w:pPr>
          </w:p>
        </w:tc>
      </w:tr>
      <w:tr>
        <w:trPr>
          <w:trHeight w:val="218"/>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Transfers in and/or out of Level 3</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Ending balance</w:t>
            </w:r>
          </w:p>
        </w:tc>
        <w:tc>
          <w:tcPr>
            <w:tcW w:w="940" w:type="dxa"/>
            <w:vAlign w:val="bottom"/>
            <w:shd w:val="clear" w:color="auto" w:fill="CCEEFF"/>
          </w:tcPr>
          <w:p>
            <w:pPr>
              <w:jc w:val="right"/>
              <w:ind w:right="754"/>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46,057</w:t>
            </w:r>
          </w:p>
        </w:tc>
        <w:tc>
          <w:tcPr>
            <w:tcW w:w="10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43,158</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46,057</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43,158</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04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Amount of total gains (losses) for the period included in earnings</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40" w:type="dxa"/>
            <w:vAlign w:val="bottom"/>
            <w:shd w:val="clear" w:color="auto" w:fill="CCEEFF"/>
          </w:tcPr>
          <w:p>
            <w:pPr>
              <w:ind w:left="180"/>
              <w:spacing w:after="0" w:line="167" w:lineRule="exact"/>
              <w:rPr>
                <w:sz w:val="20"/>
                <w:szCs w:val="20"/>
                <w:color w:val="auto"/>
              </w:rPr>
            </w:pPr>
            <w:r>
              <w:rPr>
                <w:rFonts w:ascii="Arial" w:cs="Arial" w:eastAsia="Arial" w:hAnsi="Arial"/>
                <w:sz w:val="17"/>
                <w:szCs w:val="17"/>
                <w:color w:val="auto"/>
                <w:w w:val="90"/>
              </w:rPr>
              <w:t>attributable to the change in unrealized gains (losses) relating to assets</w:t>
            </w:r>
          </w:p>
        </w:tc>
        <w:tc>
          <w:tcPr>
            <w:tcW w:w="940" w:type="dxa"/>
            <w:vAlign w:val="bottom"/>
            <w:vMerge w:val="restart"/>
            <w:shd w:val="clear" w:color="auto" w:fill="CCEEFF"/>
          </w:tcPr>
          <w:p>
            <w:pPr>
              <w:jc w:val="right"/>
              <w:ind w:right="754"/>
              <w:spacing w:after="0"/>
              <w:rPr>
                <w:sz w:val="20"/>
                <w:szCs w:val="20"/>
                <w:color w:val="auto"/>
              </w:rPr>
            </w:pPr>
            <w:r>
              <w:rPr>
                <w:rFonts w:ascii="Arial" w:cs="Arial" w:eastAsia="Arial" w:hAnsi="Arial"/>
                <w:sz w:val="17"/>
                <w:szCs w:val="17"/>
                <w:color w:val="auto"/>
                <w:w w:val="84"/>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471</w:t>
            </w:r>
          </w:p>
        </w:tc>
        <w:tc>
          <w:tcPr>
            <w:tcW w:w="1020" w:type="dxa"/>
            <w:vAlign w:val="bottom"/>
            <w:gridSpan w:val="2"/>
            <w:vMerge w:val="restart"/>
            <w:shd w:val="clear" w:color="auto" w:fill="CCEEFF"/>
          </w:tcPr>
          <w:p>
            <w:pPr>
              <w:jc w:val="right"/>
              <w:ind w:right="820"/>
              <w:spacing w:after="0"/>
              <w:rPr>
                <w:sz w:val="20"/>
                <w:szCs w:val="20"/>
                <w:color w:val="auto"/>
              </w:rPr>
            </w:pPr>
            <w:r>
              <w:rPr>
                <w:rFonts w:ascii="Arial" w:cs="Arial" w:eastAsia="Arial" w:hAnsi="Arial"/>
                <w:sz w:val="17"/>
                <w:szCs w:val="17"/>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2,093</w:t>
            </w:r>
          </w:p>
        </w:tc>
        <w:tc>
          <w:tcPr>
            <w:tcW w:w="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456</w:t>
            </w:r>
          </w:p>
        </w:tc>
        <w:tc>
          <w:tcPr>
            <w:tcW w:w="8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11,689</w:t>
            </w:r>
          </w:p>
        </w:tc>
        <w:tc>
          <w:tcPr>
            <w:tcW w:w="0" w:type="dxa"/>
            <w:vAlign w:val="bottom"/>
          </w:tcPr>
          <w:p>
            <w:pPr>
              <w:spacing w:after="0"/>
              <w:rPr>
                <w:sz w:val="1"/>
                <w:szCs w:val="1"/>
                <w:color w:val="auto"/>
              </w:rPr>
            </w:pPr>
          </w:p>
        </w:tc>
      </w:tr>
      <w:tr>
        <w:trPr>
          <w:trHeight w:val="226"/>
        </w:trPr>
        <w:tc>
          <w:tcPr>
            <w:tcW w:w="5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and liabilities still held at June 30</w:t>
            </w:r>
          </w:p>
        </w:tc>
        <w:tc>
          <w:tcPr>
            <w:tcW w:w="940" w:type="dxa"/>
            <w:vAlign w:val="bottom"/>
            <w:vMerge w:val="continue"/>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The fair value of our capitalized mortgage loan servicing rights has been determined based on a valuation model used by an independent third party as discussed above. The significant unobservable inputs used in the fair value measurement of the capitalized mortgage loan servicing rights are discount rate, cost to service, ancillary income, float rate and prepayment rate. Significant changes in all five of these assumptions in isolation would result in significant changes to the value of our capitalized mortgage loan servicing rights. Quantitative information about our Level 3 fair value measurements measured on a recurring basis follows:</w:t>
      </w:r>
    </w:p>
    <w:p>
      <w:pPr>
        <w:sectPr>
          <w:pgSz w:w="11900" w:h="16838" w:orient="portrait"/>
          <w:cols w:equalWidth="0" w:num="1">
            <w:col w:w="11240"/>
          </w:cols>
          <w:pgMar w:left="320" w:top="127" w:right="339" w:bottom="1440" w:gutter="0" w:footer="0" w:header="0"/>
        </w:sectPr>
      </w:pPr>
    </w:p>
    <w:p>
      <w:pPr>
        <w:spacing w:after="0" w:line="135"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Asset</w:t>
      </w:r>
    </w:p>
    <w:p>
      <w:pPr>
        <w:ind w:left="2660"/>
        <w:spacing w:after="0" w:line="221" w:lineRule="auto"/>
        <w:rPr>
          <w:sz w:val="20"/>
          <w:szCs w:val="20"/>
          <w:color w:val="auto"/>
        </w:rPr>
      </w:pPr>
      <w:r>
        <w:rPr>
          <w:rFonts w:ascii="Arial" w:cs="Arial" w:eastAsia="Arial" w:hAnsi="Arial"/>
          <w:sz w:val="17"/>
          <w:szCs w:val="17"/>
          <w:color w:val="auto"/>
        </w:rPr>
        <w:t>Fair</w:t>
      </w:r>
    </w:p>
    <w:p>
      <w:pPr>
        <w:jc w:val="center"/>
        <w:ind w:left="2300"/>
        <w:spacing w:after="0"/>
        <w:rPr>
          <w:sz w:val="20"/>
          <w:szCs w:val="20"/>
          <w:color w:val="auto"/>
        </w:rPr>
      </w:pPr>
      <w:r>
        <w:rPr>
          <w:rFonts w:ascii="Arial" w:cs="Arial" w:eastAsia="Arial" w:hAnsi="Arial"/>
          <w:sz w:val="17"/>
          <w:szCs w:val="17"/>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1320165</wp:posOffset>
            </wp:positionH>
            <wp:positionV relativeFrom="paragraph">
              <wp:posOffset>5715</wp:posOffset>
            </wp:positionV>
            <wp:extent cx="91694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3" w:lineRule="exact"/>
        <w:rPr>
          <w:sz w:val="20"/>
          <w:szCs w:val="20"/>
          <w:color w:val="auto"/>
        </w:rPr>
      </w:pPr>
    </w:p>
    <w:p>
      <w:pPr>
        <w:jc w:val="center"/>
        <w:ind w:left="2300"/>
        <w:spacing w:after="0"/>
        <w:rPr>
          <w:sz w:val="20"/>
          <w:szCs w:val="20"/>
          <w:color w:val="auto"/>
        </w:rPr>
      </w:pPr>
      <w:r>
        <w:rPr>
          <w:rFonts w:ascii="Arial" w:cs="Arial" w:eastAsia="Arial" w:hAnsi="Arial"/>
          <w:sz w:val="15"/>
          <w:szCs w:val="15"/>
          <w:color w:val="auto"/>
        </w:rPr>
        <w:t>(In thousands)</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16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Valuation</w:t>
            </w:r>
          </w:p>
        </w:tc>
        <w:tc>
          <w:tcPr>
            <w:tcW w:w="190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Unobservable</w:t>
            </w: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91"/>
              </w:rPr>
              <w:t>Weighted</w:t>
            </w:r>
          </w:p>
        </w:tc>
      </w:tr>
      <w:tr>
        <w:trPr>
          <w:trHeight w:val="231"/>
        </w:trPr>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8"/>
              </w:rPr>
              <w:t>Technique</w:t>
            </w:r>
          </w:p>
        </w:tc>
        <w:tc>
          <w:tcPr>
            <w:tcW w:w="10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Inputs</w:t>
            </w:r>
          </w:p>
        </w:tc>
        <w:tc>
          <w:tcPr>
            <w:tcW w:w="100" w:type="dxa"/>
            <w:vAlign w:val="bottom"/>
          </w:tcPr>
          <w:p>
            <w:pPr>
              <w:spacing w:after="0"/>
              <w:rPr>
                <w:sz w:val="20"/>
                <w:szCs w:val="20"/>
                <w:color w:val="auto"/>
              </w:rPr>
            </w:pPr>
          </w:p>
        </w:tc>
        <w:tc>
          <w:tcPr>
            <w:tcW w:w="188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Range</w:t>
            </w:r>
          </w:p>
        </w:tc>
        <w:tc>
          <w:tcPr>
            <w:tcW w:w="10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Average</w:t>
            </w:r>
          </w:p>
        </w:tc>
      </w:tr>
    </w:tbl>
    <w:p>
      <w:pPr>
        <w:spacing w:after="0" w:line="219" w:lineRule="exact"/>
        <w:rPr>
          <w:sz w:val="20"/>
          <w:szCs w:val="20"/>
          <w:color w:val="auto"/>
        </w:rPr>
      </w:pPr>
    </w:p>
    <w:p>
      <w:pPr>
        <w:sectPr>
          <w:pgSz w:w="11900" w:h="16838" w:orient="portrait"/>
          <w:cols w:equalWidth="0" w:num="2">
            <w:col w:w="3300" w:space="320"/>
            <w:col w:w="7620"/>
          </w:cols>
          <w:pgMar w:left="320" w:top="127" w:right="339" w:bottom="1440" w:gutter="0" w:footer="0" w:header="0"/>
          <w:type w:val="continuous"/>
        </w:sectPr>
      </w:pPr>
    </w:p>
    <w:tbl>
      <w:tblPr>
        <w:tblLayout w:type="fixed"/>
        <w:tblInd w:w="20" w:type="dxa"/>
        <w:tblCellMar>
          <w:top w:w="0" w:type="dxa"/>
          <w:left w:w="0" w:type="dxa"/>
          <w:bottom w:w="0" w:type="dxa"/>
          <w:right w:w="0" w:type="dxa"/>
        </w:tblCellMar>
      </w:tblPr>
      <w:tr>
        <w:trPr>
          <w:trHeight w:val="217"/>
        </w:trPr>
        <w:tc>
          <w:tcPr>
            <w:tcW w:w="2020" w:type="dxa"/>
            <w:vAlign w:val="bottom"/>
          </w:tcPr>
          <w:p>
            <w:pPr>
              <w:jc w:val="right"/>
              <w:ind w:right="554"/>
              <w:spacing w:after="0"/>
              <w:rPr>
                <w:sz w:val="20"/>
                <w:szCs w:val="20"/>
                <w:color w:val="auto"/>
              </w:rPr>
            </w:pPr>
            <w:r>
              <w:rPr>
                <w:rFonts w:ascii="Arial" w:cs="Arial" w:eastAsia="Arial" w:hAnsi="Arial"/>
                <w:sz w:val="17"/>
                <w:szCs w:val="17"/>
                <w:color w:val="auto"/>
                <w:w w:val="88"/>
              </w:rPr>
              <w:t>September 30, 2023</w:t>
            </w: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70"/>
        </w:trPr>
        <w:tc>
          <w:tcPr>
            <w:tcW w:w="2020" w:type="dxa"/>
            <w:vAlign w:val="bottom"/>
          </w:tcPr>
          <w:p>
            <w:pPr>
              <w:jc w:val="right"/>
              <w:spacing w:after="0" w:line="170" w:lineRule="exact"/>
              <w:rPr>
                <w:sz w:val="20"/>
                <w:szCs w:val="20"/>
                <w:color w:val="auto"/>
              </w:rPr>
            </w:pPr>
            <w:r>
              <w:rPr>
                <w:rFonts w:ascii="Arial" w:cs="Arial" w:eastAsia="Arial" w:hAnsi="Arial"/>
                <w:sz w:val="17"/>
                <w:szCs w:val="17"/>
                <w:color w:val="auto"/>
                <w:w w:val="98"/>
              </w:rPr>
              <w:t>Capitalized mortgage loan</w:t>
            </w: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30"/>
        </w:trPr>
        <w:tc>
          <w:tcPr>
            <w:tcW w:w="2020" w:type="dxa"/>
            <w:vAlign w:val="bottom"/>
          </w:tcPr>
          <w:p>
            <w:pPr>
              <w:jc w:val="right"/>
              <w:ind w:right="554"/>
              <w:spacing w:after="0"/>
              <w:rPr>
                <w:sz w:val="20"/>
                <w:szCs w:val="20"/>
                <w:color w:val="auto"/>
              </w:rPr>
            </w:pPr>
            <w:r>
              <w:rPr>
                <w:rFonts w:ascii="Arial" w:cs="Arial" w:eastAsia="Arial" w:hAnsi="Arial"/>
                <w:sz w:val="17"/>
                <w:szCs w:val="17"/>
                <w:color w:val="auto"/>
              </w:rPr>
              <w:t>servicing rights</w:t>
            </w:r>
          </w:p>
        </w:tc>
        <w:tc>
          <w:tcPr>
            <w:tcW w:w="54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46,057</w:t>
            </w:r>
          </w:p>
        </w:tc>
      </w:tr>
    </w:tbl>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hanging="154"/>
        <w:spacing w:after="0" w:line="236" w:lineRule="auto"/>
        <w:rPr>
          <w:sz w:val="20"/>
          <w:szCs w:val="20"/>
          <w:color w:val="auto"/>
        </w:rPr>
      </w:pPr>
      <w:r>
        <w:rPr>
          <w:rFonts w:ascii="Arial" w:cs="Arial" w:eastAsia="Arial" w:hAnsi="Arial"/>
          <w:sz w:val="17"/>
          <w:szCs w:val="17"/>
          <w:color w:val="auto"/>
        </w:rPr>
        <w:t>Present value of net servicing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-243840</wp:posOffset>
            </wp:positionV>
            <wp:extent cx="7138670" cy="2540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8670" cy="25400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148590</wp:posOffset>
            </wp:positionV>
            <wp:extent cx="7138670" cy="1390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426720</wp:posOffset>
            </wp:positionV>
            <wp:extent cx="7138670" cy="1390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840" w:type="dxa"/>
            <w:vAlign w:val="bottom"/>
          </w:tcPr>
          <w:p>
            <w:pPr>
              <w:spacing w:after="0"/>
              <w:rPr>
                <w:sz w:val="20"/>
                <w:szCs w:val="20"/>
                <w:color w:val="auto"/>
              </w:rPr>
            </w:pPr>
            <w:r>
              <w:rPr>
                <w:rFonts w:ascii="Arial" w:cs="Arial" w:eastAsia="Arial" w:hAnsi="Arial"/>
                <w:sz w:val="17"/>
                <w:szCs w:val="17"/>
                <w:color w:val="auto"/>
              </w:rPr>
              <w:t>Discount rate</w:t>
            </w:r>
          </w:p>
        </w:tc>
        <w:tc>
          <w:tcPr>
            <w:tcW w:w="1340" w:type="dxa"/>
            <w:vAlign w:val="bottom"/>
          </w:tcPr>
          <w:p>
            <w:pPr>
              <w:jc w:val="right"/>
              <w:spacing w:after="0"/>
              <w:rPr>
                <w:sz w:val="20"/>
                <w:szCs w:val="20"/>
                <w:color w:val="auto"/>
              </w:rPr>
            </w:pPr>
            <w:r>
              <w:rPr>
                <w:rFonts w:ascii="Arial" w:cs="Arial" w:eastAsia="Arial" w:hAnsi="Arial"/>
                <w:sz w:val="17"/>
                <w:szCs w:val="17"/>
                <w:color w:val="auto"/>
              </w:rPr>
              <w:t>10.00% to</w:t>
            </w:r>
          </w:p>
        </w:tc>
        <w:tc>
          <w:tcPr>
            <w:tcW w:w="640" w:type="dxa"/>
            <w:vAlign w:val="bottom"/>
          </w:tcPr>
          <w:p>
            <w:pPr>
              <w:jc w:val="right"/>
              <w:spacing w:after="0"/>
              <w:rPr>
                <w:sz w:val="20"/>
                <w:szCs w:val="20"/>
                <w:color w:val="auto"/>
              </w:rPr>
            </w:pPr>
            <w:r>
              <w:rPr>
                <w:rFonts w:ascii="Arial" w:cs="Arial" w:eastAsia="Arial" w:hAnsi="Arial"/>
                <w:sz w:val="17"/>
                <w:szCs w:val="17"/>
                <w:color w:val="auto"/>
                <w:w w:val="97"/>
              </w:rPr>
              <w:t>16.96%</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10.21 %</w:t>
            </w:r>
          </w:p>
        </w:tc>
      </w:tr>
      <w:tr>
        <w:trPr>
          <w:trHeight w:val="219"/>
        </w:trPr>
        <w:tc>
          <w:tcPr>
            <w:tcW w:w="1840" w:type="dxa"/>
            <w:vAlign w:val="bottom"/>
          </w:tcPr>
          <w:p>
            <w:pPr>
              <w:spacing w:after="0"/>
              <w:rPr>
                <w:sz w:val="20"/>
                <w:szCs w:val="20"/>
                <w:color w:val="auto"/>
              </w:rPr>
            </w:pPr>
            <w:r>
              <w:rPr>
                <w:rFonts w:ascii="Arial" w:cs="Arial" w:eastAsia="Arial" w:hAnsi="Arial"/>
                <w:sz w:val="17"/>
                <w:szCs w:val="17"/>
                <w:color w:val="auto"/>
              </w:rPr>
              <w:t>Cost to service</w:t>
            </w:r>
          </w:p>
        </w:tc>
        <w:tc>
          <w:tcPr>
            <w:tcW w:w="1980" w:type="dxa"/>
            <w:vAlign w:val="bottom"/>
            <w:gridSpan w:val="2"/>
          </w:tcPr>
          <w:p>
            <w:pPr>
              <w:jc w:val="right"/>
              <w:spacing w:after="0"/>
              <w:rPr>
                <w:sz w:val="20"/>
                <w:szCs w:val="20"/>
                <w:color w:val="auto"/>
              </w:rPr>
            </w:pPr>
            <w:r>
              <w:rPr>
                <w:rFonts w:ascii="Arial" w:cs="Arial" w:eastAsia="Arial" w:hAnsi="Arial"/>
                <w:sz w:val="17"/>
                <w:szCs w:val="17"/>
                <w:color w:val="auto"/>
              </w:rPr>
              <w:t>$63 to $442</w:t>
            </w:r>
          </w:p>
        </w:tc>
        <w:tc>
          <w:tcPr>
            <w:tcW w:w="580" w:type="dxa"/>
            <w:vAlign w:val="bottom"/>
          </w:tcPr>
          <w:p>
            <w:pPr>
              <w:jc w:val="right"/>
              <w:ind w:right="354"/>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94"/>
              <w:spacing w:after="0"/>
              <w:rPr>
                <w:sz w:val="20"/>
                <w:szCs w:val="20"/>
                <w:color w:val="auto"/>
              </w:rPr>
            </w:pPr>
            <w:r>
              <w:rPr>
                <w:rFonts w:ascii="Arial" w:cs="Arial" w:eastAsia="Arial" w:hAnsi="Arial"/>
                <w:sz w:val="17"/>
                <w:szCs w:val="17"/>
                <w:color w:val="auto"/>
              </w:rPr>
              <w:t>78</w:t>
            </w:r>
          </w:p>
        </w:tc>
      </w:tr>
      <w:tr>
        <w:trPr>
          <w:trHeight w:val="219"/>
        </w:trPr>
        <w:tc>
          <w:tcPr>
            <w:tcW w:w="1840" w:type="dxa"/>
            <w:vAlign w:val="bottom"/>
          </w:tcPr>
          <w:p>
            <w:pPr>
              <w:spacing w:after="0"/>
              <w:rPr>
                <w:sz w:val="20"/>
                <w:szCs w:val="20"/>
                <w:color w:val="auto"/>
              </w:rPr>
            </w:pPr>
            <w:r>
              <w:rPr>
                <w:rFonts w:ascii="Arial" w:cs="Arial" w:eastAsia="Arial" w:hAnsi="Arial"/>
                <w:sz w:val="17"/>
                <w:szCs w:val="17"/>
                <w:color w:val="auto"/>
              </w:rPr>
              <w:t>Ancillary income</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1"/>
              </w:rPr>
              <w:t>18 to 35</w:t>
            </w:r>
          </w:p>
        </w:tc>
        <w:tc>
          <w:tcPr>
            <w:tcW w:w="580" w:type="dxa"/>
            <w:vAlign w:val="bottom"/>
          </w:tcPr>
          <w:p>
            <w:pPr>
              <w:spacing w:after="0"/>
              <w:rPr>
                <w:sz w:val="19"/>
                <w:szCs w:val="19"/>
                <w:color w:val="auto"/>
              </w:rPr>
            </w:pPr>
          </w:p>
        </w:tc>
        <w:tc>
          <w:tcPr>
            <w:tcW w:w="1020" w:type="dxa"/>
            <w:vAlign w:val="bottom"/>
          </w:tcPr>
          <w:p>
            <w:pPr>
              <w:jc w:val="right"/>
              <w:ind w:right="94"/>
              <w:spacing w:after="0"/>
              <w:rPr>
                <w:sz w:val="20"/>
                <w:szCs w:val="20"/>
                <w:color w:val="auto"/>
              </w:rPr>
            </w:pPr>
            <w:r>
              <w:rPr>
                <w:rFonts w:ascii="Arial" w:cs="Arial" w:eastAsia="Arial" w:hAnsi="Arial"/>
                <w:sz w:val="17"/>
                <w:szCs w:val="17"/>
                <w:color w:val="auto"/>
              </w:rPr>
              <w:t>21</w:t>
            </w:r>
          </w:p>
        </w:tc>
      </w:tr>
      <w:tr>
        <w:trPr>
          <w:trHeight w:val="219"/>
        </w:trPr>
        <w:tc>
          <w:tcPr>
            <w:tcW w:w="1840" w:type="dxa"/>
            <w:vAlign w:val="bottom"/>
          </w:tcPr>
          <w:p>
            <w:pPr>
              <w:spacing w:after="0"/>
              <w:rPr>
                <w:sz w:val="20"/>
                <w:szCs w:val="20"/>
                <w:color w:val="auto"/>
              </w:rPr>
            </w:pPr>
            <w:r>
              <w:rPr>
                <w:rFonts w:ascii="Arial" w:cs="Arial" w:eastAsia="Arial" w:hAnsi="Arial"/>
                <w:sz w:val="17"/>
                <w:szCs w:val="17"/>
                <w:color w:val="auto"/>
              </w:rPr>
              <w:t>Float rate</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4.66 %</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4.66 %</w:t>
            </w:r>
          </w:p>
        </w:tc>
      </w:tr>
      <w:tr>
        <w:trPr>
          <w:trHeight w:val="219"/>
        </w:trPr>
        <w:tc>
          <w:tcPr>
            <w:tcW w:w="1840" w:type="dxa"/>
            <w:vAlign w:val="bottom"/>
          </w:tcPr>
          <w:p>
            <w:pPr>
              <w:spacing w:after="0"/>
              <w:rPr>
                <w:sz w:val="20"/>
                <w:szCs w:val="20"/>
                <w:color w:val="auto"/>
              </w:rPr>
            </w:pPr>
            <w:r>
              <w:rPr>
                <w:rFonts w:ascii="Arial" w:cs="Arial" w:eastAsia="Arial" w:hAnsi="Arial"/>
                <w:sz w:val="17"/>
                <w:szCs w:val="17"/>
                <w:color w:val="auto"/>
              </w:rPr>
              <w:t>Prepayment rate</w:t>
            </w:r>
          </w:p>
        </w:tc>
        <w:tc>
          <w:tcPr>
            <w:tcW w:w="1340" w:type="dxa"/>
            <w:vAlign w:val="bottom"/>
          </w:tcPr>
          <w:p>
            <w:pPr>
              <w:jc w:val="right"/>
              <w:spacing w:after="0"/>
              <w:rPr>
                <w:sz w:val="20"/>
                <w:szCs w:val="20"/>
                <w:color w:val="auto"/>
              </w:rPr>
            </w:pPr>
            <w:r>
              <w:rPr>
                <w:rFonts w:ascii="Arial" w:cs="Arial" w:eastAsia="Arial" w:hAnsi="Arial"/>
                <w:sz w:val="17"/>
                <w:szCs w:val="17"/>
                <w:color w:val="auto"/>
              </w:rPr>
              <w:t>6.58% to</w:t>
            </w:r>
          </w:p>
        </w:tc>
        <w:tc>
          <w:tcPr>
            <w:tcW w:w="640" w:type="dxa"/>
            <w:vAlign w:val="bottom"/>
          </w:tcPr>
          <w:p>
            <w:pPr>
              <w:jc w:val="right"/>
              <w:spacing w:after="0"/>
              <w:rPr>
                <w:sz w:val="20"/>
                <w:szCs w:val="20"/>
                <w:color w:val="auto"/>
              </w:rPr>
            </w:pPr>
            <w:r>
              <w:rPr>
                <w:rFonts w:ascii="Arial" w:cs="Arial" w:eastAsia="Arial" w:hAnsi="Arial"/>
                <w:sz w:val="17"/>
                <w:szCs w:val="17"/>
                <w:color w:val="auto"/>
                <w:w w:val="97"/>
              </w:rPr>
              <w:t>33.54%</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7.78 %</w:t>
            </w:r>
          </w:p>
        </w:tc>
      </w:tr>
    </w:tbl>
    <w:p>
      <w:pPr>
        <w:spacing w:after="0" w:line="2" w:lineRule="exact"/>
        <w:rPr>
          <w:sz w:val="20"/>
          <w:szCs w:val="20"/>
          <w:color w:val="auto"/>
        </w:rPr>
      </w:pPr>
    </w:p>
    <w:p>
      <w:pPr>
        <w:sectPr>
          <w:pgSz w:w="11900" w:h="16838" w:orient="portrait"/>
          <w:cols w:equalWidth="0" w:num="3">
            <w:col w:w="3460" w:space="320"/>
            <w:col w:w="1880" w:space="140"/>
            <w:col w:w="5440"/>
          </w:cols>
          <w:pgMar w:left="320" w:top="127" w:right="339" w:bottom="1440" w:gutter="0" w:footer="0" w:header="0"/>
          <w:type w:val="continuous"/>
        </w:sectPr>
      </w:pPr>
    </w:p>
    <w:tbl>
      <w:tblPr>
        <w:tblLayout w:type="fixed"/>
        <w:tblInd w:w="20" w:type="dxa"/>
        <w:tblCellMar>
          <w:top w:w="0" w:type="dxa"/>
          <w:left w:w="0" w:type="dxa"/>
          <w:bottom w:w="0" w:type="dxa"/>
          <w:right w:w="0" w:type="dxa"/>
        </w:tblCellMar>
      </w:tblPr>
      <w:tr>
        <w:trPr>
          <w:trHeight w:val="217"/>
        </w:trPr>
        <w:tc>
          <w:tcPr>
            <w:tcW w:w="2020" w:type="dxa"/>
            <w:vAlign w:val="bottom"/>
          </w:tcPr>
          <w:p>
            <w:pPr>
              <w:spacing w:after="0"/>
              <w:rPr>
                <w:sz w:val="20"/>
                <w:szCs w:val="20"/>
                <w:color w:val="auto"/>
              </w:rPr>
            </w:pPr>
            <w:r>
              <w:rPr>
                <w:rFonts w:ascii="Arial" w:cs="Arial" w:eastAsia="Arial" w:hAnsi="Arial"/>
                <w:sz w:val="17"/>
                <w:szCs w:val="17"/>
                <w:color w:val="auto"/>
              </w:rPr>
              <w:t>December 31, 2022</w:t>
            </w: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70"/>
        </w:trPr>
        <w:tc>
          <w:tcPr>
            <w:tcW w:w="2020" w:type="dxa"/>
            <w:vAlign w:val="bottom"/>
          </w:tcPr>
          <w:p>
            <w:pPr>
              <w:ind w:left="160"/>
              <w:spacing w:after="0" w:line="170" w:lineRule="exact"/>
              <w:rPr>
                <w:sz w:val="20"/>
                <w:szCs w:val="20"/>
                <w:color w:val="auto"/>
              </w:rPr>
            </w:pPr>
            <w:r>
              <w:rPr>
                <w:rFonts w:ascii="Arial" w:cs="Arial" w:eastAsia="Arial" w:hAnsi="Arial"/>
                <w:sz w:val="17"/>
                <w:szCs w:val="17"/>
                <w:color w:val="auto"/>
                <w:w w:val="93"/>
              </w:rPr>
              <w:t>Capitalized mortgage loan</w:t>
            </w: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30"/>
        </w:trPr>
        <w:tc>
          <w:tcPr>
            <w:tcW w:w="2020" w:type="dxa"/>
            <w:vAlign w:val="bottom"/>
          </w:tcPr>
          <w:p>
            <w:pPr>
              <w:ind w:left="300"/>
              <w:spacing w:after="0"/>
              <w:rPr>
                <w:sz w:val="20"/>
                <w:szCs w:val="20"/>
                <w:color w:val="auto"/>
              </w:rPr>
            </w:pPr>
            <w:r>
              <w:rPr>
                <w:rFonts w:ascii="Arial" w:cs="Arial" w:eastAsia="Arial" w:hAnsi="Arial"/>
                <w:sz w:val="17"/>
                <w:szCs w:val="17"/>
                <w:color w:val="auto"/>
              </w:rPr>
              <w:t>servicing rights</w:t>
            </w:r>
          </w:p>
        </w:tc>
        <w:tc>
          <w:tcPr>
            <w:tcW w:w="54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42,489</w:t>
            </w:r>
          </w:p>
        </w:tc>
      </w:tr>
    </w:tbl>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hanging="154"/>
        <w:spacing w:after="0" w:line="236" w:lineRule="auto"/>
        <w:rPr>
          <w:sz w:val="20"/>
          <w:szCs w:val="20"/>
          <w:color w:val="auto"/>
        </w:rPr>
      </w:pPr>
      <w:r>
        <w:rPr>
          <w:rFonts w:ascii="Arial" w:cs="Arial" w:eastAsia="Arial" w:hAnsi="Arial"/>
          <w:sz w:val="17"/>
          <w:szCs w:val="17"/>
          <w:color w:val="auto"/>
        </w:rPr>
        <w:t>Present value of net servicing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-243840</wp:posOffset>
            </wp:positionV>
            <wp:extent cx="7138670" cy="2540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8670" cy="25400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148590</wp:posOffset>
            </wp:positionV>
            <wp:extent cx="7138670" cy="1390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426720</wp:posOffset>
            </wp:positionV>
            <wp:extent cx="7138670" cy="1390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840" w:type="dxa"/>
            <w:vAlign w:val="bottom"/>
          </w:tcPr>
          <w:p>
            <w:pPr>
              <w:spacing w:after="0"/>
              <w:rPr>
                <w:sz w:val="20"/>
                <w:szCs w:val="20"/>
                <w:color w:val="auto"/>
              </w:rPr>
            </w:pPr>
            <w:r>
              <w:rPr>
                <w:rFonts w:ascii="Arial" w:cs="Arial" w:eastAsia="Arial" w:hAnsi="Arial"/>
                <w:sz w:val="17"/>
                <w:szCs w:val="17"/>
                <w:color w:val="auto"/>
              </w:rPr>
              <w:t>Discount rate</w:t>
            </w:r>
          </w:p>
        </w:tc>
        <w:tc>
          <w:tcPr>
            <w:tcW w:w="1340" w:type="dxa"/>
            <w:vAlign w:val="bottom"/>
          </w:tcPr>
          <w:p>
            <w:pPr>
              <w:jc w:val="right"/>
              <w:spacing w:after="0"/>
              <w:rPr>
                <w:sz w:val="20"/>
                <w:szCs w:val="20"/>
                <w:color w:val="auto"/>
              </w:rPr>
            </w:pPr>
            <w:r>
              <w:rPr>
                <w:rFonts w:ascii="Arial" w:cs="Arial" w:eastAsia="Arial" w:hAnsi="Arial"/>
                <w:sz w:val="17"/>
                <w:szCs w:val="17"/>
                <w:color w:val="auto"/>
              </w:rPr>
              <w:t>10.00% to</w:t>
            </w:r>
          </w:p>
        </w:tc>
        <w:tc>
          <w:tcPr>
            <w:tcW w:w="640" w:type="dxa"/>
            <w:vAlign w:val="bottom"/>
          </w:tcPr>
          <w:p>
            <w:pPr>
              <w:jc w:val="right"/>
              <w:spacing w:after="0"/>
              <w:rPr>
                <w:sz w:val="20"/>
                <w:szCs w:val="20"/>
                <w:color w:val="auto"/>
              </w:rPr>
            </w:pPr>
            <w:r>
              <w:rPr>
                <w:rFonts w:ascii="Arial" w:cs="Arial" w:eastAsia="Arial" w:hAnsi="Arial"/>
                <w:sz w:val="17"/>
                <w:szCs w:val="17"/>
                <w:color w:val="auto"/>
                <w:w w:val="97"/>
              </w:rPr>
              <w:t>13.23%</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10.12 %</w:t>
            </w:r>
          </w:p>
        </w:tc>
      </w:tr>
      <w:tr>
        <w:trPr>
          <w:trHeight w:val="219"/>
        </w:trPr>
        <w:tc>
          <w:tcPr>
            <w:tcW w:w="1840" w:type="dxa"/>
            <w:vAlign w:val="bottom"/>
          </w:tcPr>
          <w:p>
            <w:pPr>
              <w:spacing w:after="0"/>
              <w:rPr>
                <w:sz w:val="20"/>
                <w:szCs w:val="20"/>
                <w:color w:val="auto"/>
              </w:rPr>
            </w:pPr>
            <w:r>
              <w:rPr>
                <w:rFonts w:ascii="Arial" w:cs="Arial" w:eastAsia="Arial" w:hAnsi="Arial"/>
                <w:sz w:val="17"/>
                <w:szCs w:val="17"/>
                <w:color w:val="auto"/>
              </w:rPr>
              <w:t>Cost to service</w:t>
            </w:r>
          </w:p>
        </w:tc>
        <w:tc>
          <w:tcPr>
            <w:tcW w:w="1980" w:type="dxa"/>
            <w:vAlign w:val="bottom"/>
            <w:gridSpan w:val="2"/>
          </w:tcPr>
          <w:p>
            <w:pPr>
              <w:jc w:val="right"/>
              <w:spacing w:after="0"/>
              <w:rPr>
                <w:sz w:val="20"/>
                <w:szCs w:val="20"/>
                <w:color w:val="auto"/>
              </w:rPr>
            </w:pPr>
            <w:r>
              <w:rPr>
                <w:rFonts w:ascii="Arial" w:cs="Arial" w:eastAsia="Arial" w:hAnsi="Arial"/>
                <w:sz w:val="17"/>
                <w:szCs w:val="17"/>
                <w:color w:val="auto"/>
              </w:rPr>
              <w:t>$66 to $150</w:t>
            </w:r>
          </w:p>
        </w:tc>
        <w:tc>
          <w:tcPr>
            <w:tcW w:w="580" w:type="dxa"/>
            <w:vAlign w:val="bottom"/>
          </w:tcPr>
          <w:p>
            <w:pPr>
              <w:jc w:val="right"/>
              <w:ind w:right="354"/>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94"/>
              <w:spacing w:after="0"/>
              <w:rPr>
                <w:sz w:val="20"/>
                <w:szCs w:val="20"/>
                <w:color w:val="auto"/>
              </w:rPr>
            </w:pPr>
            <w:r>
              <w:rPr>
                <w:rFonts w:ascii="Arial" w:cs="Arial" w:eastAsia="Arial" w:hAnsi="Arial"/>
                <w:sz w:val="17"/>
                <w:szCs w:val="17"/>
                <w:color w:val="auto"/>
              </w:rPr>
              <w:t>78</w:t>
            </w:r>
          </w:p>
        </w:tc>
      </w:tr>
      <w:tr>
        <w:trPr>
          <w:trHeight w:val="219"/>
        </w:trPr>
        <w:tc>
          <w:tcPr>
            <w:tcW w:w="1840" w:type="dxa"/>
            <w:vAlign w:val="bottom"/>
          </w:tcPr>
          <w:p>
            <w:pPr>
              <w:spacing w:after="0"/>
              <w:rPr>
                <w:sz w:val="20"/>
                <w:szCs w:val="20"/>
                <w:color w:val="auto"/>
              </w:rPr>
            </w:pPr>
            <w:r>
              <w:rPr>
                <w:rFonts w:ascii="Arial" w:cs="Arial" w:eastAsia="Arial" w:hAnsi="Arial"/>
                <w:sz w:val="17"/>
                <w:szCs w:val="17"/>
                <w:color w:val="auto"/>
              </w:rPr>
              <w:t>Ancillary income</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1"/>
              </w:rPr>
              <w:t>20 to 35</w:t>
            </w:r>
          </w:p>
        </w:tc>
        <w:tc>
          <w:tcPr>
            <w:tcW w:w="580" w:type="dxa"/>
            <w:vAlign w:val="bottom"/>
          </w:tcPr>
          <w:p>
            <w:pPr>
              <w:spacing w:after="0"/>
              <w:rPr>
                <w:sz w:val="19"/>
                <w:szCs w:val="19"/>
                <w:color w:val="auto"/>
              </w:rPr>
            </w:pPr>
          </w:p>
        </w:tc>
        <w:tc>
          <w:tcPr>
            <w:tcW w:w="1020" w:type="dxa"/>
            <w:vAlign w:val="bottom"/>
          </w:tcPr>
          <w:p>
            <w:pPr>
              <w:jc w:val="right"/>
              <w:ind w:right="94"/>
              <w:spacing w:after="0"/>
              <w:rPr>
                <w:sz w:val="20"/>
                <w:szCs w:val="20"/>
                <w:color w:val="auto"/>
              </w:rPr>
            </w:pPr>
            <w:r>
              <w:rPr>
                <w:rFonts w:ascii="Arial" w:cs="Arial" w:eastAsia="Arial" w:hAnsi="Arial"/>
                <w:sz w:val="17"/>
                <w:szCs w:val="17"/>
                <w:color w:val="auto"/>
              </w:rPr>
              <w:t>21</w:t>
            </w:r>
          </w:p>
        </w:tc>
      </w:tr>
      <w:tr>
        <w:trPr>
          <w:trHeight w:val="219"/>
        </w:trPr>
        <w:tc>
          <w:tcPr>
            <w:tcW w:w="1840" w:type="dxa"/>
            <w:vAlign w:val="bottom"/>
          </w:tcPr>
          <w:p>
            <w:pPr>
              <w:spacing w:after="0"/>
              <w:rPr>
                <w:sz w:val="20"/>
                <w:szCs w:val="20"/>
                <w:color w:val="auto"/>
              </w:rPr>
            </w:pPr>
            <w:r>
              <w:rPr>
                <w:rFonts w:ascii="Arial" w:cs="Arial" w:eastAsia="Arial" w:hAnsi="Arial"/>
                <w:sz w:val="17"/>
                <w:szCs w:val="17"/>
                <w:color w:val="auto"/>
              </w:rPr>
              <w:t>Float rate</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4.03 %</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4.03 %</w:t>
            </w:r>
          </w:p>
        </w:tc>
      </w:tr>
      <w:tr>
        <w:trPr>
          <w:trHeight w:val="219"/>
        </w:trPr>
        <w:tc>
          <w:tcPr>
            <w:tcW w:w="1840" w:type="dxa"/>
            <w:vAlign w:val="bottom"/>
          </w:tcPr>
          <w:p>
            <w:pPr>
              <w:spacing w:after="0"/>
              <w:rPr>
                <w:sz w:val="20"/>
                <w:szCs w:val="20"/>
                <w:color w:val="auto"/>
              </w:rPr>
            </w:pPr>
            <w:r>
              <w:rPr>
                <w:rFonts w:ascii="Arial" w:cs="Arial" w:eastAsia="Arial" w:hAnsi="Arial"/>
                <w:sz w:val="17"/>
                <w:szCs w:val="17"/>
                <w:color w:val="auto"/>
              </w:rPr>
              <w:t>Prepayment rate</w:t>
            </w:r>
          </w:p>
        </w:tc>
        <w:tc>
          <w:tcPr>
            <w:tcW w:w="1340" w:type="dxa"/>
            <w:vAlign w:val="bottom"/>
          </w:tcPr>
          <w:p>
            <w:pPr>
              <w:jc w:val="right"/>
              <w:spacing w:after="0"/>
              <w:rPr>
                <w:sz w:val="20"/>
                <w:szCs w:val="20"/>
                <w:color w:val="auto"/>
              </w:rPr>
            </w:pPr>
            <w:r>
              <w:rPr>
                <w:rFonts w:ascii="Arial" w:cs="Arial" w:eastAsia="Arial" w:hAnsi="Arial"/>
                <w:sz w:val="17"/>
                <w:szCs w:val="17"/>
                <w:color w:val="auto"/>
              </w:rPr>
              <w:t>7.03% to</w:t>
            </w:r>
          </w:p>
        </w:tc>
        <w:tc>
          <w:tcPr>
            <w:tcW w:w="640" w:type="dxa"/>
            <w:vAlign w:val="bottom"/>
          </w:tcPr>
          <w:p>
            <w:pPr>
              <w:jc w:val="right"/>
              <w:spacing w:after="0"/>
              <w:rPr>
                <w:sz w:val="20"/>
                <w:szCs w:val="20"/>
                <w:color w:val="auto"/>
              </w:rPr>
            </w:pPr>
            <w:r>
              <w:rPr>
                <w:rFonts w:ascii="Arial" w:cs="Arial" w:eastAsia="Arial" w:hAnsi="Arial"/>
                <w:sz w:val="17"/>
                <w:szCs w:val="17"/>
                <w:color w:val="auto"/>
                <w:w w:val="97"/>
              </w:rPr>
              <w:t>30.40%</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7.97%</w:t>
            </w:r>
          </w:p>
        </w:tc>
      </w:tr>
    </w:tbl>
    <w:p>
      <w:pPr>
        <w:spacing w:after="0" w:line="200" w:lineRule="exact"/>
        <w:rPr>
          <w:sz w:val="20"/>
          <w:szCs w:val="20"/>
          <w:color w:val="auto"/>
        </w:rPr>
      </w:pPr>
    </w:p>
    <w:p>
      <w:pPr>
        <w:sectPr>
          <w:pgSz w:w="11900" w:h="16838" w:orient="portrait"/>
          <w:cols w:equalWidth="0" w:num="3">
            <w:col w:w="3460" w:space="320"/>
            <w:col w:w="1880" w:space="140"/>
            <w:col w:w="5440"/>
          </w:cols>
          <w:pgMar w:left="320" w:top="127" w:right="33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NOTES TO INTERIM CONDENSED CONSOLIDATED FINANCIAL STATEMENTS (continued)</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(Unaudited)</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Quantitative information about Level 3 fair value measurements measured on a non-recurring basis follows:</w:t>
      </w: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7"/>
                <w:szCs w:val="17"/>
                <w:color w:val="auto"/>
                <w:w w:val="89"/>
              </w:rPr>
              <w:t>Asset</w:t>
            </w: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06"/>
        </w:trPr>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7"/>
                <w:szCs w:val="17"/>
                <w:color w:val="auto"/>
                <w:w w:val="95"/>
              </w:rPr>
              <w:t>Fair</w:t>
            </w:r>
          </w:p>
        </w:tc>
        <w:tc>
          <w:tcPr>
            <w:tcW w:w="2200" w:type="dxa"/>
            <w:vAlign w:val="bottom"/>
            <w:gridSpan w:val="2"/>
          </w:tcPr>
          <w:p>
            <w:pPr>
              <w:ind w:left="740"/>
              <w:spacing w:after="0"/>
              <w:rPr>
                <w:sz w:val="20"/>
                <w:szCs w:val="20"/>
                <w:color w:val="auto"/>
              </w:rPr>
            </w:pPr>
            <w:r>
              <w:rPr>
                <w:rFonts w:ascii="Arial" w:cs="Arial" w:eastAsia="Arial" w:hAnsi="Arial"/>
                <w:sz w:val="17"/>
                <w:szCs w:val="17"/>
                <w:color w:val="auto"/>
              </w:rPr>
              <w:t>Valuation</w:t>
            </w:r>
          </w:p>
        </w:tc>
        <w:tc>
          <w:tcPr>
            <w:tcW w:w="2140" w:type="dxa"/>
            <w:vAlign w:val="bottom"/>
          </w:tcPr>
          <w:p>
            <w:pPr>
              <w:jc w:val="center"/>
              <w:spacing w:after="0"/>
              <w:rPr>
                <w:sz w:val="20"/>
                <w:szCs w:val="20"/>
                <w:color w:val="auto"/>
              </w:rPr>
            </w:pPr>
            <w:r>
              <w:rPr>
                <w:rFonts w:ascii="Arial" w:cs="Arial" w:eastAsia="Arial" w:hAnsi="Arial"/>
                <w:sz w:val="17"/>
                <w:szCs w:val="17"/>
                <w:color w:val="auto"/>
                <w:w w:val="89"/>
              </w:rPr>
              <w:t>Unobservable</w:t>
            </w:r>
          </w:p>
        </w:tc>
      </w:tr>
      <w:tr>
        <w:trPr>
          <w:trHeight w:val="217"/>
        </w:trPr>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7"/>
                <w:szCs w:val="17"/>
                <w:color w:val="auto"/>
                <w:w w:val="87"/>
              </w:rPr>
              <w:t>Value</w:t>
            </w:r>
          </w:p>
        </w:tc>
        <w:tc>
          <w:tcPr>
            <w:tcW w:w="2200" w:type="dxa"/>
            <w:vAlign w:val="bottom"/>
            <w:gridSpan w:val="2"/>
          </w:tcPr>
          <w:p>
            <w:pPr>
              <w:ind w:left="700"/>
              <w:spacing w:after="0"/>
              <w:rPr>
                <w:sz w:val="20"/>
                <w:szCs w:val="20"/>
                <w:color w:val="auto"/>
              </w:rPr>
            </w:pPr>
            <w:r>
              <w:rPr>
                <w:rFonts w:ascii="Arial" w:cs="Arial" w:eastAsia="Arial" w:hAnsi="Arial"/>
                <w:sz w:val="17"/>
                <w:szCs w:val="17"/>
                <w:color w:val="auto"/>
              </w:rPr>
              <w:t>Technique</w:t>
            </w:r>
          </w:p>
        </w:tc>
        <w:tc>
          <w:tcPr>
            <w:tcW w:w="2140" w:type="dxa"/>
            <w:vAlign w:val="bottom"/>
          </w:tcPr>
          <w:p>
            <w:pPr>
              <w:jc w:val="center"/>
              <w:spacing w:after="0"/>
              <w:rPr>
                <w:sz w:val="20"/>
                <w:szCs w:val="20"/>
                <w:color w:val="auto"/>
              </w:rPr>
            </w:pPr>
            <w:r>
              <w:rPr>
                <w:rFonts w:ascii="Arial" w:cs="Arial" w:eastAsia="Arial" w:hAnsi="Arial"/>
                <w:sz w:val="17"/>
                <w:szCs w:val="17"/>
                <w:color w:val="auto"/>
                <w:w w:val="90"/>
              </w:rPr>
              <w:t>Inputs</w:t>
            </w:r>
          </w:p>
        </w:tc>
      </w:tr>
      <w:tr>
        <w:trPr>
          <w:trHeight w:val="27"/>
        </w:trPr>
        <w:tc>
          <w:tcPr>
            <w:tcW w:w="2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23"/>
        </w:trPr>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7"/>
                <w:szCs w:val="17"/>
                <w:color w:val="auto"/>
                <w:w w:val="90"/>
              </w:rPr>
              <w:t>(In thousands)</w:t>
            </w:r>
          </w:p>
        </w:tc>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45"/>
        </w:trPr>
        <w:tc>
          <w:tcPr>
            <w:tcW w:w="2260" w:type="dxa"/>
            <w:vAlign w:val="bottom"/>
            <w:gridSpan w:val="2"/>
          </w:tcPr>
          <w:p>
            <w:pPr>
              <w:jc w:val="center"/>
              <w:ind w:right="880"/>
              <w:spacing w:after="0"/>
              <w:rPr>
                <w:sz w:val="20"/>
                <w:szCs w:val="20"/>
                <w:color w:val="auto"/>
              </w:rPr>
            </w:pPr>
            <w:r>
              <w:rPr>
                <w:rFonts w:ascii="Arial" w:cs="Arial" w:eastAsia="Arial" w:hAnsi="Arial"/>
                <w:sz w:val="17"/>
                <w:szCs w:val="17"/>
                <w:color w:val="auto"/>
                <w:w w:val="89"/>
              </w:rPr>
              <w:t>September 30, 2023</w:t>
            </w: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245"/>
        </w:trPr>
        <w:tc>
          <w:tcPr>
            <w:tcW w:w="2260" w:type="dxa"/>
            <w:vAlign w:val="bottom"/>
            <w:gridSpan w:val="2"/>
          </w:tcPr>
          <w:p>
            <w:pPr>
              <w:jc w:val="right"/>
              <w:ind w:right="280"/>
              <w:spacing w:after="0"/>
              <w:rPr>
                <w:sz w:val="20"/>
                <w:szCs w:val="20"/>
                <w:color w:val="auto"/>
              </w:rPr>
            </w:pPr>
            <w:r>
              <w:rPr>
                <w:rFonts w:ascii="Arial" w:cs="Arial" w:eastAsia="Arial" w:hAnsi="Arial"/>
                <w:sz w:val="17"/>
                <w:szCs w:val="17"/>
                <w:color w:val="auto"/>
                <w:w w:val="96"/>
              </w:rPr>
              <w:t>Collateral dependent loans</w:t>
            </w: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234"/>
        </w:trPr>
        <w:tc>
          <w:tcPr>
            <w:tcW w:w="2260" w:type="dxa"/>
            <w:vAlign w:val="bottom"/>
            <w:gridSpan w:val="2"/>
          </w:tcPr>
          <w:p>
            <w:pPr>
              <w:jc w:val="center"/>
              <w:ind w:right="700"/>
              <w:spacing w:after="0"/>
              <w:rPr>
                <w:sz w:val="20"/>
                <w:szCs w:val="20"/>
                <w:color w:val="auto"/>
              </w:rPr>
            </w:pPr>
            <w:r>
              <w:rPr>
                <w:rFonts w:ascii="Arial" w:cs="Arial" w:eastAsia="Arial" w:hAnsi="Arial"/>
                <w:sz w:val="17"/>
                <w:szCs w:val="17"/>
                <w:color w:val="auto"/>
                <w:w w:val="93"/>
              </w:rPr>
              <w:t>Commercial(1)</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gridSpan w:val="2"/>
          </w:tcPr>
          <w:p>
            <w:pPr>
              <w:ind w:left="20"/>
              <w:spacing w:after="0"/>
              <w:rPr>
                <w:sz w:val="20"/>
                <w:szCs w:val="20"/>
                <w:color w:val="auto"/>
              </w:rPr>
            </w:pPr>
            <w:r>
              <w:rPr>
                <w:rFonts w:ascii="Arial" w:cs="Arial" w:eastAsia="Arial" w:hAnsi="Arial"/>
                <w:sz w:val="17"/>
                <w:szCs w:val="17"/>
                <w:color w:val="auto"/>
              </w:rPr>
              <w:t>Discounting financial</w:t>
            </w:r>
          </w:p>
        </w:tc>
        <w:tc>
          <w:tcPr>
            <w:tcW w:w="2140" w:type="dxa"/>
            <w:vAlign w:val="bottom"/>
          </w:tcPr>
          <w:p>
            <w:pPr>
              <w:ind w:left="20"/>
              <w:spacing w:after="0"/>
              <w:rPr>
                <w:sz w:val="20"/>
                <w:szCs w:val="20"/>
                <w:color w:val="auto"/>
              </w:rPr>
            </w:pPr>
            <w:r>
              <w:rPr>
                <w:rFonts w:ascii="Arial" w:cs="Arial" w:eastAsia="Arial" w:hAnsi="Arial"/>
                <w:sz w:val="17"/>
                <w:szCs w:val="17"/>
                <w:color w:val="auto"/>
              </w:rPr>
              <w:t>Discount rates used</w:t>
            </w:r>
          </w:p>
        </w:tc>
      </w:tr>
      <w:tr>
        <w:trPr>
          <w:trHeight w:val="206"/>
        </w:trPr>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gridSpan w:val="2"/>
          </w:tcPr>
          <w:p>
            <w:pPr>
              <w:ind w:left="180"/>
              <w:spacing w:after="0"/>
              <w:rPr>
                <w:sz w:val="20"/>
                <w:szCs w:val="20"/>
                <w:color w:val="auto"/>
              </w:rPr>
            </w:pPr>
            <w:r>
              <w:rPr>
                <w:rFonts w:ascii="Arial" w:cs="Arial" w:eastAsia="Arial" w:hAnsi="Arial"/>
                <w:sz w:val="17"/>
                <w:szCs w:val="17"/>
                <w:color w:val="auto"/>
              </w:rPr>
              <w:t>statement and machinery</w:t>
            </w:r>
          </w:p>
        </w:tc>
        <w:tc>
          <w:tcPr>
            <w:tcW w:w="2140" w:type="dxa"/>
            <w:vAlign w:val="bottom"/>
          </w:tcPr>
          <w:p>
            <w:pPr>
              <w:spacing w:after="0"/>
              <w:rPr>
                <w:sz w:val="17"/>
                <w:szCs w:val="17"/>
                <w:color w:val="auto"/>
              </w:rPr>
            </w:pPr>
          </w:p>
        </w:tc>
      </w:tr>
      <w:tr>
        <w:trPr>
          <w:trHeight w:val="206"/>
        </w:trPr>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gridSpan w:val="2"/>
          </w:tcPr>
          <w:p>
            <w:pPr>
              <w:ind w:left="180"/>
              <w:spacing w:after="0"/>
              <w:rPr>
                <w:sz w:val="20"/>
                <w:szCs w:val="20"/>
                <w:color w:val="auto"/>
              </w:rPr>
            </w:pPr>
            <w:r>
              <w:rPr>
                <w:rFonts w:ascii="Arial" w:cs="Arial" w:eastAsia="Arial" w:hAnsi="Arial"/>
                <w:sz w:val="17"/>
                <w:szCs w:val="17"/>
                <w:color w:val="auto"/>
              </w:rPr>
              <w:t>and equipment appraised</w:t>
            </w:r>
          </w:p>
        </w:tc>
        <w:tc>
          <w:tcPr>
            <w:tcW w:w="2140" w:type="dxa"/>
            <w:vAlign w:val="bottom"/>
          </w:tcPr>
          <w:p>
            <w:pPr>
              <w:spacing w:after="0"/>
              <w:rPr>
                <w:sz w:val="17"/>
                <w:szCs w:val="17"/>
                <w:color w:val="auto"/>
              </w:rPr>
            </w:pPr>
          </w:p>
        </w:tc>
      </w:tr>
      <w:tr>
        <w:trPr>
          <w:trHeight w:val="230"/>
        </w:trPr>
        <w:tc>
          <w:tcPr>
            <w:tcW w:w="2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2,769</w:t>
            </w:r>
          </w:p>
        </w:tc>
        <w:tc>
          <w:tcPr>
            <w:tcW w:w="80" w:type="dxa"/>
            <w:vAlign w:val="bottom"/>
          </w:tcPr>
          <w:p>
            <w:pPr>
              <w:spacing w:after="0"/>
              <w:rPr>
                <w:sz w:val="20"/>
                <w:szCs w:val="20"/>
                <w:color w:val="auto"/>
              </w:rPr>
            </w:pPr>
          </w:p>
        </w:tc>
        <w:tc>
          <w:tcPr>
            <w:tcW w:w="2200" w:type="dxa"/>
            <w:vAlign w:val="bottom"/>
            <w:gridSpan w:val="2"/>
          </w:tcPr>
          <w:p>
            <w:pPr>
              <w:ind w:left="180"/>
              <w:spacing w:after="0"/>
              <w:rPr>
                <w:sz w:val="20"/>
                <w:szCs w:val="20"/>
                <w:color w:val="auto"/>
              </w:rPr>
            </w:pPr>
            <w:r>
              <w:rPr>
                <w:rFonts w:ascii="Arial" w:cs="Arial" w:eastAsia="Arial" w:hAnsi="Arial"/>
                <w:sz w:val="17"/>
                <w:szCs w:val="17"/>
                <w:color w:val="auto"/>
              </w:rPr>
              <w:t>values</w:t>
            </w:r>
          </w:p>
        </w:tc>
        <w:tc>
          <w:tcPr>
            <w:tcW w:w="2140" w:type="dxa"/>
            <w:vAlign w:val="bottom"/>
          </w:tcPr>
          <w:p>
            <w:pPr>
              <w:spacing w:after="0"/>
              <w:rPr>
                <w:sz w:val="20"/>
                <w:szCs w:val="20"/>
                <w:color w:val="auto"/>
              </w:rPr>
            </w:pPr>
          </w:p>
        </w:tc>
      </w:tr>
      <w:tr>
        <w:trPr>
          <w:trHeight w:val="234"/>
        </w:trPr>
        <w:tc>
          <w:tcPr>
            <w:tcW w:w="2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gridSpan w:val="2"/>
          </w:tcPr>
          <w:p>
            <w:pPr>
              <w:ind w:left="20"/>
              <w:spacing w:after="0"/>
              <w:rPr>
                <w:sz w:val="20"/>
                <w:szCs w:val="20"/>
                <w:color w:val="auto"/>
              </w:rPr>
            </w:pPr>
            <w:r>
              <w:rPr>
                <w:rFonts w:ascii="Arial" w:cs="Arial" w:eastAsia="Arial" w:hAnsi="Arial"/>
                <w:sz w:val="17"/>
                <w:szCs w:val="17"/>
                <w:color w:val="auto"/>
              </w:rPr>
              <w:t>Sales comparison approach</w:t>
            </w:r>
          </w:p>
        </w:tc>
        <w:tc>
          <w:tcPr>
            <w:tcW w:w="2140" w:type="dxa"/>
            <w:vAlign w:val="bottom"/>
          </w:tcPr>
          <w:p>
            <w:pPr>
              <w:ind w:left="20"/>
              <w:spacing w:after="0"/>
              <w:rPr>
                <w:sz w:val="20"/>
                <w:szCs w:val="20"/>
                <w:color w:val="auto"/>
              </w:rPr>
            </w:pPr>
            <w:r>
              <w:rPr>
                <w:rFonts w:ascii="Arial" w:cs="Arial" w:eastAsia="Arial" w:hAnsi="Arial"/>
                <w:sz w:val="17"/>
                <w:szCs w:val="17"/>
                <w:color w:val="auto"/>
              </w:rPr>
              <w:t>Adjustment for differences</w:t>
            </w:r>
          </w:p>
        </w:tc>
      </w:tr>
      <w:tr>
        <w:trPr>
          <w:trHeight w:val="217"/>
        </w:trPr>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7"/>
                <w:szCs w:val="17"/>
                <w:color w:val="auto"/>
                <w:w w:val="88"/>
              </w:rPr>
              <w:t>between comparable sales</w:t>
            </w:r>
          </w:p>
        </w:tc>
      </w:tr>
      <w:tr>
        <w:trPr>
          <w:trHeight w:val="234"/>
        </w:trPr>
        <w:tc>
          <w:tcPr>
            <w:tcW w:w="2260" w:type="dxa"/>
            <w:vAlign w:val="bottom"/>
            <w:gridSpan w:val="2"/>
          </w:tcPr>
          <w:p>
            <w:pPr>
              <w:jc w:val="center"/>
              <w:ind w:right="700"/>
              <w:spacing w:after="0"/>
              <w:rPr>
                <w:sz w:val="20"/>
                <w:szCs w:val="20"/>
                <w:color w:val="auto"/>
              </w:rPr>
            </w:pPr>
            <w:r>
              <w:rPr>
                <w:rFonts w:ascii="Arial" w:cs="Arial" w:eastAsia="Arial" w:hAnsi="Arial"/>
                <w:sz w:val="17"/>
                <w:szCs w:val="17"/>
                <w:color w:val="auto"/>
                <w:w w:val="91"/>
              </w:rPr>
              <w:t>Mortgage and</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gridSpan w:val="2"/>
          </w:tcPr>
          <w:p>
            <w:pPr>
              <w:ind w:left="20"/>
              <w:spacing w:after="0"/>
              <w:rPr>
                <w:sz w:val="20"/>
                <w:szCs w:val="20"/>
                <w:color w:val="auto"/>
              </w:rPr>
            </w:pPr>
            <w:r>
              <w:rPr>
                <w:rFonts w:ascii="Arial" w:cs="Arial" w:eastAsia="Arial" w:hAnsi="Arial"/>
                <w:sz w:val="17"/>
                <w:szCs w:val="17"/>
                <w:color w:val="auto"/>
              </w:rPr>
              <w:t>Sales comparison approach</w:t>
            </w:r>
          </w:p>
        </w:tc>
        <w:tc>
          <w:tcPr>
            <w:tcW w:w="2140" w:type="dxa"/>
            <w:vAlign w:val="bottom"/>
          </w:tcPr>
          <w:p>
            <w:pPr>
              <w:ind w:left="20"/>
              <w:spacing w:after="0"/>
              <w:rPr>
                <w:sz w:val="20"/>
                <w:szCs w:val="20"/>
                <w:color w:val="auto"/>
              </w:rPr>
            </w:pPr>
            <w:r>
              <w:rPr>
                <w:rFonts w:ascii="Arial" w:cs="Arial" w:eastAsia="Arial" w:hAnsi="Arial"/>
                <w:sz w:val="17"/>
                <w:szCs w:val="17"/>
                <w:color w:val="auto"/>
              </w:rPr>
              <w:t>Adjustment for differences</w:t>
            </w:r>
          </w:p>
        </w:tc>
      </w:tr>
      <w:tr>
        <w:trPr>
          <w:trHeight w:val="243"/>
        </w:trPr>
        <w:tc>
          <w:tcPr>
            <w:tcW w:w="2260" w:type="dxa"/>
            <w:vAlign w:val="bottom"/>
            <w:gridSpan w:val="2"/>
          </w:tcPr>
          <w:p>
            <w:pPr>
              <w:jc w:val="right"/>
              <w:ind w:right="820"/>
              <w:spacing w:after="0"/>
              <w:rPr>
                <w:sz w:val="20"/>
                <w:szCs w:val="20"/>
                <w:color w:val="auto"/>
              </w:rPr>
            </w:pPr>
            <w:r>
              <w:rPr>
                <w:rFonts w:ascii="Arial" w:cs="Arial" w:eastAsia="Arial" w:hAnsi="Arial"/>
                <w:sz w:val="17"/>
                <w:szCs w:val="17"/>
                <w:color w:val="auto"/>
              </w:rPr>
              <w:t>Installment(2)</w:t>
            </w:r>
          </w:p>
        </w:tc>
        <w:tc>
          <w:tcPr>
            <w:tcW w:w="1300" w:type="dxa"/>
            <w:vAlign w:val="bottom"/>
          </w:tcPr>
          <w:p>
            <w:pPr>
              <w:jc w:val="right"/>
              <w:spacing w:after="0"/>
              <w:rPr>
                <w:sz w:val="20"/>
                <w:szCs w:val="20"/>
                <w:color w:val="auto"/>
              </w:rPr>
            </w:pPr>
            <w:r>
              <w:rPr>
                <w:rFonts w:ascii="Arial" w:cs="Arial" w:eastAsia="Arial" w:hAnsi="Arial"/>
                <w:sz w:val="17"/>
                <w:szCs w:val="17"/>
                <w:color w:val="auto"/>
              </w:rPr>
              <w:t>1,259</w:t>
            </w:r>
          </w:p>
        </w:tc>
        <w:tc>
          <w:tcPr>
            <w:tcW w:w="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Arial" w:cs="Arial" w:eastAsia="Arial" w:hAnsi="Arial"/>
                <w:sz w:val="17"/>
                <w:szCs w:val="17"/>
                <w:color w:val="auto"/>
                <w:w w:val="88"/>
              </w:rPr>
              <w:t>between comparable sales</w:t>
            </w:r>
          </w:p>
        </w:tc>
      </w:tr>
      <w:tr>
        <w:trPr>
          <w:trHeight w:val="503"/>
        </w:trPr>
        <w:tc>
          <w:tcPr>
            <w:tcW w:w="2260" w:type="dxa"/>
            <w:vAlign w:val="bottom"/>
            <w:gridSpan w:val="2"/>
          </w:tcPr>
          <w:p>
            <w:pPr>
              <w:jc w:val="center"/>
              <w:ind w:right="900"/>
              <w:spacing w:after="0"/>
              <w:rPr>
                <w:sz w:val="20"/>
                <w:szCs w:val="20"/>
                <w:color w:val="auto"/>
              </w:rPr>
            </w:pPr>
            <w:r>
              <w:rPr>
                <w:rFonts w:ascii="Arial" w:cs="Arial" w:eastAsia="Arial" w:hAnsi="Arial"/>
                <w:sz w:val="17"/>
                <w:szCs w:val="17"/>
                <w:color w:val="auto"/>
                <w:w w:val="91"/>
              </w:rPr>
              <w:t>December 31, 2022</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45"/>
        </w:trPr>
        <w:tc>
          <w:tcPr>
            <w:tcW w:w="2260" w:type="dxa"/>
            <w:vAlign w:val="bottom"/>
            <w:gridSpan w:val="2"/>
          </w:tcPr>
          <w:p>
            <w:pPr>
              <w:jc w:val="right"/>
              <w:ind w:right="280"/>
              <w:spacing w:after="0"/>
              <w:rPr>
                <w:sz w:val="20"/>
                <w:szCs w:val="20"/>
                <w:color w:val="auto"/>
              </w:rPr>
            </w:pPr>
            <w:r>
              <w:rPr>
                <w:rFonts w:ascii="Arial" w:cs="Arial" w:eastAsia="Arial" w:hAnsi="Arial"/>
                <w:sz w:val="17"/>
                <w:szCs w:val="17"/>
                <w:color w:val="auto"/>
                <w:w w:val="96"/>
              </w:rPr>
              <w:t>Collateral dependent loans</w:t>
            </w: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234"/>
        </w:trPr>
        <w:tc>
          <w:tcPr>
            <w:tcW w:w="2260" w:type="dxa"/>
            <w:vAlign w:val="bottom"/>
            <w:gridSpan w:val="2"/>
          </w:tcPr>
          <w:p>
            <w:pPr>
              <w:jc w:val="center"/>
              <w:ind w:right="900"/>
              <w:spacing w:after="0"/>
              <w:rPr>
                <w:sz w:val="20"/>
                <w:szCs w:val="20"/>
                <w:color w:val="auto"/>
              </w:rPr>
            </w:pPr>
            <w:r>
              <w:rPr>
                <w:rFonts w:ascii="Arial" w:cs="Arial" w:eastAsia="Arial" w:hAnsi="Arial"/>
                <w:sz w:val="17"/>
                <w:szCs w:val="17"/>
                <w:color w:val="auto"/>
                <w:w w:val="92"/>
              </w:rPr>
              <w:t>Commercial</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gridSpan w:val="2"/>
          </w:tcPr>
          <w:p>
            <w:pPr>
              <w:ind w:left="20"/>
              <w:spacing w:after="0"/>
              <w:rPr>
                <w:sz w:val="20"/>
                <w:szCs w:val="20"/>
                <w:color w:val="auto"/>
              </w:rPr>
            </w:pPr>
            <w:r>
              <w:rPr>
                <w:rFonts w:ascii="Arial" w:cs="Arial" w:eastAsia="Arial" w:hAnsi="Arial"/>
                <w:sz w:val="17"/>
                <w:szCs w:val="17"/>
                <w:color w:val="auto"/>
              </w:rPr>
              <w:t>Sales comparison approach</w:t>
            </w:r>
          </w:p>
        </w:tc>
        <w:tc>
          <w:tcPr>
            <w:tcW w:w="2140" w:type="dxa"/>
            <w:vAlign w:val="bottom"/>
          </w:tcPr>
          <w:p>
            <w:pPr>
              <w:ind w:left="20"/>
              <w:spacing w:after="0"/>
              <w:rPr>
                <w:sz w:val="20"/>
                <w:szCs w:val="20"/>
                <w:color w:val="auto"/>
              </w:rPr>
            </w:pPr>
            <w:r>
              <w:rPr>
                <w:rFonts w:ascii="Arial" w:cs="Arial" w:eastAsia="Arial" w:hAnsi="Arial"/>
                <w:sz w:val="17"/>
                <w:szCs w:val="17"/>
                <w:color w:val="auto"/>
              </w:rPr>
              <w:t>Adjustment for differences</w:t>
            </w:r>
          </w:p>
        </w:tc>
      </w:tr>
      <w:tr>
        <w:trPr>
          <w:trHeight w:val="230"/>
        </w:trPr>
        <w:tc>
          <w:tcPr>
            <w:tcW w:w="2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1,206</w:t>
            </w: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Arial" w:cs="Arial" w:eastAsia="Arial" w:hAnsi="Arial"/>
                <w:sz w:val="17"/>
                <w:szCs w:val="17"/>
                <w:color w:val="auto"/>
                <w:w w:val="88"/>
              </w:rPr>
              <w:t>between comparable sales</w:t>
            </w:r>
          </w:p>
        </w:tc>
      </w:tr>
      <w:tr>
        <w:trPr>
          <w:trHeight w:val="221"/>
        </w:trPr>
        <w:tc>
          <w:tcPr>
            <w:tcW w:w="2260" w:type="dxa"/>
            <w:vAlign w:val="bottom"/>
            <w:gridSpan w:val="2"/>
          </w:tcPr>
          <w:p>
            <w:pPr>
              <w:jc w:val="center"/>
              <w:ind w:right="700"/>
              <w:spacing w:after="0"/>
              <w:rPr>
                <w:sz w:val="20"/>
                <w:szCs w:val="20"/>
                <w:color w:val="auto"/>
              </w:rPr>
            </w:pPr>
            <w:r>
              <w:rPr>
                <w:rFonts w:ascii="Arial" w:cs="Arial" w:eastAsia="Arial" w:hAnsi="Arial"/>
                <w:sz w:val="17"/>
                <w:szCs w:val="17"/>
                <w:color w:val="auto"/>
                <w:w w:val="91"/>
              </w:rPr>
              <w:t>Mortgage and</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Arial" w:cs="Arial" w:eastAsia="Arial" w:hAnsi="Arial"/>
                <w:sz w:val="17"/>
                <w:szCs w:val="17"/>
                <w:color w:val="auto"/>
              </w:rPr>
              <w:t>Sales comparison approach</w:t>
            </w:r>
          </w:p>
        </w:tc>
        <w:tc>
          <w:tcPr>
            <w:tcW w:w="2140" w:type="dxa"/>
            <w:vAlign w:val="bottom"/>
          </w:tcPr>
          <w:p>
            <w:pPr>
              <w:ind w:left="20"/>
              <w:spacing w:after="0"/>
              <w:rPr>
                <w:sz w:val="20"/>
                <w:szCs w:val="20"/>
                <w:color w:val="auto"/>
              </w:rPr>
            </w:pPr>
            <w:r>
              <w:rPr>
                <w:rFonts w:ascii="Arial" w:cs="Arial" w:eastAsia="Arial" w:hAnsi="Arial"/>
                <w:sz w:val="17"/>
                <w:szCs w:val="17"/>
                <w:color w:val="auto"/>
              </w:rPr>
              <w:t>Adjustment for differences</w:t>
            </w:r>
          </w:p>
        </w:tc>
      </w:tr>
      <w:tr>
        <w:trPr>
          <w:trHeight w:val="243"/>
        </w:trPr>
        <w:tc>
          <w:tcPr>
            <w:tcW w:w="2260" w:type="dxa"/>
            <w:vAlign w:val="bottom"/>
            <w:gridSpan w:val="2"/>
          </w:tcPr>
          <w:p>
            <w:pPr>
              <w:jc w:val="right"/>
              <w:ind w:right="820"/>
              <w:spacing w:after="0"/>
              <w:rPr>
                <w:sz w:val="20"/>
                <w:szCs w:val="20"/>
                <w:color w:val="auto"/>
              </w:rPr>
            </w:pPr>
            <w:r>
              <w:rPr>
                <w:rFonts w:ascii="Arial" w:cs="Arial" w:eastAsia="Arial" w:hAnsi="Arial"/>
                <w:sz w:val="17"/>
                <w:szCs w:val="17"/>
                <w:color w:val="auto"/>
              </w:rPr>
              <w:t>Installment(2)</w:t>
            </w:r>
          </w:p>
        </w:tc>
        <w:tc>
          <w:tcPr>
            <w:tcW w:w="1300" w:type="dxa"/>
            <w:vAlign w:val="bottom"/>
          </w:tcPr>
          <w:p>
            <w:pPr>
              <w:jc w:val="right"/>
              <w:spacing w:after="0"/>
              <w:rPr>
                <w:sz w:val="20"/>
                <w:szCs w:val="20"/>
                <w:color w:val="auto"/>
              </w:rPr>
            </w:pPr>
            <w:r>
              <w:rPr>
                <w:rFonts w:ascii="Arial" w:cs="Arial" w:eastAsia="Arial" w:hAnsi="Arial"/>
                <w:sz w:val="17"/>
                <w:szCs w:val="17"/>
                <w:color w:val="auto"/>
              </w:rPr>
              <w:t>959</w:t>
            </w:r>
          </w:p>
        </w:tc>
        <w:tc>
          <w:tcPr>
            <w:tcW w:w="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Arial" w:cs="Arial" w:eastAsia="Arial" w:hAnsi="Arial"/>
                <w:sz w:val="17"/>
                <w:szCs w:val="17"/>
                <w:color w:val="auto"/>
                <w:w w:val="88"/>
              </w:rPr>
              <w:t>between comparable sales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-2200275</wp:posOffset>
            </wp:positionV>
            <wp:extent cx="7138670" cy="5568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8670" cy="55689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-1349375</wp:posOffset>
            </wp:positionV>
            <wp:extent cx="7138670" cy="294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8670" cy="2946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-890905</wp:posOffset>
            </wp:positionV>
            <wp:extent cx="7138670" cy="1555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8670" cy="155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-579755</wp:posOffset>
            </wp:positionV>
            <wp:extent cx="7138670" cy="294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8670" cy="294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Weighted</w:t>
      </w:r>
    </w:p>
    <w:p>
      <w:pPr>
        <w:spacing w:after="0" w:line="22" w:lineRule="exact"/>
        <w:rPr>
          <w:sz w:val="20"/>
          <w:szCs w:val="20"/>
          <w:color w:val="auto"/>
        </w:rPr>
      </w:pPr>
    </w:p>
    <w:p>
      <w:pPr>
        <w:ind w:left="120"/>
        <w:spacing w:after="0"/>
        <w:tabs>
          <w:tab w:leader="none" w:pos="1660" w:val="left"/>
        </w:tabs>
        <w:rPr>
          <w:sz w:val="20"/>
          <w:szCs w:val="20"/>
          <w:color w:val="auto"/>
        </w:rPr>
      </w:pPr>
      <w:r>
        <w:rPr>
          <w:rFonts w:ascii="Arial" w:cs="Arial" w:eastAsia="Arial" w:hAnsi="Arial"/>
          <w:sz w:val="17"/>
          <w:szCs w:val="17"/>
          <w:color w:val="auto"/>
        </w:rPr>
        <w:t>Range</w:t>
      </w:r>
      <w:r>
        <w:rPr>
          <w:sz w:val="20"/>
          <w:szCs w:val="20"/>
          <w:color w:val="auto"/>
        </w:rPr>
        <w:tab/>
      </w:r>
      <w:r>
        <w:rPr>
          <w:rFonts w:ascii="Arial" w:cs="Arial" w:eastAsia="Arial" w:hAnsi="Arial"/>
          <w:sz w:val="17"/>
          <w:szCs w:val="17"/>
          <w:color w:val="auto"/>
        </w:rPr>
        <w:t>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24130</wp:posOffset>
            </wp:positionV>
            <wp:extent cx="20059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1640" w:type="dxa"/>
            <w:vAlign w:val="bottom"/>
          </w:tcPr>
          <w:p>
            <w:pPr>
              <w:jc w:val="right"/>
              <w:ind w:right="354"/>
              <w:spacing w:after="0"/>
              <w:rPr>
                <w:sz w:val="20"/>
                <w:szCs w:val="20"/>
                <w:color w:val="auto"/>
              </w:rPr>
            </w:pPr>
            <w:r>
              <w:rPr>
                <w:rFonts w:ascii="Arial" w:cs="Arial" w:eastAsia="Arial" w:hAnsi="Arial"/>
                <w:sz w:val="17"/>
                <w:szCs w:val="17"/>
                <w:color w:val="auto"/>
                <w:w w:val="91"/>
              </w:rPr>
              <w:t>55.0% to 100.0%</w:t>
            </w:r>
          </w:p>
        </w:tc>
        <w:tc>
          <w:tcPr>
            <w:tcW w:w="940" w:type="dxa"/>
            <w:vAlign w:val="bottom"/>
          </w:tcPr>
          <w:p>
            <w:pPr>
              <w:jc w:val="right"/>
              <w:spacing w:after="0"/>
              <w:rPr>
                <w:sz w:val="20"/>
                <w:szCs w:val="20"/>
                <w:color w:val="auto"/>
              </w:rPr>
            </w:pPr>
            <w:r>
              <w:rPr>
                <w:rFonts w:ascii="Arial" w:cs="Arial" w:eastAsia="Arial" w:hAnsi="Arial"/>
                <w:sz w:val="17"/>
                <w:szCs w:val="17"/>
                <w:color w:val="auto"/>
              </w:rPr>
              <w:t>65.7 %</w:t>
            </w:r>
          </w:p>
        </w:tc>
      </w:tr>
      <w:tr>
        <w:trPr>
          <w:trHeight w:val="477"/>
        </w:trPr>
        <w:tc>
          <w:tcPr>
            <w:tcW w:w="1640" w:type="dxa"/>
            <w:vAlign w:val="bottom"/>
          </w:tcPr>
          <w:p>
            <w:pPr>
              <w:jc w:val="right"/>
              <w:ind w:right="354"/>
              <w:spacing w:after="0"/>
              <w:rPr>
                <w:sz w:val="20"/>
                <w:szCs w:val="20"/>
                <w:color w:val="auto"/>
              </w:rPr>
            </w:pPr>
            <w:r>
              <w:rPr>
                <w:rFonts w:ascii="Arial" w:cs="Arial" w:eastAsia="Arial" w:hAnsi="Arial"/>
                <w:sz w:val="17"/>
                <w:szCs w:val="17"/>
                <w:color w:val="auto"/>
              </w:rPr>
              <w:t>(14.2) to 42.8</w:t>
            </w:r>
          </w:p>
        </w:tc>
        <w:tc>
          <w:tcPr>
            <w:tcW w:w="94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464"/>
        </w:trPr>
        <w:tc>
          <w:tcPr>
            <w:tcW w:w="1640" w:type="dxa"/>
            <w:vAlign w:val="bottom"/>
          </w:tcPr>
          <w:p>
            <w:pPr>
              <w:jc w:val="right"/>
              <w:ind w:right="354"/>
              <w:spacing w:after="0"/>
              <w:rPr>
                <w:sz w:val="20"/>
                <w:szCs w:val="20"/>
                <w:color w:val="auto"/>
              </w:rPr>
            </w:pPr>
            <w:r>
              <w:rPr>
                <w:rFonts w:ascii="Arial" w:cs="Arial" w:eastAsia="Arial" w:hAnsi="Arial"/>
                <w:sz w:val="17"/>
                <w:szCs w:val="17"/>
                <w:color w:val="auto"/>
              </w:rPr>
              <w:t>(15.2) to 33.3</w:t>
            </w:r>
          </w:p>
        </w:tc>
        <w:tc>
          <w:tcPr>
            <w:tcW w:w="940" w:type="dxa"/>
            <w:vAlign w:val="bottom"/>
          </w:tcPr>
          <w:p>
            <w:pPr>
              <w:jc w:val="right"/>
              <w:spacing w:after="0"/>
              <w:rPr>
                <w:sz w:val="20"/>
                <w:szCs w:val="20"/>
                <w:color w:val="auto"/>
              </w:rPr>
            </w:pPr>
            <w:r>
              <w:rPr>
                <w:rFonts w:ascii="Arial" w:cs="Arial" w:eastAsia="Arial" w:hAnsi="Arial"/>
                <w:sz w:val="17"/>
                <w:szCs w:val="17"/>
                <w:color w:val="auto"/>
              </w:rPr>
              <w:t>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680" w:type="dxa"/>
            <w:vAlign w:val="bottom"/>
          </w:tcPr>
          <w:p>
            <w:pPr>
              <w:jc w:val="right"/>
              <w:ind w:right="374"/>
              <w:spacing w:after="0"/>
              <w:rPr>
                <w:sz w:val="20"/>
                <w:szCs w:val="20"/>
                <w:color w:val="auto"/>
              </w:rPr>
            </w:pPr>
            <w:r>
              <w:rPr>
                <w:rFonts w:ascii="Arial" w:cs="Arial" w:eastAsia="Arial" w:hAnsi="Arial"/>
                <w:sz w:val="17"/>
                <w:szCs w:val="17"/>
                <w:color w:val="auto"/>
                <w:w w:val="91"/>
              </w:rPr>
              <w:t>(41.7)% to 20.0%</w:t>
            </w:r>
          </w:p>
        </w:tc>
        <w:tc>
          <w:tcPr>
            <w:tcW w:w="920" w:type="dxa"/>
            <w:vAlign w:val="bottom"/>
          </w:tcPr>
          <w:p>
            <w:pPr>
              <w:ind w:left="440"/>
              <w:spacing w:after="0"/>
              <w:rPr>
                <w:sz w:val="20"/>
                <w:szCs w:val="20"/>
                <w:color w:val="auto"/>
              </w:rPr>
            </w:pPr>
            <w:r>
              <w:rPr>
                <w:rFonts w:ascii="Arial" w:cs="Arial" w:eastAsia="Arial" w:hAnsi="Arial"/>
                <w:sz w:val="17"/>
                <w:szCs w:val="17"/>
                <w:color w:val="auto"/>
                <w:w w:val="91"/>
              </w:rPr>
              <w:t>(0.4)%</w:t>
            </w:r>
          </w:p>
        </w:tc>
      </w:tr>
      <w:tr>
        <w:trPr>
          <w:trHeight w:val="464"/>
        </w:trPr>
        <w:tc>
          <w:tcPr>
            <w:tcW w:w="1680" w:type="dxa"/>
            <w:vAlign w:val="bottom"/>
          </w:tcPr>
          <w:p>
            <w:pPr>
              <w:jc w:val="right"/>
              <w:ind w:right="374"/>
              <w:spacing w:after="0"/>
              <w:rPr>
                <w:sz w:val="20"/>
                <w:szCs w:val="20"/>
                <w:color w:val="auto"/>
              </w:rPr>
            </w:pPr>
            <w:r>
              <w:rPr>
                <w:rFonts w:ascii="Arial" w:cs="Arial" w:eastAsia="Arial" w:hAnsi="Arial"/>
                <w:sz w:val="17"/>
                <w:szCs w:val="17"/>
                <w:color w:val="auto"/>
              </w:rPr>
              <w:t>(73.3) to 65.2</w:t>
            </w:r>
          </w:p>
        </w:tc>
        <w:tc>
          <w:tcPr>
            <w:tcW w:w="920" w:type="dxa"/>
            <w:vAlign w:val="bottom"/>
          </w:tcPr>
          <w:p>
            <w:pPr>
              <w:ind w:left="440"/>
              <w:spacing w:after="0"/>
              <w:rPr>
                <w:sz w:val="20"/>
                <w:szCs w:val="20"/>
                <w:color w:val="auto"/>
              </w:rPr>
            </w:pPr>
            <w:r>
              <w:rPr>
                <w:rFonts w:ascii="Arial" w:cs="Arial" w:eastAsia="Arial" w:hAnsi="Arial"/>
                <w:sz w:val="17"/>
                <w:szCs w:val="17"/>
                <w:color w:val="auto"/>
              </w:rPr>
              <w:t>(5.3)</w:t>
            </w:r>
          </w:p>
        </w:tc>
      </w:tr>
    </w:tbl>
    <w:p>
      <w:pPr>
        <w:spacing w:after="0" w:line="200" w:lineRule="exact"/>
        <w:rPr>
          <w:sz w:val="20"/>
          <w:szCs w:val="20"/>
          <w:color w:val="auto"/>
        </w:rPr>
      </w:pPr>
    </w:p>
    <w:p>
      <w:pPr>
        <w:sectPr>
          <w:pgSz w:w="11900" w:h="16838" w:orient="portrait"/>
          <w:cols w:equalWidth="0" w:num="2">
            <w:col w:w="8000" w:space="620"/>
            <w:col w:w="2620"/>
          </w:cols>
          <w:pgMar w:left="320" w:top="127" w:right="339" w:bottom="1440" w:gutter="0" w:footer="0" w:header="0"/>
          <w:type w:val="continuous"/>
        </w:sectPr>
      </w:pPr>
    </w:p>
    <w:p>
      <w:pPr>
        <w:spacing w:after="0" w:line="111" w:lineRule="exact"/>
        <w:rPr>
          <w:sz w:val="20"/>
          <w:szCs w:val="20"/>
          <w:color w:val="auto"/>
        </w:rPr>
      </w:pPr>
    </w:p>
    <w:p>
      <w:pPr>
        <w:jc w:val="both"/>
        <w:ind w:left="580" w:right="20" w:hanging="560"/>
        <w:spacing w:after="0" w:line="266" w:lineRule="auto"/>
        <w:tabs>
          <w:tab w:leader="none" w:pos="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$1.80 million of this amount primarily relates to one collateral dependent relationship credit. Collateral securing this relationship primarily included accounts receivable, inventory and machinery and equipment at September 30, 2023. Valuation techniques at September 30, 2023 included discounting financial statement values for accounts receivable and inventory and appraised values for machinery and equipment.</w:t>
      </w:r>
    </w:p>
    <w:p>
      <w:pPr>
        <w:spacing w:after="0" w:line="20" w:lineRule="exact"/>
        <w:rPr>
          <w:rFonts w:ascii="Arial" w:cs="Arial" w:eastAsia="Arial" w:hAnsi="Arial"/>
          <w:sz w:val="17"/>
          <w:szCs w:val="17"/>
          <w:color w:val="auto"/>
        </w:rPr>
      </w:pPr>
    </w:p>
    <w:p>
      <w:pPr>
        <w:jc w:val="both"/>
        <w:ind w:left="580" w:right="20" w:hanging="560"/>
        <w:spacing w:after="0" w:line="266" w:lineRule="auto"/>
        <w:tabs>
          <w:tab w:leader="none" w:pos="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 addition to the valuation techniques and unobservable inputs discussed above, at September 30, 2023 and December 31, 2022 certain collateral dependent installment loans totaling approximately $0.34 million and $0.30 million, respectively, are secured by collateral other than real estate. For the majority of these loans, we apply internal discount rates to industry valuation guides.</w:t>
      </w:r>
    </w:p>
    <w:p>
      <w:pPr>
        <w:spacing w:after="0" w:line="2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following table reflects the difference between the aggregate fair value and the aggregate remaining contractual principal balance outstanding for loans held for sale for which the fair value option has been elected for the periods presented.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ind w:right="314"/>
              <w:spacing w:after="0"/>
              <w:rPr>
                <w:sz w:val="20"/>
                <w:szCs w:val="20"/>
                <w:color w:val="auto"/>
              </w:rPr>
            </w:pPr>
            <w:r>
              <w:rPr>
                <w:rFonts w:ascii="Arial" w:cs="Arial" w:eastAsia="Arial" w:hAnsi="Arial"/>
                <w:sz w:val="17"/>
                <w:szCs w:val="17"/>
                <w:color w:val="auto"/>
              </w:rPr>
              <w:t>Aggregate</w:t>
            </w: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ind w:right="254"/>
              <w:spacing w:after="0"/>
              <w:rPr>
                <w:sz w:val="20"/>
                <w:szCs w:val="20"/>
                <w:color w:val="auto"/>
              </w:rPr>
            </w:pPr>
            <w:r>
              <w:rPr>
                <w:rFonts w:ascii="Arial" w:cs="Arial" w:eastAsia="Arial" w:hAnsi="Arial"/>
                <w:sz w:val="17"/>
                <w:szCs w:val="17"/>
                <w:color w:val="auto"/>
              </w:rPr>
              <w:t>Contractual</w:t>
            </w:r>
          </w:p>
        </w:tc>
      </w:tr>
      <w:tr>
        <w:trPr>
          <w:trHeight w:val="231"/>
        </w:trPr>
        <w:tc>
          <w:tcPr>
            <w:tcW w:w="35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Fair Value</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Difference</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Principal</w:t>
            </w:r>
          </w:p>
        </w:tc>
      </w:tr>
      <w:tr>
        <w:trPr>
          <w:trHeight w:val="224"/>
        </w:trPr>
        <w:tc>
          <w:tcPr>
            <w:tcW w:w="35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214"/>
              <w:spacing w:after="0"/>
              <w:rPr>
                <w:sz w:val="20"/>
                <w:szCs w:val="20"/>
                <w:color w:val="auto"/>
              </w:rPr>
            </w:pPr>
            <w:r>
              <w:rPr>
                <w:rFonts w:ascii="Arial" w:cs="Arial" w:eastAsia="Arial" w:hAnsi="Arial"/>
                <w:sz w:val="17"/>
                <w:szCs w:val="17"/>
                <w:color w:val="auto"/>
                <w:w w:val="95"/>
              </w:rPr>
              <w:t>(In thousands)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2"/>
        </w:trPr>
        <w:tc>
          <w:tcPr>
            <w:tcW w:w="3540" w:type="dxa"/>
            <w:vAlign w:val="bottom"/>
          </w:tcPr>
          <w:p>
            <w:pPr>
              <w:ind w:left="20"/>
              <w:spacing w:after="0"/>
              <w:rPr>
                <w:sz w:val="20"/>
                <w:szCs w:val="20"/>
                <w:color w:val="auto"/>
              </w:rPr>
            </w:pPr>
            <w:r>
              <w:rPr>
                <w:rFonts w:ascii="Arial" w:cs="Arial" w:eastAsia="Arial" w:hAnsi="Arial"/>
                <w:sz w:val="17"/>
                <w:szCs w:val="17"/>
                <w:color w:val="auto"/>
              </w:rPr>
              <w:t>Loans held for sale</w:t>
            </w:r>
          </w:p>
        </w:tc>
        <w:tc>
          <w:tcPr>
            <w:tcW w:w="3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2"/>
        </w:trPr>
        <w:tc>
          <w:tcPr>
            <w:tcW w:w="3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September 30, 2023</w:t>
            </w:r>
          </w:p>
        </w:tc>
        <w:tc>
          <w:tcPr>
            <w:tcW w:w="3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13,979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(823)</w:t>
            </w:r>
          </w:p>
        </w:tc>
        <w:tc>
          <w:tcPr>
            <w:tcW w:w="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14,802</w:t>
            </w:r>
          </w:p>
        </w:tc>
      </w:tr>
      <w:tr>
        <w:trPr>
          <w:trHeight w:val="230"/>
        </w:trPr>
        <w:tc>
          <w:tcPr>
            <w:tcW w:w="3540" w:type="dxa"/>
            <w:vAlign w:val="bottom"/>
          </w:tcPr>
          <w:p>
            <w:pPr>
              <w:ind w:left="180"/>
              <w:spacing w:after="0"/>
              <w:rPr>
                <w:sz w:val="20"/>
                <w:szCs w:val="20"/>
                <w:color w:val="auto"/>
              </w:rPr>
            </w:pPr>
            <w:r>
              <w:rPr>
                <w:rFonts w:ascii="Arial" w:cs="Arial" w:eastAsia="Arial" w:hAnsi="Arial"/>
                <w:sz w:val="17"/>
                <w:szCs w:val="17"/>
                <w:color w:val="auto"/>
              </w:rPr>
              <w:t>December 31, 2022</w:t>
            </w:r>
          </w:p>
        </w:tc>
        <w:tc>
          <w:tcPr>
            <w:tcW w:w="3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26,518</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(2,342)</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28,860</w:t>
            </w:r>
          </w:p>
        </w:tc>
      </w:tr>
      <w:tr>
        <w:trPr>
          <w:trHeight w:val="877"/>
        </w:trPr>
        <w:tc>
          <w:tcPr>
            <w:tcW w:w="3540" w:type="dxa"/>
            <w:vAlign w:val="bottom"/>
          </w:tcPr>
          <w:p>
            <w:pPr>
              <w:spacing w:after="0"/>
              <w:rPr>
                <w:sz w:val="24"/>
                <w:szCs w:val="24"/>
                <w:color w:val="auto"/>
              </w:rPr>
            </w:pPr>
          </w:p>
        </w:tc>
        <w:tc>
          <w:tcPr>
            <w:tcW w:w="3080" w:type="dxa"/>
            <w:vAlign w:val="bottom"/>
          </w:tcPr>
          <w:p>
            <w:pPr>
              <w:jc w:val="right"/>
              <w:ind w:right="834"/>
              <w:spacing w:after="0"/>
              <w:rPr>
                <w:sz w:val="20"/>
                <w:szCs w:val="20"/>
                <w:color w:val="auto"/>
              </w:rPr>
            </w:pPr>
            <w:r>
              <w:rPr>
                <w:rFonts w:ascii="Arial" w:cs="Arial" w:eastAsia="Arial" w:hAnsi="Arial"/>
                <w:sz w:val="17"/>
                <w:szCs w:val="17"/>
                <w:color w:val="auto"/>
              </w:rPr>
              <w:t>50</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0"/>
        </w:trPr>
        <w:tc>
          <w:tcPr>
            <w:tcW w:w="3540" w:type="dxa"/>
            <w:vAlign w:val="bottom"/>
            <w:tcBorders>
              <w:bottom w:val="single" w:sz="8" w:color="9A9A9A"/>
            </w:tcBorders>
          </w:tcPr>
          <w:p>
            <w:pPr>
              <w:spacing w:after="0"/>
              <w:rPr>
                <w:sz w:val="9"/>
                <w:szCs w:val="9"/>
                <w:color w:val="auto"/>
              </w:rPr>
            </w:pPr>
          </w:p>
        </w:tc>
        <w:tc>
          <w:tcPr>
            <w:tcW w:w="30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ind w:left="380" w:hanging="377"/>
        <w:spacing w:after="0"/>
        <w:tabs>
          <w:tab w:leader="none" w:pos="380"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Fair Values of Financial Instruments</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Most of our assets and liabilities are considered financial instruments. Many of these financial instruments lack an available trading market and it is our general practice and intent to hold the majority of our financial instruments to maturity. Significant estimates and assumptions were used to determine the fair value of financial instruments. These estimates are subjective in nature, involving uncertainties and matters of judgment, and therefore, fair values may not be a precise estimate. Changes in assumptions could significantly affect the estimates.</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Estimated fair values have been determined using available data and methodologies that are considered suitable for each category of financial instrument. For instruments with adjustable interest rates which reprice frequently and without significant credit risk, it is presumed that estimated fair values approximate the recorded book balances.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estimated recorded book balances and fair values follow:</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color w:val="auto"/>
                <w:w w:val="92"/>
              </w:rPr>
              <w:t>Fair Value Using</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74"/>
              <w:spacing w:after="0" w:line="181" w:lineRule="exact"/>
              <w:rPr>
                <w:sz w:val="20"/>
                <w:szCs w:val="20"/>
                <w:color w:val="auto"/>
              </w:rPr>
            </w:pPr>
            <w:r>
              <w:rPr>
                <w:rFonts w:ascii="Arial" w:cs="Arial" w:eastAsia="Arial" w:hAnsi="Arial"/>
                <w:sz w:val="17"/>
                <w:szCs w:val="17"/>
                <w:color w:val="auto"/>
                <w:w w:val="89"/>
              </w:rPr>
              <w:t>Quoted</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74"/>
              <w:spacing w:after="0" w:line="167" w:lineRule="exact"/>
              <w:rPr>
                <w:sz w:val="20"/>
                <w:szCs w:val="20"/>
                <w:color w:val="auto"/>
              </w:rPr>
            </w:pPr>
            <w:r>
              <w:rPr>
                <w:rFonts w:ascii="Arial" w:cs="Arial" w:eastAsia="Arial" w:hAnsi="Arial"/>
                <w:sz w:val="17"/>
                <w:szCs w:val="17"/>
                <w:color w:val="auto"/>
                <w:w w:val="88"/>
              </w:rPr>
              <w:t>Prices</w:t>
            </w: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74"/>
              <w:spacing w:after="0" w:line="167" w:lineRule="exact"/>
              <w:rPr>
                <w:sz w:val="20"/>
                <w:szCs w:val="20"/>
                <w:color w:val="auto"/>
              </w:rPr>
            </w:pPr>
            <w:r>
              <w:rPr>
                <w:rFonts w:ascii="Arial" w:cs="Arial" w:eastAsia="Arial" w:hAnsi="Arial"/>
                <w:sz w:val="17"/>
                <w:szCs w:val="17"/>
                <w:color w:val="auto"/>
                <w:w w:val="96"/>
              </w:rPr>
              <w:t>in Active</w:t>
            </w:r>
          </w:p>
        </w:tc>
        <w:tc>
          <w:tcPr>
            <w:tcW w:w="140" w:type="dxa"/>
            <w:vAlign w:val="bottom"/>
          </w:tcPr>
          <w:p>
            <w:pPr>
              <w:spacing w:after="0"/>
              <w:rPr>
                <w:sz w:val="14"/>
                <w:szCs w:val="14"/>
                <w:color w:val="auto"/>
              </w:rPr>
            </w:pPr>
          </w:p>
        </w:tc>
        <w:tc>
          <w:tcPr>
            <w:tcW w:w="1320" w:type="dxa"/>
            <w:vAlign w:val="bottom"/>
            <w:vMerge w:val="restart"/>
          </w:tcPr>
          <w:p>
            <w:pPr>
              <w:jc w:val="center"/>
              <w:ind w:right="74"/>
              <w:spacing w:after="0"/>
              <w:rPr>
                <w:sz w:val="20"/>
                <w:szCs w:val="20"/>
                <w:color w:val="auto"/>
              </w:rPr>
            </w:pPr>
            <w:r>
              <w:rPr>
                <w:rFonts w:ascii="Arial" w:cs="Arial" w:eastAsia="Arial" w:hAnsi="Arial"/>
                <w:sz w:val="17"/>
                <w:szCs w:val="17"/>
                <w:color w:val="auto"/>
                <w:w w:val="96"/>
              </w:rPr>
              <w:t>Significant</w:t>
            </w:r>
          </w:p>
        </w:tc>
        <w:tc>
          <w:tcPr>
            <w:tcW w:w="240" w:type="dxa"/>
            <w:vAlign w:val="bottom"/>
          </w:tcPr>
          <w:p>
            <w:pPr>
              <w:spacing w:after="0"/>
              <w:rPr>
                <w:sz w:val="14"/>
                <w:szCs w:val="14"/>
                <w:color w:val="auto"/>
              </w:rPr>
            </w:pPr>
          </w:p>
        </w:tc>
        <w:tc>
          <w:tcPr>
            <w:tcW w:w="1160" w:type="dxa"/>
            <w:vAlign w:val="bottom"/>
            <w:vMerge w:val="restart"/>
          </w:tcPr>
          <w:p>
            <w:pPr>
              <w:jc w:val="center"/>
              <w:ind w:right="114"/>
              <w:spacing w:after="0"/>
              <w:rPr>
                <w:sz w:val="20"/>
                <w:szCs w:val="20"/>
                <w:color w:val="auto"/>
              </w:rPr>
            </w:pPr>
            <w:r>
              <w:rPr>
                <w:rFonts w:ascii="Arial" w:cs="Arial" w:eastAsia="Arial" w:hAnsi="Arial"/>
                <w:sz w:val="17"/>
                <w:szCs w:val="17"/>
                <w:color w:val="auto"/>
                <w:w w:val="96"/>
              </w:rPr>
              <w:t>Significant</w:t>
            </w:r>
          </w:p>
        </w:tc>
        <w:tc>
          <w:tcPr>
            <w:tcW w:w="0" w:type="dxa"/>
            <w:vAlign w:val="bottom"/>
          </w:tcPr>
          <w:p>
            <w:pPr>
              <w:spacing w:after="0"/>
              <w:rPr>
                <w:sz w:val="1"/>
                <w:szCs w:val="1"/>
                <w:color w:val="auto"/>
              </w:rPr>
            </w:pPr>
          </w:p>
        </w:tc>
      </w:tr>
      <w:tr>
        <w:trPr>
          <w:trHeight w:val="180"/>
        </w:trPr>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94"/>
              <w:spacing w:after="0" w:line="180" w:lineRule="exact"/>
              <w:rPr>
                <w:sz w:val="20"/>
                <w:szCs w:val="20"/>
                <w:color w:val="auto"/>
              </w:rPr>
            </w:pPr>
            <w:r>
              <w:rPr>
                <w:rFonts w:ascii="Arial" w:cs="Arial" w:eastAsia="Arial" w:hAnsi="Arial"/>
                <w:sz w:val="17"/>
                <w:szCs w:val="17"/>
                <w:color w:val="auto"/>
                <w:w w:val="92"/>
              </w:rPr>
              <w:t>Markets</w:t>
            </w:r>
          </w:p>
        </w:tc>
        <w:tc>
          <w:tcPr>
            <w:tcW w:w="1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vMerge w:val="restart"/>
          </w:tcPr>
          <w:p>
            <w:pPr>
              <w:jc w:val="center"/>
              <w:ind w:right="174"/>
              <w:spacing w:after="0"/>
              <w:rPr>
                <w:sz w:val="20"/>
                <w:szCs w:val="20"/>
                <w:color w:val="auto"/>
              </w:rPr>
            </w:pPr>
            <w:r>
              <w:rPr>
                <w:rFonts w:ascii="Arial" w:cs="Arial" w:eastAsia="Arial" w:hAnsi="Arial"/>
                <w:sz w:val="17"/>
                <w:szCs w:val="17"/>
                <w:color w:val="auto"/>
                <w:w w:val="89"/>
              </w:rPr>
              <w:t>Recorded</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94"/>
              <w:spacing w:after="0" w:line="167" w:lineRule="exact"/>
              <w:rPr>
                <w:sz w:val="20"/>
                <w:szCs w:val="20"/>
                <w:color w:val="auto"/>
              </w:rPr>
            </w:pPr>
            <w:r>
              <w:rPr>
                <w:rFonts w:ascii="Arial" w:cs="Arial" w:eastAsia="Arial" w:hAnsi="Arial"/>
                <w:sz w:val="17"/>
                <w:szCs w:val="17"/>
                <w:color w:val="auto"/>
              </w:rPr>
              <w:t>for</w:t>
            </w:r>
          </w:p>
        </w:tc>
        <w:tc>
          <w:tcPr>
            <w:tcW w:w="140" w:type="dxa"/>
            <w:vAlign w:val="bottom"/>
          </w:tcPr>
          <w:p>
            <w:pPr>
              <w:spacing w:after="0"/>
              <w:rPr>
                <w:sz w:val="14"/>
                <w:szCs w:val="14"/>
                <w:color w:val="auto"/>
              </w:rPr>
            </w:pPr>
          </w:p>
        </w:tc>
        <w:tc>
          <w:tcPr>
            <w:tcW w:w="1320" w:type="dxa"/>
            <w:vAlign w:val="bottom"/>
          </w:tcPr>
          <w:p>
            <w:pPr>
              <w:jc w:val="center"/>
              <w:ind w:right="74"/>
              <w:spacing w:after="0" w:line="167" w:lineRule="exact"/>
              <w:rPr>
                <w:sz w:val="20"/>
                <w:szCs w:val="20"/>
                <w:color w:val="auto"/>
              </w:rPr>
            </w:pPr>
            <w:r>
              <w:rPr>
                <w:rFonts w:ascii="Arial" w:cs="Arial" w:eastAsia="Arial" w:hAnsi="Arial"/>
                <w:sz w:val="17"/>
                <w:szCs w:val="17"/>
                <w:color w:val="auto"/>
                <w:w w:val="93"/>
              </w:rPr>
              <w:t>Other</w:t>
            </w:r>
          </w:p>
        </w:tc>
        <w:tc>
          <w:tcPr>
            <w:tcW w:w="240" w:type="dxa"/>
            <w:vAlign w:val="bottom"/>
          </w:tcPr>
          <w:p>
            <w:pPr>
              <w:spacing w:after="0"/>
              <w:rPr>
                <w:sz w:val="14"/>
                <w:szCs w:val="14"/>
                <w:color w:val="auto"/>
              </w:rPr>
            </w:pPr>
          </w:p>
        </w:tc>
        <w:tc>
          <w:tcPr>
            <w:tcW w:w="1160" w:type="dxa"/>
            <w:vAlign w:val="bottom"/>
          </w:tcPr>
          <w:p>
            <w:pPr>
              <w:jc w:val="center"/>
              <w:ind w:right="114"/>
              <w:spacing w:after="0" w:line="167" w:lineRule="exact"/>
              <w:rPr>
                <w:sz w:val="20"/>
                <w:szCs w:val="20"/>
                <w:color w:val="auto"/>
              </w:rPr>
            </w:pPr>
            <w:r>
              <w:rPr>
                <w:rFonts w:ascii="Arial" w:cs="Arial" w:eastAsia="Arial" w:hAnsi="Arial"/>
                <w:sz w:val="17"/>
                <w:szCs w:val="17"/>
                <w:color w:val="auto"/>
              </w:rPr>
              <w:t>Un-</w:t>
            </w:r>
          </w:p>
        </w:tc>
        <w:tc>
          <w:tcPr>
            <w:tcW w:w="0" w:type="dxa"/>
            <w:vAlign w:val="bottom"/>
          </w:tcPr>
          <w:p>
            <w:pPr>
              <w:spacing w:after="0"/>
              <w:rPr>
                <w:sz w:val="1"/>
                <w:szCs w:val="1"/>
                <w:color w:val="auto"/>
              </w:rPr>
            </w:pPr>
          </w:p>
        </w:tc>
      </w:tr>
      <w:tr>
        <w:trPr>
          <w:trHeight w:val="168"/>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94"/>
              <w:spacing w:after="0" w:line="167" w:lineRule="exact"/>
              <w:rPr>
                <w:sz w:val="20"/>
                <w:szCs w:val="20"/>
                <w:color w:val="auto"/>
              </w:rPr>
            </w:pPr>
            <w:r>
              <w:rPr>
                <w:rFonts w:ascii="Arial" w:cs="Arial" w:eastAsia="Arial" w:hAnsi="Arial"/>
                <w:sz w:val="17"/>
                <w:szCs w:val="17"/>
                <w:color w:val="auto"/>
                <w:w w:val="94"/>
              </w:rPr>
              <w:t>Identical</w:t>
            </w:r>
          </w:p>
        </w:tc>
        <w:tc>
          <w:tcPr>
            <w:tcW w:w="140" w:type="dxa"/>
            <w:vAlign w:val="bottom"/>
          </w:tcPr>
          <w:p>
            <w:pPr>
              <w:spacing w:after="0"/>
              <w:rPr>
                <w:sz w:val="14"/>
                <w:szCs w:val="14"/>
                <w:color w:val="auto"/>
              </w:rPr>
            </w:pPr>
          </w:p>
        </w:tc>
        <w:tc>
          <w:tcPr>
            <w:tcW w:w="1320" w:type="dxa"/>
            <w:vAlign w:val="bottom"/>
          </w:tcPr>
          <w:p>
            <w:pPr>
              <w:jc w:val="center"/>
              <w:ind w:right="54"/>
              <w:spacing w:after="0" w:line="167" w:lineRule="exact"/>
              <w:rPr>
                <w:sz w:val="20"/>
                <w:szCs w:val="20"/>
                <w:color w:val="auto"/>
              </w:rPr>
            </w:pPr>
            <w:r>
              <w:rPr>
                <w:rFonts w:ascii="Arial" w:cs="Arial" w:eastAsia="Arial" w:hAnsi="Arial"/>
                <w:sz w:val="17"/>
                <w:szCs w:val="17"/>
                <w:color w:val="auto"/>
                <w:w w:val="89"/>
              </w:rPr>
              <w:t>Observable</w:t>
            </w:r>
          </w:p>
        </w:tc>
        <w:tc>
          <w:tcPr>
            <w:tcW w:w="240" w:type="dxa"/>
            <w:vAlign w:val="bottom"/>
          </w:tcPr>
          <w:p>
            <w:pPr>
              <w:spacing w:after="0"/>
              <w:rPr>
                <w:sz w:val="14"/>
                <w:szCs w:val="14"/>
                <w:color w:val="auto"/>
              </w:rPr>
            </w:pPr>
          </w:p>
        </w:tc>
        <w:tc>
          <w:tcPr>
            <w:tcW w:w="1160" w:type="dxa"/>
            <w:vAlign w:val="bottom"/>
          </w:tcPr>
          <w:p>
            <w:pPr>
              <w:jc w:val="center"/>
              <w:ind w:right="114"/>
              <w:spacing w:after="0" w:line="167" w:lineRule="exact"/>
              <w:rPr>
                <w:sz w:val="20"/>
                <w:szCs w:val="20"/>
                <w:color w:val="auto"/>
              </w:rPr>
            </w:pPr>
            <w:r>
              <w:rPr>
                <w:rFonts w:ascii="Arial" w:cs="Arial" w:eastAsia="Arial" w:hAnsi="Arial"/>
                <w:sz w:val="17"/>
                <w:szCs w:val="17"/>
                <w:color w:val="auto"/>
                <w:w w:val="91"/>
              </w:rPr>
              <w:t>observable</w:t>
            </w:r>
          </w:p>
        </w:tc>
        <w:tc>
          <w:tcPr>
            <w:tcW w:w="0" w:type="dxa"/>
            <w:vAlign w:val="bottom"/>
          </w:tcPr>
          <w:p>
            <w:pPr>
              <w:spacing w:after="0"/>
              <w:rPr>
                <w:sz w:val="1"/>
                <w:szCs w:val="1"/>
                <w:color w:val="auto"/>
              </w:rPr>
            </w:pPr>
          </w:p>
        </w:tc>
      </w:tr>
      <w:tr>
        <w:trPr>
          <w:trHeight w:val="180"/>
        </w:trPr>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center"/>
              <w:ind w:right="174"/>
              <w:spacing w:after="0" w:line="180" w:lineRule="exact"/>
              <w:rPr>
                <w:sz w:val="20"/>
                <w:szCs w:val="20"/>
                <w:color w:val="auto"/>
              </w:rPr>
            </w:pPr>
            <w:r>
              <w:rPr>
                <w:rFonts w:ascii="Arial" w:cs="Arial" w:eastAsia="Arial" w:hAnsi="Arial"/>
                <w:sz w:val="17"/>
                <w:szCs w:val="17"/>
                <w:color w:val="auto"/>
                <w:w w:val="97"/>
              </w:rPr>
              <w:t>Book</w:t>
            </w:r>
          </w:p>
        </w:tc>
        <w:tc>
          <w:tcPr>
            <w:tcW w:w="280" w:type="dxa"/>
            <w:vAlign w:val="bottom"/>
          </w:tcPr>
          <w:p>
            <w:pPr>
              <w:spacing w:after="0"/>
              <w:rPr>
                <w:sz w:val="15"/>
                <w:szCs w:val="15"/>
                <w:color w:val="auto"/>
              </w:rPr>
            </w:pPr>
          </w:p>
        </w:tc>
        <w:tc>
          <w:tcPr>
            <w:tcW w:w="1220" w:type="dxa"/>
            <w:vAlign w:val="bottom"/>
            <w:vMerge w:val="restart"/>
          </w:tcPr>
          <w:p>
            <w:pPr>
              <w:jc w:val="right"/>
              <w:ind w:right="314"/>
              <w:spacing w:after="0"/>
              <w:rPr>
                <w:sz w:val="20"/>
                <w:szCs w:val="20"/>
                <w:color w:val="auto"/>
              </w:rPr>
            </w:pPr>
            <w:r>
              <w:rPr>
                <w:rFonts w:ascii="Arial" w:cs="Arial" w:eastAsia="Arial" w:hAnsi="Arial"/>
                <w:sz w:val="17"/>
                <w:szCs w:val="17"/>
                <w:color w:val="auto"/>
              </w:rPr>
              <w:t>Fair Value</w:t>
            </w:r>
          </w:p>
        </w:tc>
        <w:tc>
          <w:tcPr>
            <w:tcW w:w="120" w:type="dxa"/>
            <w:vAlign w:val="bottom"/>
          </w:tcPr>
          <w:p>
            <w:pPr>
              <w:spacing w:after="0"/>
              <w:rPr>
                <w:sz w:val="15"/>
                <w:szCs w:val="15"/>
                <w:color w:val="auto"/>
              </w:rPr>
            </w:pPr>
          </w:p>
        </w:tc>
        <w:tc>
          <w:tcPr>
            <w:tcW w:w="1300" w:type="dxa"/>
            <w:vAlign w:val="bottom"/>
          </w:tcPr>
          <w:p>
            <w:pPr>
              <w:jc w:val="center"/>
              <w:ind w:right="74"/>
              <w:spacing w:after="0" w:line="180" w:lineRule="exact"/>
              <w:rPr>
                <w:sz w:val="20"/>
                <w:szCs w:val="20"/>
                <w:color w:val="auto"/>
              </w:rPr>
            </w:pPr>
            <w:r>
              <w:rPr>
                <w:rFonts w:ascii="Arial" w:cs="Arial" w:eastAsia="Arial" w:hAnsi="Arial"/>
                <w:sz w:val="17"/>
                <w:szCs w:val="17"/>
                <w:color w:val="auto"/>
                <w:w w:val="90"/>
              </w:rPr>
              <w:t>Assets</w:t>
            </w:r>
          </w:p>
        </w:tc>
        <w:tc>
          <w:tcPr>
            <w:tcW w:w="140" w:type="dxa"/>
            <w:vAlign w:val="bottom"/>
          </w:tcPr>
          <w:p>
            <w:pPr>
              <w:spacing w:after="0"/>
              <w:rPr>
                <w:sz w:val="15"/>
                <w:szCs w:val="15"/>
                <w:color w:val="auto"/>
              </w:rPr>
            </w:pPr>
          </w:p>
        </w:tc>
        <w:tc>
          <w:tcPr>
            <w:tcW w:w="1320" w:type="dxa"/>
            <w:vAlign w:val="bottom"/>
          </w:tcPr>
          <w:p>
            <w:pPr>
              <w:jc w:val="center"/>
              <w:ind w:right="54"/>
              <w:spacing w:after="0" w:line="180" w:lineRule="exact"/>
              <w:rPr>
                <w:sz w:val="20"/>
                <w:szCs w:val="20"/>
                <w:color w:val="auto"/>
              </w:rPr>
            </w:pPr>
            <w:r>
              <w:rPr>
                <w:rFonts w:ascii="Arial" w:cs="Arial" w:eastAsia="Arial" w:hAnsi="Arial"/>
                <w:sz w:val="17"/>
                <w:szCs w:val="17"/>
                <w:color w:val="auto"/>
                <w:w w:val="90"/>
              </w:rPr>
              <w:t>Inputs</w:t>
            </w:r>
          </w:p>
        </w:tc>
        <w:tc>
          <w:tcPr>
            <w:tcW w:w="240" w:type="dxa"/>
            <w:vAlign w:val="bottom"/>
          </w:tcPr>
          <w:p>
            <w:pPr>
              <w:spacing w:after="0"/>
              <w:rPr>
                <w:sz w:val="15"/>
                <w:szCs w:val="15"/>
                <w:color w:val="auto"/>
              </w:rPr>
            </w:pPr>
          </w:p>
        </w:tc>
        <w:tc>
          <w:tcPr>
            <w:tcW w:w="1160" w:type="dxa"/>
            <w:vAlign w:val="bottom"/>
          </w:tcPr>
          <w:p>
            <w:pPr>
              <w:jc w:val="center"/>
              <w:ind w:right="114"/>
              <w:spacing w:after="0" w:line="180" w:lineRule="exact"/>
              <w:rPr>
                <w:sz w:val="20"/>
                <w:szCs w:val="20"/>
                <w:color w:val="auto"/>
              </w:rPr>
            </w:pPr>
            <w:r>
              <w:rPr>
                <w:rFonts w:ascii="Arial" w:cs="Arial" w:eastAsia="Arial" w:hAnsi="Arial"/>
                <w:sz w:val="17"/>
                <w:szCs w:val="17"/>
                <w:color w:val="auto"/>
                <w:w w:val="94"/>
              </w:rPr>
              <w:t>Inputs</w:t>
            </w:r>
          </w:p>
        </w:tc>
        <w:tc>
          <w:tcPr>
            <w:tcW w:w="0" w:type="dxa"/>
            <w:vAlign w:val="bottom"/>
          </w:tcPr>
          <w:p>
            <w:pPr>
              <w:spacing w:after="0"/>
              <w:rPr>
                <w:sz w:val="1"/>
                <w:szCs w:val="1"/>
                <w:color w:val="auto"/>
              </w:rPr>
            </w:pPr>
          </w:p>
        </w:tc>
      </w:tr>
      <w:tr>
        <w:trPr>
          <w:trHeight w:val="218"/>
        </w:trPr>
        <w:tc>
          <w:tcPr>
            <w:tcW w:w="4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54"/>
              <w:spacing w:after="0"/>
              <w:rPr>
                <w:sz w:val="20"/>
                <w:szCs w:val="20"/>
                <w:color w:val="auto"/>
              </w:rPr>
            </w:pPr>
            <w:r>
              <w:rPr>
                <w:rFonts w:ascii="Arial" w:cs="Arial" w:eastAsia="Arial" w:hAnsi="Arial"/>
                <w:sz w:val="17"/>
                <w:szCs w:val="17"/>
                <w:color w:val="auto"/>
                <w:w w:val="91"/>
              </w:rPr>
              <w:t>Balance</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color w:val="auto"/>
                <w:w w:val="93"/>
              </w:rPr>
              <w:t>(Level 1)</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color w:val="auto"/>
                <w:w w:val="96"/>
              </w:rPr>
              <w:t>(Level 2)</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14"/>
              <w:spacing w:after="0"/>
              <w:rPr>
                <w:sz w:val="20"/>
                <w:szCs w:val="20"/>
                <w:color w:val="auto"/>
              </w:rPr>
            </w:pPr>
            <w:r>
              <w:rPr>
                <w:rFonts w:ascii="Arial" w:cs="Arial" w:eastAsia="Arial" w:hAnsi="Arial"/>
                <w:sz w:val="17"/>
                <w:szCs w:val="17"/>
                <w:color w:val="auto"/>
                <w:w w:val="96"/>
              </w:rPr>
              <w:t>(Level 3)</w:t>
            </w:r>
          </w:p>
        </w:tc>
        <w:tc>
          <w:tcPr>
            <w:tcW w:w="0" w:type="dxa"/>
            <w:vAlign w:val="bottom"/>
          </w:tcPr>
          <w:p>
            <w:pPr>
              <w:spacing w:after="0"/>
              <w:rPr>
                <w:sz w:val="1"/>
                <w:szCs w:val="1"/>
                <w:color w:val="auto"/>
              </w:rPr>
            </w:pPr>
          </w:p>
        </w:tc>
      </w:tr>
      <w:tr>
        <w:trPr>
          <w:trHeight w:val="224"/>
        </w:trPr>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194"/>
              <w:spacing w:after="0"/>
              <w:rPr>
                <w:sz w:val="20"/>
                <w:szCs w:val="20"/>
                <w:color w:val="auto"/>
              </w:rPr>
            </w:pPr>
            <w:r>
              <w:rPr>
                <w:rFonts w:ascii="Arial" w:cs="Arial" w:eastAsia="Arial" w:hAnsi="Arial"/>
                <w:sz w:val="17"/>
                <w:szCs w:val="17"/>
                <w:color w:val="auto"/>
                <w:w w:val="91"/>
              </w:rPr>
              <w:t>(In thousands)</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80" w:type="dxa"/>
            <w:vAlign w:val="bottom"/>
          </w:tcPr>
          <w:p>
            <w:pPr>
              <w:ind w:left="20"/>
              <w:spacing w:after="0"/>
              <w:rPr>
                <w:sz w:val="20"/>
                <w:szCs w:val="20"/>
                <w:color w:val="auto"/>
              </w:rPr>
            </w:pPr>
            <w:r>
              <w:rPr>
                <w:rFonts w:ascii="Arial" w:cs="Arial" w:eastAsia="Arial" w:hAnsi="Arial"/>
                <w:sz w:val="17"/>
                <w:szCs w:val="17"/>
                <w:color w:val="auto"/>
              </w:rPr>
              <w:t>September 30, 2023</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4080" w:type="dxa"/>
            <w:vAlign w:val="bottom"/>
          </w:tcPr>
          <w:p>
            <w:pPr>
              <w:ind w:left="100"/>
              <w:spacing w:after="0"/>
              <w:rPr>
                <w:sz w:val="20"/>
                <w:szCs w:val="20"/>
                <w:color w:val="auto"/>
              </w:rPr>
            </w:pPr>
            <w:r>
              <w:rPr>
                <w:rFonts w:ascii="Arial" w:cs="Arial" w:eastAsia="Arial" w:hAnsi="Arial"/>
                <w:sz w:val="17"/>
                <w:szCs w:val="17"/>
                <w:color w:val="auto"/>
              </w:rPr>
              <w:t>Assets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40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Cash and due from banks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58,567</w:t>
            </w:r>
          </w:p>
        </w:tc>
        <w:tc>
          <w:tcPr>
            <w:tcW w:w="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58,567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58,567</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4080" w:type="dxa"/>
            <w:vAlign w:val="bottom"/>
          </w:tcPr>
          <w:p>
            <w:pPr>
              <w:ind w:left="260"/>
              <w:spacing w:after="0"/>
              <w:rPr>
                <w:sz w:val="20"/>
                <w:szCs w:val="20"/>
                <w:color w:val="auto"/>
              </w:rPr>
            </w:pPr>
            <w:r>
              <w:rPr>
                <w:rFonts w:ascii="Arial" w:cs="Arial" w:eastAsia="Arial" w:hAnsi="Arial"/>
                <w:sz w:val="17"/>
                <w:szCs w:val="17"/>
                <w:color w:val="auto"/>
              </w:rPr>
              <w:t>Interest bearing deposits</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7"/>
                <w:szCs w:val="17"/>
                <w:color w:val="auto"/>
              </w:rPr>
              <w:t>68,894</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Arial" w:cs="Arial" w:eastAsia="Arial" w:hAnsi="Arial"/>
                <w:sz w:val="17"/>
                <w:szCs w:val="17"/>
                <w:color w:val="auto"/>
              </w:rPr>
              <w:t>68,894</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Arial" w:cs="Arial" w:eastAsia="Arial" w:hAnsi="Arial"/>
                <w:sz w:val="17"/>
                <w:szCs w:val="17"/>
                <w:color w:val="auto"/>
              </w:rPr>
              <w:t>68,894</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40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Securities available for sale</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684,641</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684,641</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684,641</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4080" w:type="dxa"/>
            <w:vAlign w:val="bottom"/>
          </w:tcPr>
          <w:p>
            <w:pPr>
              <w:ind w:left="260"/>
              <w:spacing w:after="0"/>
              <w:rPr>
                <w:sz w:val="20"/>
                <w:szCs w:val="20"/>
                <w:color w:val="auto"/>
              </w:rPr>
            </w:pPr>
            <w:r>
              <w:rPr>
                <w:rFonts w:ascii="Arial" w:cs="Arial" w:eastAsia="Arial" w:hAnsi="Arial"/>
                <w:sz w:val="17"/>
                <w:szCs w:val="17"/>
                <w:color w:val="auto"/>
              </w:rPr>
              <w:t>Securities held to maturity</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7"/>
                <w:szCs w:val="17"/>
                <w:color w:val="auto"/>
              </w:rPr>
              <w:t>358,899</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Arial" w:cs="Arial" w:eastAsia="Arial" w:hAnsi="Arial"/>
                <w:sz w:val="17"/>
                <w:szCs w:val="17"/>
                <w:color w:val="auto"/>
              </w:rPr>
              <w:t>309,199</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7"/>
                <w:szCs w:val="17"/>
                <w:color w:val="auto"/>
              </w:rPr>
              <w:t>309,199</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40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Federal Home Loan Bank and Federal</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80" w:type="dxa"/>
            <w:vAlign w:val="bottom"/>
          </w:tcPr>
          <w:p>
            <w:pPr>
              <w:ind w:left="400"/>
              <w:spacing w:after="0"/>
              <w:rPr>
                <w:sz w:val="20"/>
                <w:szCs w:val="20"/>
                <w:color w:val="auto"/>
              </w:rPr>
            </w:pPr>
            <w:r>
              <w:rPr>
                <w:rFonts w:ascii="Arial" w:cs="Arial" w:eastAsia="Arial" w:hAnsi="Arial"/>
                <w:sz w:val="17"/>
                <w:szCs w:val="17"/>
                <w:color w:val="auto"/>
              </w:rPr>
              <w:t>Reserve Bank Stock</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7"/>
                <w:szCs w:val="17"/>
                <w:color w:val="auto"/>
              </w:rPr>
              <w:t>16,821</w:t>
            </w:r>
          </w:p>
        </w:tc>
        <w:tc>
          <w:tcPr>
            <w:tcW w:w="2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7"/>
                <w:szCs w:val="17"/>
                <w:color w:val="auto"/>
              </w:rPr>
              <w:t>NA</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NA</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NA</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52"/>
        </w:trPr>
        <w:tc>
          <w:tcPr>
            <w:tcW w:w="40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Net loans and loans held for sale</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3,699,970</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3,306,342</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13,979</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3,292,363</w:t>
            </w:r>
          </w:p>
        </w:tc>
        <w:tc>
          <w:tcPr>
            <w:tcW w:w="0" w:type="dxa"/>
            <w:vAlign w:val="bottom"/>
          </w:tcPr>
          <w:p>
            <w:pPr>
              <w:spacing w:after="0"/>
              <w:rPr>
                <w:sz w:val="1"/>
                <w:szCs w:val="1"/>
                <w:color w:val="auto"/>
              </w:rPr>
            </w:pPr>
          </w:p>
        </w:tc>
      </w:tr>
      <w:tr>
        <w:trPr>
          <w:trHeight w:val="238"/>
        </w:trPr>
        <w:tc>
          <w:tcPr>
            <w:tcW w:w="4080" w:type="dxa"/>
            <w:vAlign w:val="bottom"/>
          </w:tcPr>
          <w:p>
            <w:pPr>
              <w:ind w:left="260"/>
              <w:spacing w:after="0"/>
              <w:rPr>
                <w:sz w:val="20"/>
                <w:szCs w:val="20"/>
                <w:color w:val="auto"/>
              </w:rPr>
            </w:pPr>
            <w:r>
              <w:rPr>
                <w:rFonts w:ascii="Arial" w:cs="Arial" w:eastAsia="Arial" w:hAnsi="Arial"/>
                <w:sz w:val="17"/>
                <w:szCs w:val="17"/>
                <w:color w:val="auto"/>
              </w:rPr>
              <w:t>Accrued interest receivable</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7"/>
                <w:szCs w:val="17"/>
                <w:color w:val="auto"/>
              </w:rPr>
              <w:t>18,229</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Arial" w:cs="Arial" w:eastAsia="Arial" w:hAnsi="Arial"/>
                <w:sz w:val="17"/>
                <w:szCs w:val="17"/>
                <w:color w:val="auto"/>
              </w:rPr>
              <w:t>18,229</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Arial" w:cs="Arial" w:eastAsia="Arial" w:hAnsi="Arial"/>
                <w:sz w:val="17"/>
                <w:szCs w:val="17"/>
                <w:color w:val="auto"/>
              </w:rPr>
              <w:t>90</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7"/>
                <w:szCs w:val="17"/>
                <w:color w:val="auto"/>
              </w:rPr>
              <w:t>6,177</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11,962</w:t>
            </w:r>
          </w:p>
        </w:tc>
        <w:tc>
          <w:tcPr>
            <w:tcW w:w="0" w:type="dxa"/>
            <w:vAlign w:val="bottom"/>
          </w:tcPr>
          <w:p>
            <w:pPr>
              <w:spacing w:after="0"/>
              <w:rPr>
                <w:sz w:val="1"/>
                <w:szCs w:val="1"/>
                <w:color w:val="auto"/>
              </w:rPr>
            </w:pPr>
          </w:p>
        </w:tc>
      </w:tr>
      <w:tr>
        <w:trPr>
          <w:trHeight w:val="252"/>
        </w:trPr>
        <w:tc>
          <w:tcPr>
            <w:tcW w:w="40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Derivative financial instruments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49,227</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49,227</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49,227</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5"/>
        </w:trPr>
        <w:tc>
          <w:tcPr>
            <w:tcW w:w="4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0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Liabilities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80" w:type="dxa"/>
            <w:vAlign w:val="bottom"/>
          </w:tcPr>
          <w:p>
            <w:pPr>
              <w:ind w:left="260"/>
              <w:spacing w:after="0"/>
              <w:rPr>
                <w:sz w:val="20"/>
                <w:szCs w:val="20"/>
                <w:color w:val="auto"/>
              </w:rPr>
            </w:pPr>
            <w:r>
              <w:rPr>
                <w:rFonts w:ascii="Arial" w:cs="Arial" w:eastAsia="Arial" w:hAnsi="Arial"/>
                <w:sz w:val="17"/>
                <w:szCs w:val="17"/>
                <w:color w:val="auto"/>
              </w:rPr>
              <w:t>Deposits with no stated maturity (1)</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14"/>
              <w:spacing w:after="0"/>
              <w:rPr>
                <w:sz w:val="20"/>
                <w:szCs w:val="20"/>
                <w:color w:val="auto"/>
              </w:rPr>
            </w:pPr>
            <w:r>
              <w:rPr>
                <w:rFonts w:ascii="Arial" w:cs="Arial" w:eastAsia="Arial" w:hAnsi="Arial"/>
                <w:sz w:val="17"/>
                <w:szCs w:val="17"/>
                <w:color w:val="auto"/>
              </w:rPr>
              <w:t>3,771,900</w:t>
            </w:r>
          </w:p>
        </w:tc>
        <w:tc>
          <w:tcPr>
            <w:tcW w:w="28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74"/>
              <w:spacing w:after="0"/>
              <w:rPr>
                <w:sz w:val="20"/>
                <w:szCs w:val="20"/>
                <w:color w:val="auto"/>
              </w:rPr>
            </w:pPr>
            <w:r>
              <w:rPr>
                <w:rFonts w:ascii="Arial" w:cs="Arial" w:eastAsia="Arial" w:hAnsi="Arial"/>
                <w:sz w:val="17"/>
                <w:szCs w:val="17"/>
                <w:color w:val="auto"/>
              </w:rPr>
              <w:t>3,771,900</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ind w:right="34"/>
              <w:spacing w:after="0"/>
              <w:rPr>
                <w:sz w:val="20"/>
                <w:szCs w:val="20"/>
                <w:color w:val="auto"/>
              </w:rPr>
            </w:pPr>
            <w:r>
              <w:rPr>
                <w:rFonts w:ascii="Arial" w:cs="Arial" w:eastAsia="Arial" w:hAnsi="Arial"/>
                <w:sz w:val="17"/>
                <w:szCs w:val="17"/>
                <w:color w:val="auto"/>
              </w:rPr>
              <w:t>3,771,900</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40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Deposits with stated maturity (1)</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813,712</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807,830</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807,830</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4080" w:type="dxa"/>
            <w:vAlign w:val="bottom"/>
          </w:tcPr>
          <w:p>
            <w:pPr>
              <w:ind w:left="260"/>
              <w:spacing w:after="0"/>
              <w:rPr>
                <w:sz w:val="20"/>
                <w:szCs w:val="20"/>
                <w:color w:val="auto"/>
              </w:rPr>
            </w:pPr>
            <w:r>
              <w:rPr>
                <w:rFonts w:ascii="Arial" w:cs="Arial" w:eastAsia="Arial" w:hAnsi="Arial"/>
                <w:sz w:val="17"/>
                <w:szCs w:val="17"/>
                <w:color w:val="auto"/>
              </w:rPr>
              <w:t>Other borrowings</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7"/>
                <w:szCs w:val="17"/>
                <w:color w:val="auto"/>
              </w:rPr>
              <w:t>50,014</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Arial" w:cs="Arial" w:eastAsia="Arial" w:hAnsi="Arial"/>
                <w:sz w:val="17"/>
                <w:szCs w:val="17"/>
                <w:color w:val="auto"/>
              </w:rPr>
              <w:t>49,539</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7"/>
                <w:szCs w:val="17"/>
                <w:color w:val="auto"/>
              </w:rPr>
              <w:t>49,539</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40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Subordinated debt</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39,491</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38,883</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38,883</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4080" w:type="dxa"/>
            <w:vAlign w:val="bottom"/>
          </w:tcPr>
          <w:p>
            <w:pPr>
              <w:ind w:left="260"/>
              <w:spacing w:after="0"/>
              <w:rPr>
                <w:sz w:val="20"/>
                <w:szCs w:val="20"/>
                <w:color w:val="auto"/>
              </w:rPr>
            </w:pPr>
            <w:r>
              <w:rPr>
                <w:rFonts w:ascii="Arial" w:cs="Arial" w:eastAsia="Arial" w:hAnsi="Arial"/>
                <w:sz w:val="17"/>
                <w:szCs w:val="17"/>
                <w:color w:val="auto"/>
              </w:rPr>
              <w:t>Subordinated debentures</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7"/>
                <w:szCs w:val="17"/>
                <w:color w:val="auto"/>
              </w:rPr>
              <w:t>39,711</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Arial" w:cs="Arial" w:eastAsia="Arial" w:hAnsi="Arial"/>
                <w:sz w:val="17"/>
                <w:szCs w:val="17"/>
                <w:color w:val="auto"/>
              </w:rPr>
              <w:t>39,190</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7"/>
                <w:szCs w:val="17"/>
                <w:color w:val="auto"/>
              </w:rPr>
              <w:t>39,190</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40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Accrued interest payable</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6,449</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6,449</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465</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5,984</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4080" w:type="dxa"/>
            <w:vAlign w:val="bottom"/>
          </w:tcPr>
          <w:p>
            <w:pPr>
              <w:ind w:left="260"/>
              <w:spacing w:after="0"/>
              <w:rPr>
                <w:sz w:val="20"/>
                <w:szCs w:val="20"/>
                <w:color w:val="auto"/>
              </w:rPr>
            </w:pPr>
            <w:r>
              <w:rPr>
                <w:rFonts w:ascii="Arial" w:cs="Arial" w:eastAsia="Arial" w:hAnsi="Arial"/>
                <w:sz w:val="17"/>
                <w:szCs w:val="17"/>
                <w:color w:val="auto"/>
              </w:rPr>
              <w:t>Derivative financial instruments</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7"/>
                <w:szCs w:val="17"/>
                <w:color w:val="auto"/>
              </w:rPr>
              <w:t>23,183</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Arial" w:cs="Arial" w:eastAsia="Arial" w:hAnsi="Arial"/>
                <w:sz w:val="17"/>
                <w:szCs w:val="17"/>
                <w:color w:val="auto"/>
              </w:rPr>
              <w:t>23,183</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7"/>
                <w:szCs w:val="17"/>
                <w:color w:val="auto"/>
              </w:rPr>
              <w:t>23,183</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4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80" w:type="dxa"/>
            <w:vAlign w:val="bottom"/>
          </w:tcPr>
          <w:p>
            <w:pPr>
              <w:ind w:left="20"/>
              <w:spacing w:after="0"/>
              <w:rPr>
                <w:sz w:val="20"/>
                <w:szCs w:val="20"/>
                <w:color w:val="auto"/>
              </w:rPr>
            </w:pPr>
            <w:r>
              <w:rPr>
                <w:rFonts w:ascii="Arial" w:cs="Arial" w:eastAsia="Arial" w:hAnsi="Arial"/>
                <w:sz w:val="17"/>
                <w:szCs w:val="17"/>
                <w:color w:val="auto"/>
              </w:rPr>
              <w:t>December 31, 2022</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0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Assets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80" w:type="dxa"/>
            <w:vAlign w:val="bottom"/>
          </w:tcPr>
          <w:p>
            <w:pPr>
              <w:ind w:left="260"/>
              <w:spacing w:after="0"/>
              <w:rPr>
                <w:sz w:val="20"/>
                <w:szCs w:val="20"/>
                <w:color w:val="auto"/>
              </w:rPr>
            </w:pPr>
            <w:r>
              <w:rPr>
                <w:rFonts w:ascii="Arial" w:cs="Arial" w:eastAsia="Arial" w:hAnsi="Arial"/>
                <w:sz w:val="17"/>
                <w:szCs w:val="17"/>
                <w:color w:val="auto"/>
              </w:rPr>
              <w:t>Cash and due from banks</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14"/>
              <w:spacing w:after="0"/>
              <w:rPr>
                <w:sz w:val="20"/>
                <w:szCs w:val="20"/>
                <w:color w:val="auto"/>
              </w:rPr>
            </w:pPr>
            <w:r>
              <w:rPr>
                <w:rFonts w:ascii="Arial" w:cs="Arial" w:eastAsia="Arial" w:hAnsi="Arial"/>
                <w:sz w:val="17"/>
                <w:szCs w:val="17"/>
                <w:color w:val="auto"/>
              </w:rPr>
              <w:t>70,180</w:t>
            </w:r>
          </w:p>
        </w:tc>
        <w:tc>
          <w:tcPr>
            <w:tcW w:w="28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74"/>
              <w:spacing w:after="0"/>
              <w:rPr>
                <w:sz w:val="20"/>
                <w:szCs w:val="20"/>
                <w:color w:val="auto"/>
              </w:rPr>
            </w:pPr>
            <w:r>
              <w:rPr>
                <w:rFonts w:ascii="Arial" w:cs="Arial" w:eastAsia="Arial" w:hAnsi="Arial"/>
                <w:sz w:val="17"/>
                <w:szCs w:val="17"/>
                <w:color w:val="auto"/>
              </w:rPr>
              <w:t>70,180</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ind w:right="34"/>
              <w:spacing w:after="0"/>
              <w:rPr>
                <w:sz w:val="20"/>
                <w:szCs w:val="20"/>
                <w:color w:val="auto"/>
              </w:rPr>
            </w:pPr>
            <w:r>
              <w:rPr>
                <w:rFonts w:ascii="Arial" w:cs="Arial" w:eastAsia="Arial" w:hAnsi="Arial"/>
                <w:sz w:val="17"/>
                <w:szCs w:val="17"/>
                <w:color w:val="auto"/>
              </w:rPr>
              <w:t>70,180</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40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Interest bearing deposits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4,191</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4,191</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4,191</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4080" w:type="dxa"/>
            <w:vAlign w:val="bottom"/>
          </w:tcPr>
          <w:p>
            <w:pPr>
              <w:ind w:left="260"/>
              <w:spacing w:after="0"/>
              <w:rPr>
                <w:sz w:val="20"/>
                <w:szCs w:val="20"/>
                <w:color w:val="auto"/>
              </w:rPr>
            </w:pPr>
            <w:r>
              <w:rPr>
                <w:rFonts w:ascii="Arial" w:cs="Arial" w:eastAsia="Arial" w:hAnsi="Arial"/>
                <w:sz w:val="17"/>
                <w:szCs w:val="17"/>
                <w:color w:val="auto"/>
              </w:rPr>
              <w:t>Securities available for sale</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7"/>
                <w:szCs w:val="17"/>
                <w:color w:val="auto"/>
              </w:rPr>
              <w:t>779,347</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Arial" w:cs="Arial" w:eastAsia="Arial" w:hAnsi="Arial"/>
                <w:sz w:val="17"/>
                <w:szCs w:val="17"/>
                <w:color w:val="auto"/>
              </w:rPr>
              <w:t>779,347</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7"/>
                <w:szCs w:val="17"/>
                <w:color w:val="auto"/>
              </w:rPr>
              <w:t>779,347</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40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Securities held to maturity</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374,818</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335,418</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335,418</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4080" w:type="dxa"/>
            <w:vAlign w:val="bottom"/>
          </w:tcPr>
          <w:p>
            <w:pPr>
              <w:ind w:left="260"/>
              <w:spacing w:after="0"/>
              <w:rPr>
                <w:sz w:val="20"/>
                <w:szCs w:val="20"/>
                <w:color w:val="auto"/>
              </w:rPr>
            </w:pPr>
            <w:r>
              <w:rPr>
                <w:rFonts w:ascii="Arial" w:cs="Arial" w:eastAsia="Arial" w:hAnsi="Arial"/>
                <w:sz w:val="17"/>
                <w:szCs w:val="17"/>
                <w:color w:val="auto"/>
              </w:rPr>
              <w:t>Federal Home Loan Bank and Federal</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0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Reserve Bank Stock</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17,653</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NA</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38"/>
        </w:trPr>
        <w:tc>
          <w:tcPr>
            <w:tcW w:w="4080" w:type="dxa"/>
            <w:vAlign w:val="bottom"/>
          </w:tcPr>
          <w:p>
            <w:pPr>
              <w:ind w:left="260"/>
              <w:spacing w:after="0"/>
              <w:rPr>
                <w:sz w:val="20"/>
                <w:szCs w:val="20"/>
                <w:color w:val="auto"/>
              </w:rPr>
            </w:pPr>
            <w:r>
              <w:rPr>
                <w:rFonts w:ascii="Arial" w:cs="Arial" w:eastAsia="Arial" w:hAnsi="Arial"/>
                <w:sz w:val="17"/>
                <w:szCs w:val="17"/>
                <w:color w:val="auto"/>
              </w:rPr>
              <w:t>Net loans and loans held for sale</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7"/>
                <w:szCs w:val="17"/>
                <w:color w:val="auto"/>
              </w:rPr>
              <w:t>3,459,802</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Arial" w:cs="Arial" w:eastAsia="Arial" w:hAnsi="Arial"/>
                <w:sz w:val="17"/>
                <w:szCs w:val="17"/>
                <w:color w:val="auto"/>
              </w:rPr>
              <w:t>3,185,518</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Arial" w:cs="Arial" w:eastAsia="Arial" w:hAnsi="Arial"/>
                <w:sz w:val="17"/>
                <w:szCs w:val="17"/>
                <w:color w:val="auto"/>
              </w:rPr>
              <w:t>20,367</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7"/>
                <w:szCs w:val="17"/>
                <w:color w:val="auto"/>
              </w:rPr>
              <w:t>26,518</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3,138,633</w:t>
            </w:r>
          </w:p>
        </w:tc>
        <w:tc>
          <w:tcPr>
            <w:tcW w:w="0" w:type="dxa"/>
            <w:vAlign w:val="bottom"/>
          </w:tcPr>
          <w:p>
            <w:pPr>
              <w:spacing w:after="0"/>
              <w:rPr>
                <w:sz w:val="1"/>
                <w:szCs w:val="1"/>
                <w:color w:val="auto"/>
              </w:rPr>
            </w:pPr>
          </w:p>
        </w:tc>
      </w:tr>
      <w:tr>
        <w:trPr>
          <w:trHeight w:val="252"/>
        </w:trPr>
        <w:tc>
          <w:tcPr>
            <w:tcW w:w="40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Accrued interest receivable</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16,513</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16,513</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6,503</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10,009</w:t>
            </w:r>
          </w:p>
        </w:tc>
        <w:tc>
          <w:tcPr>
            <w:tcW w:w="0" w:type="dxa"/>
            <w:vAlign w:val="bottom"/>
          </w:tcPr>
          <w:p>
            <w:pPr>
              <w:spacing w:after="0"/>
              <w:rPr>
                <w:sz w:val="1"/>
                <w:szCs w:val="1"/>
                <w:color w:val="auto"/>
              </w:rPr>
            </w:pPr>
          </w:p>
        </w:tc>
      </w:tr>
      <w:tr>
        <w:trPr>
          <w:trHeight w:val="238"/>
        </w:trPr>
        <w:tc>
          <w:tcPr>
            <w:tcW w:w="4080" w:type="dxa"/>
            <w:vAlign w:val="bottom"/>
          </w:tcPr>
          <w:p>
            <w:pPr>
              <w:ind w:left="260"/>
              <w:spacing w:after="0"/>
              <w:rPr>
                <w:sz w:val="20"/>
                <w:szCs w:val="20"/>
                <w:color w:val="auto"/>
              </w:rPr>
            </w:pPr>
            <w:r>
              <w:rPr>
                <w:rFonts w:ascii="Arial" w:cs="Arial" w:eastAsia="Arial" w:hAnsi="Arial"/>
                <w:sz w:val="17"/>
                <w:szCs w:val="17"/>
                <w:color w:val="auto"/>
              </w:rPr>
              <w:t>Derivative financial instruments</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7"/>
                <w:szCs w:val="17"/>
                <w:color w:val="auto"/>
              </w:rPr>
              <w:t>39,747</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Arial" w:cs="Arial" w:eastAsia="Arial" w:hAnsi="Arial"/>
                <w:sz w:val="17"/>
                <w:szCs w:val="17"/>
                <w:color w:val="auto"/>
              </w:rPr>
              <w:t>39,747</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7"/>
                <w:szCs w:val="17"/>
                <w:color w:val="auto"/>
              </w:rPr>
              <w:t>39,747</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5"/>
        </w:trPr>
        <w:tc>
          <w:tcPr>
            <w:tcW w:w="40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4080" w:type="dxa"/>
            <w:vAlign w:val="bottom"/>
          </w:tcPr>
          <w:p>
            <w:pPr>
              <w:ind w:left="100"/>
              <w:spacing w:after="0"/>
              <w:rPr>
                <w:sz w:val="20"/>
                <w:szCs w:val="20"/>
                <w:color w:val="auto"/>
              </w:rPr>
            </w:pPr>
            <w:r>
              <w:rPr>
                <w:rFonts w:ascii="Arial" w:cs="Arial" w:eastAsia="Arial" w:hAnsi="Arial"/>
                <w:sz w:val="17"/>
                <w:szCs w:val="17"/>
                <w:color w:val="auto"/>
              </w:rPr>
              <w:t>Liabilities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0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Deposits with no stated maturity (1)</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3,798,848</w:t>
            </w:r>
          </w:p>
        </w:tc>
        <w:tc>
          <w:tcPr>
            <w:tcW w:w="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3,798,848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3,798,848</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4080" w:type="dxa"/>
            <w:vAlign w:val="bottom"/>
          </w:tcPr>
          <w:p>
            <w:pPr>
              <w:ind w:left="260"/>
              <w:spacing w:after="0"/>
              <w:rPr>
                <w:sz w:val="20"/>
                <w:szCs w:val="20"/>
                <w:color w:val="auto"/>
              </w:rPr>
            </w:pPr>
            <w:r>
              <w:rPr>
                <w:rFonts w:ascii="Arial" w:cs="Arial" w:eastAsia="Arial" w:hAnsi="Arial"/>
                <w:sz w:val="17"/>
                <w:szCs w:val="17"/>
                <w:color w:val="auto"/>
              </w:rPr>
              <w:t>Deposits with stated maturity (1)</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7"/>
                <w:szCs w:val="17"/>
                <w:color w:val="auto"/>
              </w:rPr>
              <w:t>580,221</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Arial" w:cs="Arial" w:eastAsia="Arial" w:hAnsi="Arial"/>
                <w:sz w:val="17"/>
                <w:szCs w:val="17"/>
                <w:color w:val="auto"/>
              </w:rPr>
              <w:t>573,739</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7"/>
                <w:szCs w:val="17"/>
                <w:color w:val="auto"/>
              </w:rPr>
              <w:t>573,739</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40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Other borrowings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86,006</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86,006</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86,006</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4080" w:type="dxa"/>
            <w:vAlign w:val="bottom"/>
          </w:tcPr>
          <w:p>
            <w:pPr>
              <w:ind w:left="260"/>
              <w:spacing w:after="0"/>
              <w:rPr>
                <w:sz w:val="20"/>
                <w:szCs w:val="20"/>
                <w:color w:val="auto"/>
              </w:rPr>
            </w:pPr>
            <w:r>
              <w:rPr>
                <w:rFonts w:ascii="Arial" w:cs="Arial" w:eastAsia="Arial" w:hAnsi="Arial"/>
                <w:sz w:val="17"/>
                <w:szCs w:val="17"/>
                <w:color w:val="auto"/>
              </w:rPr>
              <w:t>Subordinated debt</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7"/>
                <w:szCs w:val="17"/>
                <w:color w:val="auto"/>
              </w:rPr>
              <w:t>39,433</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Arial" w:cs="Arial" w:eastAsia="Arial" w:hAnsi="Arial"/>
                <w:sz w:val="17"/>
                <w:szCs w:val="17"/>
                <w:color w:val="auto"/>
              </w:rPr>
              <w:t>41,058</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7"/>
                <w:szCs w:val="17"/>
                <w:color w:val="auto"/>
              </w:rPr>
              <w:t>41,058</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40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Subordinated debentures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39,660</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38,982</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38,982</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4080" w:type="dxa"/>
            <w:vAlign w:val="bottom"/>
          </w:tcPr>
          <w:p>
            <w:pPr>
              <w:ind w:left="260"/>
              <w:spacing w:after="0"/>
              <w:rPr>
                <w:sz w:val="20"/>
                <w:szCs w:val="20"/>
                <w:color w:val="auto"/>
              </w:rPr>
            </w:pPr>
            <w:r>
              <w:rPr>
                <w:rFonts w:ascii="Arial" w:cs="Arial" w:eastAsia="Arial" w:hAnsi="Arial"/>
                <w:sz w:val="17"/>
                <w:szCs w:val="17"/>
                <w:color w:val="auto"/>
              </w:rPr>
              <w:t>Accrued interest payable</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7"/>
                <w:szCs w:val="17"/>
                <w:color w:val="auto"/>
              </w:rPr>
              <w:t>2,287</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Arial" w:cs="Arial" w:eastAsia="Arial" w:hAnsi="Arial"/>
                <w:sz w:val="17"/>
                <w:szCs w:val="17"/>
                <w:color w:val="auto"/>
              </w:rPr>
              <w:t>2,287</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Arial" w:cs="Arial" w:eastAsia="Arial" w:hAnsi="Arial"/>
                <w:sz w:val="17"/>
                <w:szCs w:val="17"/>
                <w:color w:val="auto"/>
              </w:rPr>
              <w:t>415</w:t>
            </w:r>
          </w:p>
        </w:tc>
        <w:tc>
          <w:tcPr>
            <w:tcW w:w="14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7"/>
                <w:szCs w:val="17"/>
                <w:color w:val="auto"/>
              </w:rPr>
              <w:t>1,872</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40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Derivative financial instruments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19,127</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19,127</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19,127</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91" w:lineRule="exact"/>
        <w:rPr>
          <w:sz w:val="20"/>
          <w:szCs w:val="20"/>
          <w:color w:val="auto"/>
        </w:rPr>
      </w:pPr>
    </w:p>
    <w:p>
      <w:pPr>
        <w:jc w:val="both"/>
        <w:ind w:left="580" w:right="20" w:hanging="560"/>
        <w:spacing w:after="0" w:line="180" w:lineRule="auto"/>
        <w:tabs>
          <w:tab w:leader="none" w:pos="580" w:val="left"/>
        </w:tabs>
        <w:numPr>
          <w:ilvl w:val="0"/>
          <w:numId w:val="24"/>
        </w:numPr>
        <w:rPr>
          <w:rFonts w:ascii="Arial" w:cs="Arial" w:eastAsia="Arial" w:hAnsi="Arial"/>
          <w:sz w:val="33"/>
          <w:szCs w:val="33"/>
          <w:color w:val="auto"/>
          <w:vertAlign w:val="subscript"/>
        </w:rPr>
      </w:pPr>
      <w:r>
        <w:rPr>
          <w:rFonts w:ascii="Arial" w:cs="Arial" w:eastAsia="Arial" w:hAnsi="Arial"/>
          <w:sz w:val="13"/>
          <w:szCs w:val="13"/>
          <w:color w:val="auto"/>
        </w:rPr>
        <w:t>Deposits with no stated maturity include reciprocal deposits with a recorded book balance of $700.312 million and $555.781 million at September 30, 2023 and December 31, 2022, respectively. Deposits with a stated maturity include reciprocal deposits with a recorded book balance of $99.571 million and $46.794 million at September 30, 2023 and December 31, 2022, respectively.</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fair values for commitments to extend credit and standby letters of credit are estimated to approximate their aggregate book balance, which is nominal and therefore are not disclosed.</w:t>
      </w:r>
    </w:p>
    <w:p>
      <w:pPr>
        <w:spacing w:after="0" w:line="13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Fair value estimates are made at a specific point in time, based on relevant market information and information about the financial instrument. These estimates do not reflect any premium or discount that could result from offering for sale the entire holdings of a particular financial instrument.</w:t>
      </w:r>
    </w:p>
    <w:p>
      <w:pPr>
        <w:spacing w:after="0" w:line="126" w:lineRule="exact"/>
        <w:rPr>
          <w:sz w:val="20"/>
          <w:szCs w:val="20"/>
          <w:color w:val="auto"/>
        </w:rPr>
      </w:pPr>
    </w:p>
    <w:p>
      <w:pPr>
        <w:spacing w:after="0" w:line="349" w:lineRule="auto"/>
        <w:rPr>
          <w:sz w:val="20"/>
          <w:szCs w:val="20"/>
          <w:color w:val="auto"/>
        </w:rPr>
      </w:pPr>
      <w:r>
        <w:rPr>
          <w:rFonts w:ascii="Arial" w:cs="Arial" w:eastAsia="Arial" w:hAnsi="Arial"/>
          <w:sz w:val="15"/>
          <w:szCs w:val="15"/>
          <w:color w:val="auto"/>
        </w:rPr>
        <w:t>Fair value estimates are based on existing on- and off-balance sheet financial instruments without attempting to estimate the value of anticipated future business, the value of future earnings attributable to off-balance sheet activities and the value of assets and liabilities that are not considered financial instruments.</w:t>
      </w:r>
    </w:p>
    <w:p>
      <w:pPr>
        <w:spacing w:after="0" w:line="7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Fair value estimates for deposit accounts do not include the value of the core deposit intangible asset resulting from the low-cost funding provided by the deposit liabilities compared to the cost of borrowing funds in the market.</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ind w:left="380" w:hanging="377"/>
        <w:spacing w:after="0"/>
        <w:tabs>
          <w:tab w:leader="none" w:pos="380"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Contingencies</w:t>
      </w:r>
    </w:p>
    <w:p>
      <w:pPr>
        <w:spacing w:after="0" w:line="23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Pressures from various global and national macroeconomic conditions, including heightened inflation, rising interest rates, elevated energy prices, supply chain disruptions, recent adverse weather conditions, concerns over the Russia-Ukraine war and the economic sanctions related thereto, escalating tensions in the Middle East, and foreign currency exchange rate fluctuations continue to create significant economic uncertainty. The extent to which these pressures may impact our business, results of operations, asset valuations, financial condition, and customers will depend on future developments, which continue to be highly uncertain and difficult to predict. Material adverse impacts may include all or a combination of valuation impairments on our intangible assets, securities available for sale, securities held to maturity, loans, capitalized mortgage loan servicing rights or deferred tax assets.</w:t>
      </w:r>
    </w:p>
    <w:p>
      <w:pPr>
        <w:spacing w:after="0" w:line="196"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We continue to closely monitor and analyze the higher risk segments within our portfolio, and senior management is cautiously optimistic that we are positioned to continue managing the impact of the varied set of risks and uncertainties currently impacting the global and U.S. economies. However, a high degree of uncertainty still exists with respect to the impact of these fluid macroeconomic conditions on the future performance of our loan portfolio and our financial results.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Litigation</w:t>
      </w:r>
    </w:p>
    <w:p>
      <w:pPr>
        <w:spacing w:after="0" w:line="17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are involved in various litigation matters in the ordinary course of business. At the present time, we do not believe any of these matters will have a significant impact on our interim condensed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15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Visa Stock</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own 12,566 shares of VISA Class B common stock. At the present time, these shares can only be sold to other Class B shareholders. As a result, there has generally been limited transfer activity in private transactions between buyers and sellers. Given the limited activity that we have become aware of and the continuing uncertainty regarding the likelihood, ultimate timing and eventual exchange rate for Class B shares into Class A shares, we continue to carry these shares at zero, representing cost basis less impairment. However, given the current conversion ratio of 1.5875 Class A shares for every 1 Class B share and the closing price of VISA Class A shares on October 26, 2023 of $231.28 per share, our 12,566 Class B shares would have a current “value” of approximately $4.6 million. We continue to monitor Class B trading activity and the status of the resolution of certain litigation matters at VISA that would trigger the conversion of Class B common shares into Class A common shares, which would not have any trading restrictions.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ind w:right="-479"/>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ind w:right="6020" w:firstLine="3"/>
        <w:spacing w:after="0" w:line="498" w:lineRule="auto"/>
        <w:tabs>
          <w:tab w:leader="none" w:pos="386"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 xml:space="preserve">Accumulated Other Comprehensive Income (Loss) (“AOCIL”) </w:t>
      </w:r>
      <w:r>
        <w:rPr>
          <w:rFonts w:ascii="Arial" w:cs="Arial" w:eastAsia="Arial" w:hAnsi="Arial"/>
          <w:sz w:val="17"/>
          <w:szCs w:val="17"/>
          <w:color w:val="auto"/>
        </w:rPr>
        <w:t>A summary of changes in AOCIL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7"/>
                <w:szCs w:val="17"/>
                <w:color w:val="auto"/>
                <w:w w:val="91"/>
              </w:rPr>
              <w:t>Unrealized</w:t>
            </w:r>
          </w:p>
        </w:tc>
        <w:tc>
          <w:tcPr>
            <w:tcW w:w="12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7"/>
                <w:szCs w:val="17"/>
                <w:color w:val="auto"/>
                <w:w w:val="95"/>
              </w:rPr>
              <w:t>Dispropor-</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6"/>
        </w:trPr>
        <w:tc>
          <w:tcPr>
            <w:tcW w:w="4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7"/>
                <w:szCs w:val="17"/>
                <w:color w:val="auto"/>
                <w:w w:val="91"/>
              </w:rPr>
              <w:t>Unrealized</w:t>
            </w:r>
          </w:p>
        </w:tc>
        <w:tc>
          <w:tcPr>
            <w:tcW w:w="14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7"/>
                <w:szCs w:val="17"/>
                <w:color w:val="auto"/>
                <w:w w:val="87"/>
              </w:rPr>
              <w:t>Losses on</w:t>
            </w:r>
          </w:p>
        </w:tc>
        <w:tc>
          <w:tcPr>
            <w:tcW w:w="12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7"/>
                <w:szCs w:val="17"/>
                <w:color w:val="auto"/>
                <w:w w:val="93"/>
              </w:rPr>
              <w:t>tionate</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6"/>
        </w:trPr>
        <w:tc>
          <w:tcPr>
            <w:tcW w:w="4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7"/>
                <w:szCs w:val="17"/>
                <w:color w:val="auto"/>
                <w:w w:val="89"/>
              </w:rPr>
              <w:t>Gains</w:t>
            </w:r>
          </w:p>
        </w:tc>
        <w:tc>
          <w:tcPr>
            <w:tcW w:w="14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7"/>
                <w:szCs w:val="17"/>
                <w:color w:val="auto"/>
                <w:w w:val="88"/>
              </w:rPr>
              <w:t>Securities</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7"/>
                <w:szCs w:val="17"/>
                <w:color w:val="auto"/>
                <w:w w:val="91"/>
              </w:rPr>
              <w:t>Tax Effects</w:t>
            </w: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7"/>
                <w:szCs w:val="17"/>
                <w:color w:val="auto"/>
                <w:w w:val="93"/>
              </w:rPr>
              <w:t>Unrealized</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6"/>
        </w:trPr>
        <w:tc>
          <w:tcPr>
            <w:tcW w:w="4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7"/>
                <w:szCs w:val="17"/>
                <w:color w:val="auto"/>
                <w:w w:val="87"/>
              </w:rPr>
              <w:t>(Losses) on</w:t>
            </w:r>
          </w:p>
        </w:tc>
        <w:tc>
          <w:tcPr>
            <w:tcW w:w="14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7"/>
                <w:szCs w:val="17"/>
                <w:color w:val="auto"/>
                <w:w w:val="88"/>
              </w:rPr>
              <w:t>Transferred</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7"/>
                <w:szCs w:val="17"/>
                <w:color w:val="auto"/>
                <w:w w:val="99"/>
              </w:rPr>
              <w:t>from</w:t>
            </w: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7"/>
                <w:szCs w:val="17"/>
                <w:color w:val="auto"/>
                <w:w w:val="87"/>
              </w:rPr>
              <w:t>Losses on</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6"/>
        </w:trPr>
        <w:tc>
          <w:tcPr>
            <w:tcW w:w="4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7"/>
                <w:szCs w:val="17"/>
                <w:color w:val="auto"/>
                <w:w w:val="91"/>
              </w:rPr>
              <w:t>Securities</w:t>
            </w:r>
          </w:p>
        </w:tc>
        <w:tc>
          <w:tcPr>
            <w:tcW w:w="14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Arial" w:cs="Arial" w:eastAsia="Arial" w:hAnsi="Arial"/>
                <w:sz w:val="17"/>
                <w:szCs w:val="17"/>
                <w:color w:val="auto"/>
              </w:rPr>
              <w:t>to Securities</w:t>
            </w:r>
          </w:p>
        </w:tc>
        <w:tc>
          <w:tcPr>
            <w:tcW w:w="12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7"/>
                <w:szCs w:val="17"/>
                <w:color w:val="auto"/>
                <w:w w:val="91"/>
              </w:rPr>
              <w:t>Securities</w:t>
            </w: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7"/>
                <w:szCs w:val="17"/>
                <w:color w:val="auto"/>
                <w:w w:val="95"/>
              </w:rPr>
              <w:t>Derivative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44"/>
        </w:trPr>
        <w:tc>
          <w:tcPr>
            <w:tcW w:w="4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7"/>
                <w:szCs w:val="17"/>
                <w:color w:val="auto"/>
                <w:w w:val="90"/>
              </w:rPr>
              <w:t>AFS</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7"/>
                <w:szCs w:val="17"/>
                <w:color w:val="auto"/>
                <w:w w:val="99"/>
              </w:rPr>
              <w:t>HTM (1)</w:t>
            </w: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7"/>
                <w:szCs w:val="17"/>
                <w:color w:val="auto"/>
                <w:w w:val="96"/>
              </w:rPr>
              <w:t>AFS</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7"/>
                <w:szCs w:val="17"/>
                <w:color w:val="auto"/>
                <w:w w:val="90"/>
              </w:rPr>
              <w:t>Instruments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color w:val="auto"/>
              </w:rPr>
              <w:t>Total</w:t>
            </w:r>
          </w:p>
        </w:tc>
      </w:tr>
      <w:tr>
        <w:trPr>
          <w:trHeight w:val="211"/>
        </w:trPr>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7"/>
                <w:szCs w:val="17"/>
                <w:color w:val="auto"/>
                <w:w w:val="91"/>
              </w:rPr>
              <w:t>(In thousands)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9"/>
        </w:trPr>
        <w:tc>
          <w:tcPr>
            <w:tcW w:w="4040" w:type="dxa"/>
            <w:vAlign w:val="bottom"/>
          </w:tcPr>
          <w:p>
            <w:pPr>
              <w:ind w:left="20"/>
              <w:spacing w:after="0"/>
              <w:rPr>
                <w:sz w:val="20"/>
                <w:szCs w:val="20"/>
                <w:color w:val="auto"/>
              </w:rPr>
            </w:pPr>
            <w:r>
              <w:rPr>
                <w:rFonts w:ascii="Arial" w:cs="Arial" w:eastAsia="Arial" w:hAnsi="Arial"/>
                <w:sz w:val="17"/>
                <w:szCs w:val="17"/>
                <w:color w:val="auto"/>
              </w:rPr>
              <w:t>For the three months ended September 30,</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2"/>
        </w:trPr>
        <w:tc>
          <w:tcPr>
            <w:tcW w:w="4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2023</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38"/>
        </w:trPr>
        <w:tc>
          <w:tcPr>
            <w:tcW w:w="4040" w:type="dxa"/>
            <w:vAlign w:val="bottom"/>
          </w:tcPr>
          <w:p>
            <w:pPr>
              <w:ind w:left="320"/>
              <w:spacing w:after="0"/>
              <w:rPr>
                <w:sz w:val="20"/>
                <w:szCs w:val="20"/>
                <w:color w:val="auto"/>
              </w:rPr>
            </w:pPr>
            <w:r>
              <w:rPr>
                <w:rFonts w:ascii="Arial" w:cs="Arial" w:eastAsia="Arial" w:hAnsi="Arial"/>
                <w:sz w:val="17"/>
                <w:szCs w:val="17"/>
                <w:color w:val="auto"/>
              </w:rPr>
              <w:t>Balances at beginning of period</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(57,695)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(16,811)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ind w:left="620"/>
              <w:spacing w:after="0"/>
              <w:rPr>
                <w:sz w:val="20"/>
                <w:szCs w:val="20"/>
                <w:color w:val="auto"/>
              </w:rPr>
            </w:pPr>
            <w:r>
              <w:rPr>
                <w:rFonts w:ascii="Arial" w:cs="Arial" w:eastAsia="Arial" w:hAnsi="Arial"/>
                <w:sz w:val="17"/>
                <w:szCs w:val="17"/>
                <w:color w:val="auto"/>
                <w:w w:val="96"/>
              </w:rPr>
              <w:t>(5,798)</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(206)</w:t>
            </w:r>
          </w:p>
        </w:tc>
        <w:tc>
          <w:tcPr>
            <w:tcW w:w="100" w:type="dxa"/>
            <w:vAlign w:val="bottom"/>
          </w:tcPr>
          <w:p>
            <w:pPr>
              <w:spacing w:after="0"/>
              <w:rPr>
                <w:sz w:val="20"/>
                <w:szCs w:val="20"/>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(80,510)</w:t>
            </w:r>
          </w:p>
        </w:tc>
      </w:tr>
      <w:tr>
        <w:trPr>
          <w:trHeight w:val="214"/>
        </w:trPr>
        <w:tc>
          <w:tcPr>
            <w:tcW w:w="40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Other comprehensive income (loss) before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2"/>
        </w:trPr>
        <w:tc>
          <w:tcPr>
            <w:tcW w:w="40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reclassifications</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(12,130)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(11,851)</w:t>
            </w:r>
          </w:p>
        </w:tc>
      </w:tr>
      <w:tr>
        <w:trPr>
          <w:trHeight w:val="238"/>
        </w:trPr>
        <w:tc>
          <w:tcPr>
            <w:tcW w:w="4040" w:type="dxa"/>
            <w:vAlign w:val="bottom"/>
          </w:tcPr>
          <w:p>
            <w:pPr>
              <w:ind w:left="480"/>
              <w:spacing w:after="0"/>
              <w:rPr>
                <w:sz w:val="20"/>
                <w:szCs w:val="20"/>
                <w:color w:val="auto"/>
              </w:rPr>
            </w:pPr>
            <w:r>
              <w:rPr>
                <w:rFonts w:ascii="Arial" w:cs="Arial" w:eastAsia="Arial" w:hAnsi="Arial"/>
                <w:sz w:val="17"/>
                <w:szCs w:val="17"/>
                <w:color w:val="auto"/>
              </w:rPr>
              <w:t>Amounts reclassified from AOCIL</w:t>
            </w:r>
          </w:p>
        </w:tc>
        <w:tc>
          <w:tcPr>
            <w:tcW w:w="1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24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194"/>
        </w:trPr>
        <w:tc>
          <w:tcPr>
            <w:tcW w:w="4040" w:type="dxa"/>
            <w:vAlign w:val="bottom"/>
            <w:tcBorders>
              <w:top w:val="single" w:sz="8" w:color="CCEEFF"/>
            </w:tcBorders>
            <w:shd w:val="clear" w:color="auto" w:fill="CCEEFF"/>
          </w:tcPr>
          <w:p>
            <w:pPr>
              <w:ind w:left="640"/>
              <w:spacing w:after="0" w:line="194" w:lineRule="exact"/>
              <w:rPr>
                <w:sz w:val="20"/>
                <w:szCs w:val="20"/>
                <w:color w:val="auto"/>
              </w:rPr>
            </w:pPr>
            <w:r>
              <w:rPr>
                <w:rFonts w:ascii="Arial" w:cs="Arial" w:eastAsia="Arial" w:hAnsi="Arial"/>
                <w:sz w:val="17"/>
                <w:szCs w:val="17"/>
                <w:color w:val="auto"/>
                <w:w w:val="94"/>
              </w:rPr>
              <w:t>Net current period other comprehensive income</w:t>
            </w: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r>
      <w:tr>
        <w:trPr>
          <w:trHeight w:val="232"/>
        </w:trPr>
        <w:tc>
          <w:tcPr>
            <w:tcW w:w="4040" w:type="dxa"/>
            <w:vAlign w:val="bottom"/>
            <w:shd w:val="clear" w:color="auto" w:fill="CCEEFF"/>
          </w:tcPr>
          <w:p>
            <w:pPr>
              <w:ind w:left="800"/>
              <w:spacing w:after="0"/>
              <w:rPr>
                <w:sz w:val="20"/>
                <w:szCs w:val="20"/>
                <w:color w:val="auto"/>
              </w:rPr>
            </w:pPr>
            <w:r>
              <w:rPr>
                <w:rFonts w:ascii="Arial" w:cs="Arial" w:eastAsia="Arial" w:hAnsi="Arial"/>
                <w:sz w:val="17"/>
                <w:szCs w:val="17"/>
                <w:color w:val="auto"/>
              </w:rPr>
              <w:t>(loss)</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(12,130)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(11,794)</w:t>
            </w:r>
          </w:p>
        </w:tc>
      </w:tr>
      <w:tr>
        <w:trPr>
          <w:trHeight w:val="231"/>
        </w:trPr>
        <w:tc>
          <w:tcPr>
            <w:tcW w:w="4040" w:type="dxa"/>
            <w:vAlign w:val="bottom"/>
          </w:tcPr>
          <w:p>
            <w:pPr>
              <w:ind w:left="320"/>
              <w:spacing w:after="0"/>
              <w:rPr>
                <w:sz w:val="20"/>
                <w:szCs w:val="20"/>
                <w:color w:val="auto"/>
              </w:rPr>
            </w:pPr>
            <w:r>
              <w:rPr>
                <w:rFonts w:ascii="Arial" w:cs="Arial" w:eastAsia="Arial" w:hAnsi="Arial"/>
                <w:sz w:val="17"/>
                <w:szCs w:val="17"/>
                <w:color w:val="auto"/>
              </w:rPr>
              <w:t>Balances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(69,825)</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(16,115)</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7"/>
                <w:szCs w:val="17"/>
                <w:color w:val="auto"/>
                <w:w w:val="96"/>
              </w:rPr>
              <w:t>(5,798)</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(566)</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(92,304)</w:t>
            </w: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3"/>
        </w:trPr>
        <w:tc>
          <w:tcPr>
            <w:tcW w:w="40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r>
      <w:tr>
        <w:trPr>
          <w:trHeight w:val="238"/>
        </w:trPr>
        <w:tc>
          <w:tcPr>
            <w:tcW w:w="4040" w:type="dxa"/>
            <w:vAlign w:val="bottom"/>
          </w:tcPr>
          <w:p>
            <w:pPr>
              <w:ind w:left="180"/>
              <w:spacing w:after="0"/>
              <w:rPr>
                <w:sz w:val="20"/>
                <w:szCs w:val="20"/>
                <w:color w:val="auto"/>
              </w:rPr>
            </w:pPr>
            <w:r>
              <w:rPr>
                <w:rFonts w:ascii="Arial" w:cs="Arial" w:eastAsia="Arial" w:hAnsi="Arial"/>
                <w:sz w:val="17"/>
                <w:szCs w:val="17"/>
                <w:color w:val="auto"/>
              </w:rPr>
              <w:t>2022</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2"/>
        </w:trPr>
        <w:tc>
          <w:tcPr>
            <w:tcW w:w="4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Balances at beginning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(59,335)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(19,870)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ind w:left="620"/>
              <w:spacing w:after="0"/>
              <w:rPr>
                <w:sz w:val="20"/>
                <w:szCs w:val="20"/>
                <w:color w:val="auto"/>
              </w:rPr>
            </w:pPr>
            <w:r>
              <w:rPr>
                <w:rFonts w:ascii="Arial" w:cs="Arial" w:eastAsia="Arial" w:hAnsi="Arial"/>
                <w:sz w:val="17"/>
                <w:szCs w:val="17"/>
                <w:color w:val="auto"/>
                <w:w w:val="96"/>
              </w:rPr>
              <w:t>(5,798)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(85,003)</w:t>
            </w:r>
          </w:p>
        </w:tc>
      </w:tr>
      <w:tr>
        <w:trPr>
          <w:trHeight w:val="238"/>
        </w:trPr>
        <w:tc>
          <w:tcPr>
            <w:tcW w:w="4040" w:type="dxa"/>
            <w:vAlign w:val="bottom"/>
          </w:tcPr>
          <w:p>
            <w:pPr>
              <w:ind w:left="480"/>
              <w:spacing w:after="0"/>
              <w:rPr>
                <w:sz w:val="20"/>
                <w:szCs w:val="20"/>
                <w:color w:val="auto"/>
              </w:rPr>
            </w:pPr>
            <w:r>
              <w:rPr>
                <w:rFonts w:ascii="Arial" w:cs="Arial" w:eastAsia="Arial" w:hAnsi="Arial"/>
                <w:sz w:val="17"/>
                <w:szCs w:val="17"/>
                <w:color w:val="auto"/>
                <w:w w:val="94"/>
              </w:rPr>
              <w:t>Other comprehensive loss before reclassifications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(12,895)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853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(12,042)</w:t>
            </w:r>
          </w:p>
        </w:tc>
      </w:tr>
      <w:tr>
        <w:trPr>
          <w:trHeight w:val="252"/>
        </w:trPr>
        <w:tc>
          <w:tcPr>
            <w:tcW w:w="40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Amounts reclassified from AOCIL</w:t>
            </w: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1"/>
        </w:trPr>
        <w:tc>
          <w:tcPr>
            <w:tcW w:w="404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Net current period other comprehensive loss</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(12,895)</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853</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(12,042)</w:t>
            </w:r>
          </w:p>
        </w:tc>
      </w:tr>
      <w:tr>
        <w:trPr>
          <w:trHeight w:val="258"/>
        </w:trPr>
        <w:tc>
          <w:tcPr>
            <w:tcW w:w="4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Balances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(72,230)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(19,017)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ind w:left="620"/>
              <w:spacing w:after="0"/>
              <w:rPr>
                <w:sz w:val="20"/>
                <w:szCs w:val="20"/>
                <w:color w:val="auto"/>
              </w:rPr>
            </w:pPr>
            <w:r>
              <w:rPr>
                <w:rFonts w:ascii="Arial" w:cs="Arial" w:eastAsia="Arial" w:hAnsi="Arial"/>
                <w:sz w:val="17"/>
                <w:szCs w:val="17"/>
                <w:color w:val="auto"/>
                <w:w w:val="96"/>
              </w:rPr>
              <w:t>(5,798)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(97,045)</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5"/>
        </w:trPr>
        <w:tc>
          <w:tcPr>
            <w:tcW w:w="4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 the nine months ended September 30,</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38"/>
        </w:trPr>
        <w:tc>
          <w:tcPr>
            <w:tcW w:w="4040" w:type="dxa"/>
            <w:vAlign w:val="bottom"/>
          </w:tcPr>
          <w:p>
            <w:pPr>
              <w:ind w:left="120"/>
              <w:spacing w:after="0"/>
              <w:rPr>
                <w:sz w:val="20"/>
                <w:szCs w:val="20"/>
                <w:color w:val="auto"/>
              </w:rPr>
            </w:pPr>
            <w:r>
              <w:rPr>
                <w:rFonts w:ascii="Arial" w:cs="Arial" w:eastAsia="Arial" w:hAnsi="Arial"/>
                <w:sz w:val="17"/>
                <w:szCs w:val="17"/>
                <w:color w:val="auto"/>
              </w:rPr>
              <w:t>2023</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2"/>
        </w:trPr>
        <w:tc>
          <w:tcPr>
            <w:tcW w:w="4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Balances at beginning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(68,742)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(18,223)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ind w:left="620"/>
              <w:spacing w:after="0"/>
              <w:rPr>
                <w:sz w:val="20"/>
                <w:szCs w:val="20"/>
                <w:color w:val="auto"/>
              </w:rPr>
            </w:pPr>
            <w:r>
              <w:rPr>
                <w:rFonts w:ascii="Arial" w:cs="Arial" w:eastAsia="Arial" w:hAnsi="Arial"/>
                <w:sz w:val="17"/>
                <w:szCs w:val="17"/>
                <w:color w:val="auto"/>
                <w:w w:val="96"/>
              </w:rPr>
              <w:t>(5,798)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(92,763)</w:t>
            </w:r>
          </w:p>
        </w:tc>
      </w:tr>
      <w:tr>
        <w:trPr>
          <w:trHeight w:val="207"/>
        </w:trPr>
        <w:tc>
          <w:tcPr>
            <w:tcW w:w="4040" w:type="dxa"/>
            <w:vAlign w:val="bottom"/>
          </w:tcPr>
          <w:p>
            <w:pPr>
              <w:ind w:left="480"/>
              <w:spacing w:after="0"/>
              <w:rPr>
                <w:sz w:val="20"/>
                <w:szCs w:val="20"/>
                <w:color w:val="auto"/>
              </w:rPr>
            </w:pPr>
            <w:r>
              <w:rPr>
                <w:rFonts w:ascii="Arial" w:cs="Arial" w:eastAsia="Arial" w:hAnsi="Arial"/>
                <w:sz w:val="17"/>
                <w:szCs w:val="17"/>
                <w:color w:val="auto"/>
              </w:rPr>
              <w:t>Other comprehensive income (loss) before</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4"/>
        </w:trPr>
        <w:tc>
          <w:tcPr>
            <w:tcW w:w="4040" w:type="dxa"/>
            <w:vAlign w:val="bottom"/>
          </w:tcPr>
          <w:p>
            <w:pPr>
              <w:ind w:left="640"/>
              <w:spacing w:after="0"/>
              <w:rPr>
                <w:sz w:val="20"/>
                <w:szCs w:val="20"/>
                <w:color w:val="auto"/>
              </w:rPr>
            </w:pPr>
            <w:r>
              <w:rPr>
                <w:rFonts w:ascii="Arial" w:cs="Arial" w:eastAsia="Arial" w:hAnsi="Arial"/>
                <w:sz w:val="17"/>
                <w:szCs w:val="17"/>
                <w:color w:val="auto"/>
              </w:rPr>
              <w:t>reclassifications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2,108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107</w:t>
            </w:r>
          </w:p>
        </w:tc>
      </w:tr>
      <w:tr>
        <w:trPr>
          <w:trHeight w:val="252"/>
        </w:trPr>
        <w:tc>
          <w:tcPr>
            <w:tcW w:w="40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Amounts reclassified from AOCIL</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w:t>
            </w:r>
          </w:p>
        </w:tc>
      </w:tr>
      <w:tr>
        <w:trPr>
          <w:trHeight w:val="187"/>
        </w:trPr>
        <w:tc>
          <w:tcPr>
            <w:tcW w:w="4040" w:type="dxa"/>
            <w:vAlign w:val="bottom"/>
          </w:tcPr>
          <w:p>
            <w:pPr>
              <w:ind w:left="480"/>
              <w:spacing w:after="0" w:line="187" w:lineRule="exact"/>
              <w:rPr>
                <w:sz w:val="20"/>
                <w:szCs w:val="20"/>
                <w:color w:val="auto"/>
              </w:rPr>
            </w:pPr>
            <w:r>
              <w:rPr>
                <w:rFonts w:ascii="Arial" w:cs="Arial" w:eastAsia="Arial" w:hAnsi="Arial"/>
                <w:sz w:val="17"/>
                <w:szCs w:val="17"/>
                <w:color w:val="auto"/>
                <w:w w:val="98"/>
              </w:rPr>
              <w:t>Net current period other comprehensive income</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r>
      <w:tr>
        <w:trPr>
          <w:trHeight w:val="224"/>
        </w:trPr>
        <w:tc>
          <w:tcPr>
            <w:tcW w:w="4040" w:type="dxa"/>
            <w:vAlign w:val="bottom"/>
          </w:tcPr>
          <w:p>
            <w:pPr>
              <w:ind w:left="640"/>
              <w:spacing w:after="0"/>
              <w:rPr>
                <w:sz w:val="20"/>
                <w:szCs w:val="20"/>
                <w:color w:val="auto"/>
              </w:rPr>
            </w:pPr>
            <w:r>
              <w:rPr>
                <w:rFonts w:ascii="Arial" w:cs="Arial" w:eastAsia="Arial" w:hAnsi="Arial"/>
                <w:sz w:val="17"/>
                <w:szCs w:val="17"/>
                <w:color w:val="auto"/>
              </w:rPr>
              <w:t>(loss)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2,108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459</w:t>
            </w:r>
          </w:p>
        </w:tc>
      </w:tr>
      <w:tr>
        <w:trPr>
          <w:trHeight w:val="263"/>
        </w:trPr>
        <w:tc>
          <w:tcPr>
            <w:tcW w:w="40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Balances at end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(69,825)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(16,115)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7"/>
                <w:szCs w:val="17"/>
                <w:color w:val="auto"/>
                <w:w w:val="96"/>
              </w:rPr>
              <w:t>(5,798)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(92,304)</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43"/>
        </w:trPr>
        <w:tc>
          <w:tcPr>
            <w:tcW w:w="4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45"/>
        </w:trPr>
        <w:tc>
          <w:tcPr>
            <w:tcW w:w="40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2022</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38"/>
        </w:trPr>
        <w:tc>
          <w:tcPr>
            <w:tcW w:w="4040" w:type="dxa"/>
            <w:vAlign w:val="bottom"/>
          </w:tcPr>
          <w:p>
            <w:pPr>
              <w:ind w:left="320"/>
              <w:spacing w:after="0"/>
              <w:rPr>
                <w:sz w:val="20"/>
                <w:szCs w:val="20"/>
                <w:color w:val="auto"/>
              </w:rPr>
            </w:pPr>
            <w:r>
              <w:rPr>
                <w:rFonts w:ascii="Arial" w:cs="Arial" w:eastAsia="Arial" w:hAnsi="Arial"/>
                <w:sz w:val="17"/>
                <w:szCs w:val="17"/>
                <w:color w:val="auto"/>
              </w:rPr>
              <w:t>Balances at beginning of period</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6,299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ind w:left="620"/>
              <w:spacing w:after="0"/>
              <w:rPr>
                <w:sz w:val="20"/>
                <w:szCs w:val="20"/>
                <w:color w:val="auto"/>
              </w:rPr>
            </w:pPr>
            <w:r>
              <w:rPr>
                <w:rFonts w:ascii="Arial" w:cs="Arial" w:eastAsia="Arial" w:hAnsi="Arial"/>
                <w:sz w:val="17"/>
                <w:szCs w:val="17"/>
                <w:color w:val="auto"/>
                <w:w w:val="96"/>
              </w:rPr>
              <w:t>(5,798)</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501</w:t>
            </w:r>
          </w:p>
        </w:tc>
      </w:tr>
      <w:tr>
        <w:trPr>
          <w:trHeight w:val="252"/>
        </w:trPr>
        <w:tc>
          <w:tcPr>
            <w:tcW w:w="4040" w:type="dxa"/>
            <w:vAlign w:val="bottom"/>
            <w:shd w:val="clear" w:color="auto" w:fill="CCEEFF"/>
          </w:tcPr>
          <w:p>
            <w:pPr>
              <w:ind w:left="480"/>
              <w:spacing w:after="0"/>
              <w:rPr>
                <w:sz w:val="20"/>
                <w:szCs w:val="20"/>
                <w:color w:val="auto"/>
              </w:rPr>
            </w:pPr>
            <w:r>
              <w:rPr>
                <w:rFonts w:ascii="Arial" w:cs="Arial" w:eastAsia="Arial" w:hAnsi="Arial"/>
                <w:sz w:val="17"/>
                <w:szCs w:val="17"/>
                <w:color w:val="auto"/>
                <w:w w:val="94"/>
              </w:rPr>
              <w:t>Other comprehensive loss before reclassifications</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(78,312)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(19,017)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(97,329)</w:t>
            </w:r>
          </w:p>
        </w:tc>
      </w:tr>
      <w:tr>
        <w:trPr>
          <w:trHeight w:val="238"/>
        </w:trPr>
        <w:tc>
          <w:tcPr>
            <w:tcW w:w="4040" w:type="dxa"/>
            <w:vAlign w:val="bottom"/>
            <w:tcBorders>
              <w:bottom w:val="single" w:sz="8" w:color="CCEEFF"/>
            </w:tcBorders>
          </w:tcPr>
          <w:p>
            <w:pPr>
              <w:ind w:left="480"/>
              <w:spacing w:after="0"/>
              <w:rPr>
                <w:sz w:val="20"/>
                <w:szCs w:val="20"/>
                <w:color w:val="auto"/>
              </w:rPr>
            </w:pPr>
            <w:r>
              <w:rPr>
                <w:rFonts w:ascii="Arial" w:cs="Arial" w:eastAsia="Arial" w:hAnsi="Arial"/>
                <w:sz w:val="17"/>
                <w:szCs w:val="17"/>
                <w:color w:val="auto"/>
              </w:rPr>
              <w:t>Amounts reclassified from AOCIL</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w:t>
            </w:r>
          </w:p>
        </w:tc>
      </w:tr>
      <w:tr>
        <w:trPr>
          <w:trHeight w:val="245"/>
        </w:trPr>
        <w:tc>
          <w:tcPr>
            <w:tcW w:w="40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Net current period other comprehensive loss</w:t>
            </w: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(78,529)</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(19,017)</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(97,546)</w:t>
            </w:r>
          </w:p>
        </w:tc>
      </w:tr>
      <w:tr>
        <w:trPr>
          <w:trHeight w:val="231"/>
        </w:trPr>
        <w:tc>
          <w:tcPr>
            <w:tcW w:w="4040" w:type="dxa"/>
            <w:vAlign w:val="bottom"/>
          </w:tcPr>
          <w:p>
            <w:pPr>
              <w:ind w:left="320"/>
              <w:spacing w:after="0"/>
              <w:rPr>
                <w:sz w:val="20"/>
                <w:szCs w:val="20"/>
                <w:color w:val="auto"/>
              </w:rPr>
            </w:pPr>
            <w:r>
              <w:rPr>
                <w:rFonts w:ascii="Arial" w:cs="Arial" w:eastAsia="Arial" w:hAnsi="Arial"/>
                <w:sz w:val="17"/>
                <w:szCs w:val="17"/>
                <w:color w:val="auto"/>
              </w:rPr>
              <w:t>Balances at end of period</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(72,230)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(19,017)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ind w:left="620"/>
              <w:spacing w:after="0"/>
              <w:rPr>
                <w:sz w:val="20"/>
                <w:szCs w:val="20"/>
                <w:color w:val="auto"/>
              </w:rPr>
            </w:pPr>
            <w:r>
              <w:rPr>
                <w:rFonts w:ascii="Arial" w:cs="Arial" w:eastAsia="Arial" w:hAnsi="Arial"/>
                <w:sz w:val="17"/>
                <w:szCs w:val="17"/>
                <w:color w:val="auto"/>
                <w:w w:val="96"/>
              </w:rPr>
              <w:t>(5,798)</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(97,045)</w:t>
            </w:r>
          </w:p>
        </w:tc>
      </w:tr>
      <w:tr>
        <w:trPr>
          <w:trHeight w:val="26"/>
        </w:trPr>
        <w:tc>
          <w:tcPr>
            <w:tcW w:w="404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r>
    </w:tbl>
    <w:p>
      <w:pPr>
        <w:spacing w:after="0" w:line="245" w:lineRule="exact"/>
        <w:rPr>
          <w:sz w:val="20"/>
          <w:szCs w:val="20"/>
          <w:color w:val="auto"/>
        </w:rPr>
      </w:pPr>
    </w:p>
    <w:p>
      <w:pPr>
        <w:ind w:left="300" w:hanging="297"/>
        <w:spacing w:after="0"/>
        <w:tabs>
          <w:tab w:leader="none" w:pos="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Represents the remaining unrealized loss to be accreted on securities that were transferred from AFS to HTM on April 1, 2022.</w:t>
      </w:r>
    </w:p>
    <w:p>
      <w:pPr>
        <w:spacing w:after="0" w:line="200" w:lineRule="exact"/>
        <w:rPr>
          <w:rFonts w:ascii="Arial" w:cs="Arial" w:eastAsia="Arial" w:hAnsi="Arial"/>
          <w:sz w:val="17"/>
          <w:szCs w:val="17"/>
          <w:color w:val="auto"/>
        </w:rPr>
      </w:pPr>
    </w:p>
    <w:p>
      <w:pPr>
        <w:spacing w:after="0" w:line="378"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760"/>
          </w:cols>
          <w:pgMar w:left="320" w:top="127" w:right="819" w:bottom="1440" w:gutter="0" w:footer="0" w:header="0"/>
        </w:sectPr>
      </w:pPr>
    </w:p>
    <w:bookmarkStart w:id="56" w:name="page57"/>
    <w:bookmarkEnd w:id="56"/>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disproportionate tax effects from securities AFS arose due to tax effects of other comprehensive income (“OCI”) in the presence of a valuation allowance against our deferred tax assets and a pretax loss from operations. Generally, the amount of income tax expense or benefit allocated to operations is determined without regard to the tax effects of other categories of income or loss, such as OCI. However, an exception to the general rule is provided when, in the presence of a valuation allowance against deferred tax assets, there is a pretax loss from operations and pretax income from other categories in the current period. In such instances, income from other categories must offset the current loss from operations, the tax benefit of such offset being reflected in operations. Release of material disproportionate tax effects from other comprehensive income to earnings is done by the portfolio method whereby the effects will remain in AOCIL as long as we carry a more than inconsequential portfolio of securities AFS.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A summary of reclassifications out of each component of AOCIL for the three months ended September 30 follows:</w:t>
      </w:r>
    </w:p>
    <w:p>
      <w:pPr>
        <w:sectPr>
          <w:pgSz w:w="11900" w:h="16838" w:orient="portrait"/>
          <w:cols w:equalWidth="0" w:num="1">
            <w:col w:w="11240"/>
          </w:cols>
          <w:pgMar w:left="320" w:top="127" w:right="339" w:bottom="1440" w:gutter="0" w:footer="0" w:header="0"/>
        </w:sect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4"/>
              <w:spacing w:after="0"/>
              <w:rPr>
                <w:sz w:val="20"/>
                <w:szCs w:val="20"/>
                <w:color w:val="auto"/>
              </w:rPr>
            </w:pPr>
            <w:r>
              <w:rPr>
                <w:rFonts w:ascii="Arial" w:cs="Arial" w:eastAsia="Arial" w:hAnsi="Arial"/>
                <w:sz w:val="17"/>
                <w:szCs w:val="17"/>
                <w:color w:val="auto"/>
                <w:w w:val="95"/>
              </w:rPr>
              <w:t>Amount</w:t>
            </w:r>
          </w:p>
        </w:tc>
        <w:tc>
          <w:tcPr>
            <w:tcW w:w="0" w:type="dxa"/>
            <w:vAlign w:val="bottom"/>
          </w:tcPr>
          <w:p>
            <w:pPr>
              <w:spacing w:after="0"/>
              <w:rPr>
                <w:sz w:val="1"/>
                <w:szCs w:val="1"/>
                <w:color w:val="auto"/>
              </w:rPr>
            </w:pPr>
          </w:p>
        </w:tc>
      </w:tr>
      <w:tr>
        <w:trPr>
          <w:trHeight w:val="206"/>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4"/>
              <w:spacing w:after="0"/>
              <w:rPr>
                <w:sz w:val="20"/>
                <w:szCs w:val="20"/>
                <w:color w:val="auto"/>
              </w:rPr>
            </w:pPr>
            <w:r>
              <w:rPr>
                <w:rFonts w:ascii="Arial" w:cs="Arial" w:eastAsia="Arial" w:hAnsi="Arial"/>
                <w:sz w:val="17"/>
                <w:szCs w:val="17"/>
                <w:color w:val="auto"/>
                <w:w w:val="91"/>
              </w:rPr>
              <w:t>Reclassified</w:t>
            </w:r>
          </w:p>
        </w:tc>
        <w:tc>
          <w:tcPr>
            <w:tcW w:w="0" w:type="dxa"/>
            <w:vAlign w:val="bottom"/>
          </w:tcPr>
          <w:p>
            <w:pPr>
              <w:spacing w:after="0"/>
              <w:rPr>
                <w:sz w:val="1"/>
                <w:szCs w:val="1"/>
                <w:color w:val="auto"/>
              </w:rPr>
            </w:pPr>
          </w:p>
        </w:tc>
      </w:tr>
      <w:tr>
        <w:trPr>
          <w:trHeight w:val="206"/>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74"/>
              <w:spacing w:after="0"/>
              <w:rPr>
                <w:sz w:val="20"/>
                <w:szCs w:val="20"/>
                <w:color w:val="auto"/>
              </w:rPr>
            </w:pPr>
            <w:r>
              <w:rPr>
                <w:rFonts w:ascii="Arial" w:cs="Arial" w:eastAsia="Arial" w:hAnsi="Arial"/>
                <w:sz w:val="17"/>
                <w:szCs w:val="17"/>
                <w:color w:val="auto"/>
                <w:w w:val="95"/>
              </w:rPr>
              <w:t>From</w:t>
            </w:r>
          </w:p>
        </w:tc>
        <w:tc>
          <w:tcPr>
            <w:tcW w:w="0" w:type="dxa"/>
            <w:vAlign w:val="bottom"/>
          </w:tcPr>
          <w:p>
            <w:pPr>
              <w:spacing w:after="0"/>
              <w:rPr>
                <w:sz w:val="1"/>
                <w:szCs w:val="1"/>
                <w:color w:val="auto"/>
              </w:rPr>
            </w:pPr>
          </w:p>
        </w:tc>
      </w:tr>
      <w:tr>
        <w:trPr>
          <w:trHeight w:val="237"/>
        </w:trPr>
        <w:tc>
          <w:tcPr>
            <w:tcW w:w="5040" w:type="dxa"/>
            <w:vAlign w:val="bottom"/>
            <w:gridSpan w:val="3"/>
          </w:tcPr>
          <w:p>
            <w:pPr>
              <w:jc w:val="right"/>
              <w:ind w:right="1934"/>
              <w:spacing w:after="0"/>
              <w:rPr>
                <w:sz w:val="20"/>
                <w:szCs w:val="20"/>
                <w:color w:val="auto"/>
              </w:rPr>
            </w:pPr>
            <w:r>
              <w:rPr>
                <w:rFonts w:ascii="Arial" w:cs="Arial" w:eastAsia="Arial" w:hAnsi="Arial"/>
                <w:sz w:val="17"/>
                <w:szCs w:val="17"/>
                <w:color w:val="auto"/>
              </w:rPr>
              <w:t>AOCIL Component</w:t>
            </w:r>
          </w:p>
        </w:tc>
        <w:tc>
          <w:tcPr>
            <w:tcW w:w="1300" w:type="dxa"/>
            <w:vAlign w:val="bottom"/>
          </w:tcPr>
          <w:p>
            <w:pPr>
              <w:jc w:val="center"/>
              <w:ind w:right="94"/>
              <w:spacing w:after="0"/>
              <w:rPr>
                <w:sz w:val="20"/>
                <w:szCs w:val="20"/>
                <w:color w:val="auto"/>
              </w:rPr>
            </w:pPr>
            <w:r>
              <w:rPr>
                <w:rFonts w:ascii="Arial" w:cs="Arial" w:eastAsia="Arial" w:hAnsi="Arial"/>
                <w:sz w:val="17"/>
                <w:szCs w:val="17"/>
                <w:color w:val="auto"/>
              </w:rPr>
              <w:t>AOCIL</w:t>
            </w:r>
          </w:p>
        </w:tc>
        <w:tc>
          <w:tcPr>
            <w:tcW w:w="0" w:type="dxa"/>
            <w:vAlign w:val="bottom"/>
          </w:tcPr>
          <w:p>
            <w:pPr>
              <w:spacing w:after="0"/>
              <w:rPr>
                <w:sz w:val="1"/>
                <w:szCs w:val="1"/>
                <w:color w:val="auto"/>
              </w:rPr>
            </w:pPr>
          </w:p>
        </w:tc>
      </w:tr>
      <w:tr>
        <w:trPr>
          <w:trHeight w:val="218"/>
        </w:trPr>
        <w:tc>
          <w:tcPr>
            <w:tcW w:w="4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74"/>
              <w:spacing w:after="0"/>
              <w:rPr>
                <w:sz w:val="20"/>
                <w:szCs w:val="20"/>
                <w:color w:val="auto"/>
              </w:rPr>
            </w:pPr>
            <w:r>
              <w:rPr>
                <w:rFonts w:ascii="Arial" w:cs="Arial" w:eastAsia="Arial" w:hAnsi="Arial"/>
                <w:sz w:val="17"/>
                <w:szCs w:val="17"/>
                <w:color w:val="auto"/>
                <w:w w:val="90"/>
              </w:rPr>
              <w:t>(In thousands)</w:t>
            </w:r>
          </w:p>
        </w:tc>
        <w:tc>
          <w:tcPr>
            <w:tcW w:w="0" w:type="dxa"/>
            <w:vAlign w:val="bottom"/>
          </w:tcPr>
          <w:p>
            <w:pPr>
              <w:spacing w:after="0"/>
              <w:rPr>
                <w:sz w:val="1"/>
                <w:szCs w:val="1"/>
                <w:color w:val="auto"/>
              </w:rPr>
            </w:pPr>
          </w:p>
        </w:tc>
      </w:tr>
      <w:tr>
        <w:trPr>
          <w:trHeight w:val="232"/>
        </w:trPr>
        <w:tc>
          <w:tcPr>
            <w:tcW w:w="4780" w:type="dxa"/>
            <w:vAlign w:val="bottom"/>
          </w:tcPr>
          <w:p>
            <w:pPr>
              <w:jc w:val="right"/>
              <w:ind w:right="4334"/>
              <w:spacing w:after="0"/>
              <w:rPr>
                <w:sz w:val="20"/>
                <w:szCs w:val="20"/>
                <w:color w:val="auto"/>
              </w:rPr>
            </w:pPr>
            <w:r>
              <w:rPr>
                <w:rFonts w:ascii="Arial" w:cs="Arial" w:eastAsia="Arial" w:hAnsi="Arial"/>
                <w:sz w:val="17"/>
                <w:szCs w:val="17"/>
                <w:color w:val="auto"/>
                <w:w w:val="89"/>
              </w:rPr>
              <w:t>2023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040" w:type="dxa"/>
            <w:vAlign w:val="bottom"/>
            <w:gridSpan w:val="3"/>
          </w:tcPr>
          <w:p>
            <w:pPr>
              <w:ind w:left="160"/>
              <w:spacing w:after="0"/>
              <w:rPr>
                <w:sz w:val="20"/>
                <w:szCs w:val="20"/>
                <w:color w:val="auto"/>
              </w:rPr>
            </w:pPr>
            <w:r>
              <w:rPr>
                <w:rFonts w:ascii="Arial" w:cs="Arial" w:eastAsia="Arial" w:hAnsi="Arial"/>
                <w:sz w:val="17"/>
                <w:szCs w:val="17"/>
                <w:color w:val="auto"/>
              </w:rPr>
              <w:t>Unrealized gains (losses) on securities available for sale</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50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center"/>
              <w:ind w:left="9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4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left="9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4860" w:type="dxa"/>
            <w:vAlign w:val="bottom"/>
            <w:gridSpan w:val="2"/>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center"/>
              <w:ind w:left="9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5"/>
        </w:trPr>
        <w:tc>
          <w:tcPr>
            <w:tcW w:w="5040" w:type="dxa"/>
            <w:vAlign w:val="bottom"/>
            <w:gridSpan w:val="3"/>
          </w:tcPr>
          <w:p>
            <w:pPr>
              <w:ind w:left="160"/>
              <w:spacing w:after="0"/>
              <w:rPr>
                <w:sz w:val="20"/>
                <w:szCs w:val="20"/>
                <w:color w:val="auto"/>
              </w:rPr>
            </w:pPr>
            <w:r>
              <w:rPr>
                <w:rFonts w:ascii="Arial" w:cs="Arial" w:eastAsia="Arial" w:hAnsi="Arial"/>
                <w:sz w:val="17"/>
                <w:szCs w:val="17"/>
                <w:color w:val="auto"/>
              </w:rPr>
              <w:t>Unrealized losses on derivative instruments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center"/>
              <w:ind w:left="914"/>
              <w:spacing w:after="0"/>
              <w:rPr>
                <w:sz w:val="20"/>
                <w:szCs w:val="20"/>
                <w:color w:val="auto"/>
              </w:rPr>
            </w:pPr>
            <w:r>
              <w:rPr>
                <w:rFonts w:ascii="Arial" w:cs="Arial" w:eastAsia="Arial" w:hAnsi="Arial"/>
                <w:sz w:val="17"/>
                <w:szCs w:val="17"/>
                <w:color w:val="auto"/>
                <w:w w:val="94"/>
              </w:rPr>
              <w:t>72</w:t>
            </w:r>
          </w:p>
        </w:tc>
        <w:tc>
          <w:tcPr>
            <w:tcW w:w="0" w:type="dxa"/>
            <w:vAlign w:val="bottom"/>
          </w:tcPr>
          <w:p>
            <w:pPr>
              <w:spacing w:after="0"/>
              <w:rPr>
                <w:sz w:val="1"/>
                <w:szCs w:val="1"/>
                <w:color w:val="auto"/>
              </w:rPr>
            </w:pPr>
          </w:p>
        </w:tc>
      </w:tr>
      <w:tr>
        <w:trPr>
          <w:trHeight w:val="252"/>
        </w:trPr>
        <w:tc>
          <w:tcPr>
            <w:tcW w:w="4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left="914"/>
              <w:spacing w:after="0"/>
              <w:rPr>
                <w:sz w:val="20"/>
                <w:szCs w:val="20"/>
                <w:color w:val="auto"/>
              </w:rPr>
            </w:pPr>
            <w:r>
              <w:rPr>
                <w:rFonts w:ascii="Arial" w:cs="Arial" w:eastAsia="Arial" w:hAnsi="Arial"/>
                <w:sz w:val="17"/>
                <w:szCs w:val="17"/>
                <w:color w:val="auto"/>
                <w:w w:val="94"/>
              </w:rPr>
              <w:t>15</w:t>
            </w:r>
          </w:p>
        </w:tc>
        <w:tc>
          <w:tcPr>
            <w:tcW w:w="0" w:type="dxa"/>
            <w:vAlign w:val="bottom"/>
          </w:tcPr>
          <w:p>
            <w:pPr>
              <w:spacing w:after="0"/>
              <w:rPr>
                <w:sz w:val="1"/>
                <w:szCs w:val="1"/>
                <w:color w:val="auto"/>
              </w:rPr>
            </w:pPr>
          </w:p>
        </w:tc>
      </w:tr>
      <w:tr>
        <w:trPr>
          <w:trHeight w:val="238"/>
        </w:trPr>
        <w:tc>
          <w:tcPr>
            <w:tcW w:w="50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center"/>
              <w:ind w:left="914"/>
              <w:spacing w:after="0"/>
              <w:rPr>
                <w:sz w:val="20"/>
                <w:szCs w:val="20"/>
                <w:color w:val="auto"/>
              </w:rPr>
            </w:pPr>
            <w:r>
              <w:rPr>
                <w:rFonts w:ascii="Arial" w:cs="Arial" w:eastAsia="Arial" w:hAnsi="Arial"/>
                <w:sz w:val="17"/>
                <w:szCs w:val="17"/>
                <w:color w:val="auto"/>
                <w:w w:val="94"/>
              </w:rPr>
              <w:t>57</w:t>
            </w:r>
          </w:p>
        </w:tc>
        <w:tc>
          <w:tcPr>
            <w:tcW w:w="0" w:type="dxa"/>
            <w:vAlign w:val="bottom"/>
          </w:tcPr>
          <w:p>
            <w:pPr>
              <w:spacing w:after="0"/>
              <w:rPr>
                <w:sz w:val="1"/>
                <w:szCs w:val="1"/>
                <w:color w:val="auto"/>
              </w:rPr>
            </w:pPr>
          </w:p>
        </w:tc>
      </w:tr>
      <w:tr>
        <w:trPr>
          <w:trHeight w:val="26"/>
        </w:trPr>
        <w:tc>
          <w:tcPr>
            <w:tcW w:w="4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0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center"/>
              <w:ind w:left="894"/>
              <w:spacing w:after="0"/>
              <w:rPr>
                <w:sz w:val="20"/>
                <w:szCs w:val="20"/>
                <w:color w:val="auto"/>
              </w:rPr>
            </w:pPr>
            <w:r>
              <w:rPr>
                <w:rFonts w:ascii="Arial" w:cs="Arial" w:eastAsia="Arial" w:hAnsi="Arial"/>
                <w:sz w:val="17"/>
                <w:szCs w:val="17"/>
                <w:color w:val="auto"/>
                <w:w w:val="92"/>
              </w:rPr>
              <w:t>(57)</w:t>
            </w:r>
          </w:p>
        </w:tc>
        <w:tc>
          <w:tcPr>
            <w:tcW w:w="0" w:type="dxa"/>
            <w:vAlign w:val="bottom"/>
          </w:tcPr>
          <w:p>
            <w:pPr>
              <w:spacing w:after="0"/>
              <w:rPr>
                <w:sz w:val="1"/>
                <w:szCs w:val="1"/>
                <w:color w:val="auto"/>
              </w:rPr>
            </w:pPr>
          </w:p>
        </w:tc>
      </w:tr>
      <w:tr>
        <w:trPr>
          <w:trHeight w:val="26"/>
        </w:trPr>
        <w:tc>
          <w:tcPr>
            <w:tcW w:w="4780" w:type="dxa"/>
            <w:vAlign w:val="bottom"/>
            <w:vMerge w:val="restart"/>
          </w:tcPr>
          <w:p>
            <w:pPr>
              <w:jc w:val="right"/>
              <w:ind w:right="4334"/>
              <w:spacing w:after="0"/>
              <w:rPr>
                <w:sz w:val="20"/>
                <w:szCs w:val="20"/>
                <w:color w:val="auto"/>
              </w:rPr>
            </w:pPr>
            <w:r>
              <w:rPr>
                <w:rFonts w:ascii="Arial" w:cs="Arial" w:eastAsia="Arial" w:hAnsi="Arial"/>
                <w:sz w:val="17"/>
                <w:szCs w:val="17"/>
                <w:color w:val="auto"/>
                <w:w w:val="89"/>
              </w:rPr>
              <w:t>2022</w:t>
            </w:r>
          </w:p>
        </w:tc>
        <w:tc>
          <w:tcPr>
            <w:tcW w:w="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5"/>
        </w:trPr>
        <w:tc>
          <w:tcPr>
            <w:tcW w:w="47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040" w:type="dxa"/>
            <w:vAlign w:val="bottom"/>
            <w:gridSpan w:val="3"/>
          </w:tcPr>
          <w:p>
            <w:pPr>
              <w:ind w:left="160"/>
              <w:spacing w:after="0"/>
              <w:rPr>
                <w:sz w:val="20"/>
                <w:szCs w:val="20"/>
                <w:color w:val="auto"/>
              </w:rPr>
            </w:pPr>
            <w:r>
              <w:rPr>
                <w:rFonts w:ascii="Arial" w:cs="Arial" w:eastAsia="Arial" w:hAnsi="Arial"/>
                <w:sz w:val="17"/>
                <w:szCs w:val="17"/>
                <w:color w:val="auto"/>
              </w:rPr>
              <w:t>Unrealized gains (losses) on securities available for sale</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50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center"/>
              <w:ind w:left="9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4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left="9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50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center"/>
              <w:ind w:left="9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-2807335</wp:posOffset>
            </wp:positionV>
            <wp:extent cx="7122160" cy="163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22160" cy="163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-2487930</wp:posOffset>
            </wp:positionV>
            <wp:extent cx="7122160" cy="1555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22160" cy="155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-2152650</wp:posOffset>
            </wp:positionV>
            <wp:extent cx="7122160" cy="163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22160" cy="163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-1824990</wp:posOffset>
            </wp:positionV>
            <wp:extent cx="7122160" cy="1555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22160" cy="155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-1513840</wp:posOffset>
            </wp:positionV>
            <wp:extent cx="7122160" cy="1803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22160" cy="1803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-1170305</wp:posOffset>
            </wp:positionV>
            <wp:extent cx="7122160" cy="1803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22160" cy="1803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-826135</wp:posOffset>
            </wp:positionV>
            <wp:extent cx="7122160" cy="1555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22160" cy="155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-506730</wp:posOffset>
            </wp:positionV>
            <wp:extent cx="7122160" cy="1555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22160" cy="155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-195580</wp:posOffset>
            </wp:positionV>
            <wp:extent cx="7122160" cy="1803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2216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Affected Line Item in Condensed</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38735</wp:posOffset>
            </wp:positionV>
            <wp:extent cx="30372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03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1440"/>
        <w:spacing w:after="0" w:line="324" w:lineRule="auto"/>
        <w:rPr>
          <w:sz w:val="20"/>
          <w:szCs w:val="20"/>
          <w:color w:val="auto"/>
        </w:rPr>
      </w:pPr>
      <w:r>
        <w:rPr>
          <w:rFonts w:ascii="Arial" w:cs="Arial" w:eastAsia="Arial" w:hAnsi="Arial"/>
          <w:sz w:val="17"/>
          <w:szCs w:val="17"/>
          <w:color w:val="auto"/>
        </w:rPr>
        <w:t>Net gains (losses) on securities available for sale Income tax expense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Reclassifications, net of tax</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Income tax expense</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Reclassifications, net of tax</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color w:val="auto"/>
        </w:rPr>
        <w:t>Total reclassifications for the period, net of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440"/>
        <w:spacing w:after="0" w:line="324" w:lineRule="auto"/>
        <w:rPr>
          <w:sz w:val="20"/>
          <w:szCs w:val="20"/>
          <w:color w:val="auto"/>
        </w:rPr>
      </w:pPr>
      <w:r>
        <w:rPr>
          <w:rFonts w:ascii="Arial" w:cs="Arial" w:eastAsia="Arial" w:hAnsi="Arial"/>
          <w:sz w:val="17"/>
          <w:szCs w:val="17"/>
          <w:color w:val="auto"/>
        </w:rPr>
        <w:t>Net gains (losses) on securities available for sale Income tax expense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Reclassifications, net of tax</w:t>
      </w:r>
    </w:p>
    <w:p>
      <w:pPr>
        <w:spacing w:after="0" w:line="261" w:lineRule="exact"/>
        <w:rPr>
          <w:sz w:val="20"/>
          <w:szCs w:val="20"/>
          <w:color w:val="auto"/>
        </w:rPr>
      </w:pPr>
    </w:p>
    <w:p>
      <w:pPr>
        <w:sectPr>
          <w:pgSz w:w="11900" w:h="16838" w:orient="portrait"/>
          <w:cols w:equalWidth="0" w:num="2">
            <w:col w:w="6340" w:space="120"/>
            <w:col w:w="4780"/>
          </w:cols>
          <w:pgMar w:left="320" w:top="127" w:right="339" w:bottom="1440" w:gutter="0" w:footer="0" w:header="0"/>
          <w:type w:val="continuous"/>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NOTES TO INTERIM CONDENSED CONSOLIDATED FINANCIAL STATEMENTS (continued)</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summary of reclassifications out of each component of AOCIL for the nine months ended September 30 follows:</w:t>
      </w:r>
    </w:p>
    <w:p>
      <w:pPr>
        <w:sectPr>
          <w:pgSz w:w="11900" w:h="16838" w:orient="portrait"/>
          <w:cols w:equalWidth="0" w:num="1">
            <w:col w:w="11240"/>
          </w:cols>
          <w:pgMar w:left="320" w:top="127" w:right="339" w:bottom="1440" w:gutter="0" w:footer="0" w:header="0"/>
        </w:sect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4"/>
              <w:spacing w:after="0"/>
              <w:rPr>
                <w:sz w:val="20"/>
                <w:szCs w:val="20"/>
                <w:color w:val="auto"/>
              </w:rPr>
            </w:pPr>
            <w:r>
              <w:rPr>
                <w:rFonts w:ascii="Arial" w:cs="Arial" w:eastAsia="Arial" w:hAnsi="Arial"/>
                <w:sz w:val="17"/>
                <w:szCs w:val="17"/>
                <w:color w:val="auto"/>
                <w:w w:val="95"/>
              </w:rPr>
              <w:t>Amount</w:t>
            </w:r>
          </w:p>
        </w:tc>
        <w:tc>
          <w:tcPr>
            <w:tcW w:w="0" w:type="dxa"/>
            <w:vAlign w:val="bottom"/>
          </w:tcPr>
          <w:p>
            <w:pPr>
              <w:spacing w:after="0"/>
              <w:rPr>
                <w:sz w:val="1"/>
                <w:szCs w:val="1"/>
                <w:color w:val="auto"/>
              </w:rPr>
            </w:pPr>
          </w:p>
        </w:tc>
      </w:tr>
      <w:tr>
        <w:trPr>
          <w:trHeight w:val="206"/>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4"/>
              <w:spacing w:after="0"/>
              <w:rPr>
                <w:sz w:val="20"/>
                <w:szCs w:val="20"/>
                <w:color w:val="auto"/>
              </w:rPr>
            </w:pPr>
            <w:r>
              <w:rPr>
                <w:rFonts w:ascii="Arial" w:cs="Arial" w:eastAsia="Arial" w:hAnsi="Arial"/>
                <w:sz w:val="17"/>
                <w:szCs w:val="17"/>
                <w:color w:val="auto"/>
                <w:w w:val="91"/>
              </w:rPr>
              <w:t>Reclassified</w:t>
            </w:r>
          </w:p>
        </w:tc>
        <w:tc>
          <w:tcPr>
            <w:tcW w:w="0" w:type="dxa"/>
            <w:vAlign w:val="bottom"/>
          </w:tcPr>
          <w:p>
            <w:pPr>
              <w:spacing w:after="0"/>
              <w:rPr>
                <w:sz w:val="1"/>
                <w:szCs w:val="1"/>
                <w:color w:val="auto"/>
              </w:rPr>
            </w:pPr>
          </w:p>
        </w:tc>
      </w:tr>
      <w:tr>
        <w:trPr>
          <w:trHeight w:val="206"/>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74"/>
              <w:spacing w:after="0"/>
              <w:rPr>
                <w:sz w:val="20"/>
                <w:szCs w:val="20"/>
                <w:color w:val="auto"/>
              </w:rPr>
            </w:pPr>
            <w:r>
              <w:rPr>
                <w:rFonts w:ascii="Arial" w:cs="Arial" w:eastAsia="Arial" w:hAnsi="Arial"/>
                <w:sz w:val="17"/>
                <w:szCs w:val="17"/>
                <w:color w:val="auto"/>
                <w:w w:val="95"/>
              </w:rPr>
              <w:t>From</w:t>
            </w:r>
          </w:p>
        </w:tc>
        <w:tc>
          <w:tcPr>
            <w:tcW w:w="0" w:type="dxa"/>
            <w:vAlign w:val="bottom"/>
          </w:tcPr>
          <w:p>
            <w:pPr>
              <w:spacing w:after="0"/>
              <w:rPr>
                <w:sz w:val="1"/>
                <w:szCs w:val="1"/>
                <w:color w:val="auto"/>
              </w:rPr>
            </w:pPr>
          </w:p>
        </w:tc>
      </w:tr>
      <w:tr>
        <w:trPr>
          <w:trHeight w:val="237"/>
        </w:trPr>
        <w:tc>
          <w:tcPr>
            <w:tcW w:w="5040" w:type="dxa"/>
            <w:vAlign w:val="bottom"/>
            <w:gridSpan w:val="3"/>
          </w:tcPr>
          <w:p>
            <w:pPr>
              <w:jc w:val="right"/>
              <w:ind w:right="1934"/>
              <w:spacing w:after="0"/>
              <w:rPr>
                <w:sz w:val="20"/>
                <w:szCs w:val="20"/>
                <w:color w:val="auto"/>
              </w:rPr>
            </w:pPr>
            <w:r>
              <w:rPr>
                <w:rFonts w:ascii="Arial" w:cs="Arial" w:eastAsia="Arial" w:hAnsi="Arial"/>
                <w:sz w:val="17"/>
                <w:szCs w:val="17"/>
                <w:color w:val="auto"/>
              </w:rPr>
              <w:t>AOCIL Component</w:t>
            </w:r>
          </w:p>
        </w:tc>
        <w:tc>
          <w:tcPr>
            <w:tcW w:w="1300" w:type="dxa"/>
            <w:vAlign w:val="bottom"/>
          </w:tcPr>
          <w:p>
            <w:pPr>
              <w:jc w:val="center"/>
              <w:ind w:right="94"/>
              <w:spacing w:after="0"/>
              <w:rPr>
                <w:sz w:val="20"/>
                <w:szCs w:val="20"/>
                <w:color w:val="auto"/>
              </w:rPr>
            </w:pPr>
            <w:r>
              <w:rPr>
                <w:rFonts w:ascii="Arial" w:cs="Arial" w:eastAsia="Arial" w:hAnsi="Arial"/>
                <w:sz w:val="17"/>
                <w:szCs w:val="17"/>
                <w:color w:val="auto"/>
              </w:rPr>
              <w:t>AOCIL</w:t>
            </w:r>
          </w:p>
        </w:tc>
        <w:tc>
          <w:tcPr>
            <w:tcW w:w="0" w:type="dxa"/>
            <w:vAlign w:val="bottom"/>
          </w:tcPr>
          <w:p>
            <w:pPr>
              <w:spacing w:after="0"/>
              <w:rPr>
                <w:sz w:val="1"/>
                <w:szCs w:val="1"/>
                <w:color w:val="auto"/>
              </w:rPr>
            </w:pPr>
          </w:p>
        </w:tc>
      </w:tr>
      <w:tr>
        <w:trPr>
          <w:trHeight w:val="218"/>
        </w:trPr>
        <w:tc>
          <w:tcPr>
            <w:tcW w:w="4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74"/>
              <w:spacing w:after="0"/>
              <w:rPr>
                <w:sz w:val="20"/>
                <w:szCs w:val="20"/>
                <w:color w:val="auto"/>
              </w:rPr>
            </w:pPr>
            <w:r>
              <w:rPr>
                <w:rFonts w:ascii="Arial" w:cs="Arial" w:eastAsia="Arial" w:hAnsi="Arial"/>
                <w:sz w:val="17"/>
                <w:szCs w:val="17"/>
                <w:color w:val="auto"/>
                <w:w w:val="90"/>
              </w:rPr>
              <w:t>(In thousands)</w:t>
            </w:r>
          </w:p>
        </w:tc>
        <w:tc>
          <w:tcPr>
            <w:tcW w:w="0" w:type="dxa"/>
            <w:vAlign w:val="bottom"/>
          </w:tcPr>
          <w:p>
            <w:pPr>
              <w:spacing w:after="0"/>
              <w:rPr>
                <w:sz w:val="1"/>
                <w:szCs w:val="1"/>
                <w:color w:val="auto"/>
              </w:rPr>
            </w:pPr>
          </w:p>
        </w:tc>
      </w:tr>
      <w:tr>
        <w:trPr>
          <w:trHeight w:val="232"/>
        </w:trPr>
        <w:tc>
          <w:tcPr>
            <w:tcW w:w="4780" w:type="dxa"/>
            <w:vAlign w:val="bottom"/>
          </w:tcPr>
          <w:p>
            <w:pPr>
              <w:jc w:val="right"/>
              <w:ind w:right="4334"/>
              <w:spacing w:after="0"/>
              <w:rPr>
                <w:sz w:val="20"/>
                <w:szCs w:val="20"/>
                <w:color w:val="auto"/>
              </w:rPr>
            </w:pPr>
            <w:r>
              <w:rPr>
                <w:rFonts w:ascii="Arial" w:cs="Arial" w:eastAsia="Arial" w:hAnsi="Arial"/>
                <w:sz w:val="17"/>
                <w:szCs w:val="17"/>
                <w:color w:val="auto"/>
                <w:w w:val="89"/>
              </w:rPr>
              <w:t>2023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040" w:type="dxa"/>
            <w:vAlign w:val="bottom"/>
            <w:gridSpan w:val="3"/>
          </w:tcPr>
          <w:p>
            <w:pPr>
              <w:ind w:left="160"/>
              <w:spacing w:after="0"/>
              <w:rPr>
                <w:sz w:val="20"/>
                <w:szCs w:val="20"/>
                <w:color w:val="auto"/>
              </w:rPr>
            </w:pPr>
            <w:r>
              <w:rPr>
                <w:rFonts w:ascii="Arial" w:cs="Arial" w:eastAsia="Arial" w:hAnsi="Arial"/>
                <w:sz w:val="17"/>
                <w:szCs w:val="17"/>
                <w:color w:val="auto"/>
              </w:rPr>
              <w:t>Unrealized gains (losses) on securities available for sale</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50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(222)</w:t>
            </w:r>
          </w:p>
        </w:tc>
        <w:tc>
          <w:tcPr>
            <w:tcW w:w="0" w:type="dxa"/>
            <w:vAlign w:val="bottom"/>
          </w:tcPr>
          <w:p>
            <w:pPr>
              <w:spacing w:after="0"/>
              <w:rPr>
                <w:sz w:val="1"/>
                <w:szCs w:val="1"/>
                <w:color w:val="auto"/>
              </w:rPr>
            </w:pPr>
          </w:p>
        </w:tc>
      </w:tr>
      <w:tr>
        <w:trPr>
          <w:trHeight w:val="252"/>
        </w:trPr>
        <w:tc>
          <w:tcPr>
            <w:tcW w:w="4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38"/>
        </w:trPr>
        <w:tc>
          <w:tcPr>
            <w:tcW w:w="4860" w:type="dxa"/>
            <w:vAlign w:val="bottom"/>
            <w:gridSpan w:val="2"/>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w:t>
            </w:r>
          </w:p>
        </w:tc>
        <w:tc>
          <w:tcPr>
            <w:tcW w:w="0" w:type="dxa"/>
            <w:vAlign w:val="bottom"/>
          </w:tcPr>
          <w:p>
            <w:pPr>
              <w:spacing w:after="0"/>
              <w:rPr>
                <w:sz w:val="1"/>
                <w:szCs w:val="1"/>
                <w:color w:val="auto"/>
              </w:rPr>
            </w:pPr>
          </w:p>
        </w:tc>
      </w:tr>
      <w:tr>
        <w:trPr>
          <w:trHeight w:val="26"/>
        </w:trPr>
        <w:tc>
          <w:tcPr>
            <w:tcW w:w="4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5"/>
        </w:trPr>
        <w:tc>
          <w:tcPr>
            <w:tcW w:w="5040" w:type="dxa"/>
            <w:vAlign w:val="bottom"/>
            <w:gridSpan w:val="3"/>
          </w:tcPr>
          <w:p>
            <w:pPr>
              <w:ind w:left="160"/>
              <w:spacing w:after="0"/>
              <w:rPr>
                <w:sz w:val="20"/>
                <w:szCs w:val="20"/>
                <w:color w:val="auto"/>
              </w:rPr>
            </w:pPr>
            <w:r>
              <w:rPr>
                <w:rFonts w:ascii="Arial" w:cs="Arial" w:eastAsia="Arial" w:hAnsi="Arial"/>
                <w:sz w:val="17"/>
                <w:szCs w:val="17"/>
                <w:color w:val="auto"/>
              </w:rPr>
              <w:t>Unrealized losses on derivative instruments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224</w:t>
            </w:r>
          </w:p>
        </w:tc>
        <w:tc>
          <w:tcPr>
            <w:tcW w:w="0" w:type="dxa"/>
            <w:vAlign w:val="bottom"/>
          </w:tcPr>
          <w:p>
            <w:pPr>
              <w:spacing w:after="0"/>
              <w:rPr>
                <w:sz w:val="1"/>
                <w:szCs w:val="1"/>
                <w:color w:val="auto"/>
              </w:rPr>
            </w:pPr>
          </w:p>
        </w:tc>
      </w:tr>
      <w:tr>
        <w:trPr>
          <w:trHeight w:val="252"/>
        </w:trPr>
        <w:tc>
          <w:tcPr>
            <w:tcW w:w="4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38"/>
        </w:trPr>
        <w:tc>
          <w:tcPr>
            <w:tcW w:w="50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177</w:t>
            </w:r>
          </w:p>
        </w:tc>
        <w:tc>
          <w:tcPr>
            <w:tcW w:w="0" w:type="dxa"/>
            <w:vAlign w:val="bottom"/>
          </w:tcPr>
          <w:p>
            <w:pPr>
              <w:spacing w:after="0"/>
              <w:rPr>
                <w:sz w:val="1"/>
                <w:szCs w:val="1"/>
                <w:color w:val="auto"/>
              </w:rPr>
            </w:pPr>
          </w:p>
        </w:tc>
      </w:tr>
      <w:tr>
        <w:trPr>
          <w:trHeight w:val="26"/>
        </w:trPr>
        <w:tc>
          <w:tcPr>
            <w:tcW w:w="4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0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(352)</w:t>
            </w:r>
          </w:p>
        </w:tc>
        <w:tc>
          <w:tcPr>
            <w:tcW w:w="0" w:type="dxa"/>
            <w:vAlign w:val="bottom"/>
          </w:tcPr>
          <w:p>
            <w:pPr>
              <w:spacing w:after="0"/>
              <w:rPr>
                <w:sz w:val="1"/>
                <w:szCs w:val="1"/>
                <w:color w:val="auto"/>
              </w:rPr>
            </w:pPr>
          </w:p>
        </w:tc>
      </w:tr>
      <w:tr>
        <w:trPr>
          <w:trHeight w:val="26"/>
        </w:trPr>
        <w:tc>
          <w:tcPr>
            <w:tcW w:w="4780" w:type="dxa"/>
            <w:vAlign w:val="bottom"/>
            <w:vMerge w:val="restart"/>
          </w:tcPr>
          <w:p>
            <w:pPr>
              <w:jc w:val="right"/>
              <w:ind w:right="4334"/>
              <w:spacing w:after="0"/>
              <w:rPr>
                <w:sz w:val="20"/>
                <w:szCs w:val="20"/>
                <w:color w:val="auto"/>
              </w:rPr>
            </w:pPr>
            <w:r>
              <w:rPr>
                <w:rFonts w:ascii="Arial" w:cs="Arial" w:eastAsia="Arial" w:hAnsi="Arial"/>
                <w:sz w:val="17"/>
                <w:szCs w:val="17"/>
                <w:color w:val="auto"/>
                <w:w w:val="89"/>
              </w:rPr>
              <w:t>2022</w:t>
            </w:r>
          </w:p>
        </w:tc>
        <w:tc>
          <w:tcPr>
            <w:tcW w:w="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5"/>
        </w:trPr>
        <w:tc>
          <w:tcPr>
            <w:tcW w:w="47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040" w:type="dxa"/>
            <w:vAlign w:val="bottom"/>
            <w:gridSpan w:val="3"/>
          </w:tcPr>
          <w:p>
            <w:pPr>
              <w:ind w:left="160"/>
              <w:spacing w:after="0"/>
              <w:rPr>
                <w:sz w:val="20"/>
                <w:szCs w:val="20"/>
                <w:color w:val="auto"/>
              </w:rPr>
            </w:pPr>
            <w:r>
              <w:rPr>
                <w:rFonts w:ascii="Arial" w:cs="Arial" w:eastAsia="Arial" w:hAnsi="Arial"/>
                <w:sz w:val="17"/>
                <w:szCs w:val="17"/>
                <w:color w:val="auto"/>
              </w:rPr>
              <w:t>Unrealized gains (losses) on securities available for sale</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50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(275)</w:t>
            </w:r>
          </w:p>
        </w:tc>
        <w:tc>
          <w:tcPr>
            <w:tcW w:w="0" w:type="dxa"/>
            <w:vAlign w:val="bottom"/>
          </w:tcPr>
          <w:p>
            <w:pPr>
              <w:spacing w:after="0"/>
              <w:rPr>
                <w:sz w:val="1"/>
                <w:szCs w:val="1"/>
                <w:color w:val="auto"/>
              </w:rPr>
            </w:pPr>
          </w:p>
        </w:tc>
      </w:tr>
      <w:tr>
        <w:trPr>
          <w:trHeight w:val="252"/>
        </w:trPr>
        <w:tc>
          <w:tcPr>
            <w:tcW w:w="4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38"/>
        </w:trPr>
        <w:tc>
          <w:tcPr>
            <w:tcW w:w="50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(217)</w:t>
            </w:r>
          </w:p>
        </w:tc>
        <w:tc>
          <w:tcPr>
            <w:tcW w:w="0" w:type="dxa"/>
            <w:vAlign w:val="bottom"/>
          </w:tcPr>
          <w:p>
            <w:pPr>
              <w:spacing w:after="0"/>
              <w:rPr>
                <w:sz w:val="1"/>
                <w:szCs w:val="1"/>
                <w:color w:val="auto"/>
              </w:rPr>
            </w:pPr>
          </w:p>
        </w:tc>
      </w:tr>
      <w:tr>
        <w:trPr>
          <w:trHeight w:val="26"/>
        </w:trPr>
        <w:tc>
          <w:tcPr>
            <w:tcW w:w="4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-2807335</wp:posOffset>
            </wp:positionV>
            <wp:extent cx="7122160" cy="163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22160" cy="163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-2487930</wp:posOffset>
            </wp:positionV>
            <wp:extent cx="7122160" cy="1555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22160" cy="155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-2152650</wp:posOffset>
            </wp:positionV>
            <wp:extent cx="7122160" cy="163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22160" cy="163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-1824990</wp:posOffset>
            </wp:positionV>
            <wp:extent cx="7122160" cy="1555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22160" cy="155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-1513840</wp:posOffset>
            </wp:positionV>
            <wp:extent cx="7122160" cy="1803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22160" cy="1803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-1170305</wp:posOffset>
            </wp:positionV>
            <wp:extent cx="7122160" cy="1803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22160" cy="1803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-826135</wp:posOffset>
            </wp:positionV>
            <wp:extent cx="7122160" cy="1555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22160" cy="155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-506730</wp:posOffset>
            </wp:positionV>
            <wp:extent cx="7122160" cy="1555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22160" cy="155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-195580</wp:posOffset>
            </wp:positionV>
            <wp:extent cx="7122160" cy="1803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2216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color w:val="auto"/>
        </w:rPr>
        <w:t>15.</w:t>
      </w:r>
      <w:r>
        <w:rPr>
          <w:sz w:val="20"/>
          <w:szCs w:val="20"/>
          <w:color w:val="auto"/>
        </w:rPr>
        <w:tab/>
      </w:r>
      <w:r>
        <w:rPr>
          <w:rFonts w:ascii="Arial" w:cs="Arial" w:eastAsia="Arial" w:hAnsi="Arial"/>
          <w:sz w:val="15"/>
          <w:szCs w:val="15"/>
          <w:u w:val="single" w:color="auto"/>
          <w:color w:val="auto"/>
        </w:rPr>
        <w:t>Revenue from Contracts with Customers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Affected Line Item in Condensed</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38735</wp:posOffset>
            </wp:positionV>
            <wp:extent cx="30372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03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1440"/>
        <w:spacing w:after="0" w:line="324" w:lineRule="auto"/>
        <w:rPr>
          <w:sz w:val="20"/>
          <w:szCs w:val="20"/>
          <w:color w:val="auto"/>
        </w:rPr>
      </w:pPr>
      <w:r>
        <w:rPr>
          <w:rFonts w:ascii="Arial" w:cs="Arial" w:eastAsia="Arial" w:hAnsi="Arial"/>
          <w:sz w:val="17"/>
          <w:szCs w:val="17"/>
          <w:color w:val="auto"/>
        </w:rPr>
        <w:t>Net gains (losses) on securities available for sale Income tax expense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Reclassifications, net of tax</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Income tax expense</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Reclassifications, net of tax</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color w:val="auto"/>
        </w:rPr>
        <w:t>Total reclassifications for the period, net of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440"/>
        <w:spacing w:after="0" w:line="324" w:lineRule="auto"/>
        <w:rPr>
          <w:sz w:val="20"/>
          <w:szCs w:val="20"/>
          <w:color w:val="auto"/>
        </w:rPr>
      </w:pPr>
      <w:r>
        <w:rPr>
          <w:rFonts w:ascii="Arial" w:cs="Arial" w:eastAsia="Arial" w:hAnsi="Arial"/>
          <w:sz w:val="17"/>
          <w:szCs w:val="17"/>
          <w:color w:val="auto"/>
        </w:rPr>
        <w:t>Net gains (losses) on securities available for sale Income tax expense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Reclassifications, net of tax</w:t>
      </w:r>
    </w:p>
    <w:p>
      <w:pPr>
        <w:spacing w:after="0" w:line="1080" w:lineRule="exact"/>
        <w:rPr>
          <w:sz w:val="20"/>
          <w:szCs w:val="20"/>
          <w:color w:val="auto"/>
        </w:rPr>
      </w:pPr>
    </w:p>
    <w:p>
      <w:pPr>
        <w:sectPr>
          <w:pgSz w:w="11900" w:h="16838" w:orient="portrait"/>
          <w:cols w:equalWidth="0" w:num="2">
            <w:col w:w="6340" w:space="120"/>
            <w:col w:w="4780"/>
          </w:cols>
          <w:pgMar w:left="320" w:top="127" w:right="339" w:bottom="1440" w:gutter="0" w:footer="0" w:header="0"/>
          <w:type w:val="continuous"/>
        </w:sectPr>
      </w:pPr>
    </w:p>
    <w:p>
      <w:pPr>
        <w:jc w:val="both"/>
        <w:spacing w:after="0" w:line="259" w:lineRule="auto"/>
        <w:rPr>
          <w:sz w:val="20"/>
          <w:szCs w:val="20"/>
          <w:color w:val="auto"/>
        </w:rPr>
      </w:pPr>
      <w:r>
        <w:rPr>
          <w:rFonts w:ascii="Arial" w:cs="Arial" w:eastAsia="Arial" w:hAnsi="Arial"/>
          <w:sz w:val="17"/>
          <w:szCs w:val="17"/>
          <w:color w:val="auto"/>
        </w:rPr>
        <w:t>We account for revenue in accordance with ASC Topic 606, Revenue from Contracts with Customers. We derive the majority of our revenue from financial instruments and their related contractual rights and obligations which for the most part are excluded from the scope of this topic. These sources of revenue that are excluded from the scope of this topic include interest income, net gains on mortgage loans, net gains (losses) on securities AFS, mortgage loan servicing, net and bank owned life insurance and were approximately 86.6% and 83.7% of total revenues for the nine month periods ending September 30, 2023 and 2022, respectively.</w:t>
      </w:r>
    </w:p>
    <w:p>
      <w:pPr>
        <w:spacing w:after="0" w:line="15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Material sources of revenue that are included in the scope of this topic include service charges on deposit accounts, other deposit related income, interchange income and investment and insurance commissions and are discussed in the following paragraphs. Generally these sources of revenue are earned at the time the service is delivered or over the course of a monthly period and do not result in any contract asset or liability balance at any given period end. As a result, there were no contract assets or liabilities recorded as of September 30, 2023 and December 31, 2022.</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u w:val="single" w:color="auto"/>
          <w:color w:val="auto"/>
        </w:rPr>
        <w:t>Service charges on deposit accounts and other deposit related income</w:t>
      </w:r>
      <w:r>
        <w:rPr>
          <w:rFonts w:ascii="Arial" w:cs="Arial" w:eastAsia="Arial" w:hAnsi="Arial"/>
          <w:sz w:val="17"/>
          <w:szCs w:val="17"/>
          <w:b w:val="1"/>
          <w:bCs w:val="1"/>
          <w:color w:val="auto"/>
          <w:highlight w:val="white"/>
        </w:rPr>
        <w:t>:</w:t>
      </w:r>
      <w:r>
        <w:rPr>
          <w:rFonts w:ascii="Arial" w:cs="Arial" w:eastAsia="Arial" w:hAnsi="Arial"/>
          <w:sz w:val="17"/>
          <w:szCs w:val="17"/>
          <w:color w:val="auto"/>
        </w:rPr>
        <w:t xml:space="preserve"> </w:t>
      </w:r>
      <w:r>
        <w:rPr>
          <w:rFonts w:ascii="Arial" w:cs="Arial" w:eastAsia="Arial" w:hAnsi="Arial"/>
          <w:sz w:val="17"/>
          <w:szCs w:val="17"/>
          <w:color w:val="auto"/>
          <w:highlight w:val="white"/>
        </w:rPr>
        <w:t>Revenues are earned on depository accounts for commercial and retail customers and</w:t>
      </w:r>
      <w:r>
        <w:rPr>
          <w:rFonts w:ascii="Arial" w:cs="Arial" w:eastAsia="Arial" w:hAnsi="Arial"/>
          <w:sz w:val="17"/>
          <w:szCs w:val="17"/>
          <w:color w:val="auto"/>
        </w:rPr>
        <w:t xml:space="preserve"> include fees for transaction-based, account maintenance and overdraft services. Transaction-based fees, which includes services such as ATM use fees, stop payment charges and ACH fees are recognized at the time the transaction is executed as that is the time we fulfill our customer’s request. Account maintenance fees, which includes monthly maintenance services are earned over the course of a month representing the period over which the performance obligation is satisfied. Our obligation for overdraft services is satisfied at the time of the overdraft.</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u w:val="single" w:color="auto"/>
          <w:color w:val="auto"/>
        </w:rPr>
        <w:t>Interchange income</w:t>
      </w:r>
      <w:r>
        <w:rPr>
          <w:rFonts w:ascii="Arial" w:cs="Arial" w:eastAsia="Arial" w:hAnsi="Arial"/>
          <w:sz w:val="17"/>
          <w:szCs w:val="17"/>
          <w:color w:val="auto"/>
          <w:highlight w:val="white"/>
        </w:rPr>
        <w:t>: Interchange income primarily includes debit card interchange and network revenues. Debit card interchange and network revenues are earned</w:t>
      </w:r>
      <w:r>
        <w:rPr>
          <w:rFonts w:ascii="Arial" w:cs="Arial" w:eastAsia="Arial" w:hAnsi="Arial"/>
          <w:sz w:val="17"/>
          <w:szCs w:val="17"/>
          <w:color w:val="auto"/>
        </w:rPr>
        <w:t xml:space="preserve"> on debit card transactions conducted through payment networks such as MasterCard and Accel. Interchange income is recognized concurrently with the delivery of services on a daily basis. Interchange and network revenues are presented gross of interchange expenses, which are presented separately as a component of non-interest expense.</w:t>
      </w:r>
    </w:p>
    <w:p>
      <w:pPr>
        <w:spacing w:after="0" w:line="15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u w:val="single" w:color="auto"/>
          <w:color w:val="auto"/>
        </w:rPr>
        <w:t>Investment and insurance commissions</w:t>
      </w:r>
      <w:r>
        <w:rPr>
          <w:rFonts w:ascii="Arial" w:cs="Arial" w:eastAsia="Arial" w:hAnsi="Arial"/>
          <w:sz w:val="16"/>
          <w:szCs w:val="16"/>
          <w:color w:val="auto"/>
          <w:highlight w:val="white"/>
        </w:rPr>
        <w:t>: Investment and insurance commissions include fees and commissions from asset management, custody, recordkeeping,</w:t>
      </w:r>
      <w:r>
        <w:rPr>
          <w:rFonts w:ascii="Arial" w:cs="Arial" w:eastAsia="Arial" w:hAnsi="Arial"/>
          <w:sz w:val="16"/>
          <w:szCs w:val="16"/>
          <w:color w:val="auto"/>
        </w:rPr>
        <w:t xml:space="preserve"> investment advisory and other services provided to our customers. Revenue is recognized on an accrual basis at the time the services are performed and generally based on either the market value of the assets managed or the services provided. We have an agent relationship with a third party provider of these services and net certain direct costs charged by the third party provider associated with providing these services to our customers.</w:t>
      </w:r>
    </w:p>
    <w:p>
      <w:pPr>
        <w:spacing w:after="0" w:line="12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u w:val="single" w:color="auto"/>
          <w:color w:val="auto"/>
        </w:rPr>
        <w:t>Net (gains) losses on other real estate and repossessed assets</w:t>
      </w:r>
      <w:r>
        <w:rPr>
          <w:rFonts w:ascii="Arial" w:cs="Arial" w:eastAsia="Arial" w:hAnsi="Arial"/>
          <w:sz w:val="16"/>
          <w:szCs w:val="16"/>
          <w:color w:val="auto"/>
          <w:highlight w:val="white"/>
        </w:rPr>
        <w:t>: We record a gain or loss from the sale of other real estate when control of the property transfers to the</w:t>
      </w:r>
      <w:r>
        <w:rPr>
          <w:rFonts w:ascii="Arial" w:cs="Arial" w:eastAsia="Arial" w:hAnsi="Arial"/>
          <w:sz w:val="16"/>
          <w:szCs w:val="16"/>
          <w:color w:val="auto"/>
        </w:rPr>
        <w:t xml:space="preserve"> buyer, which generally occurs at the time of an executed deed. If we were to finance the sale of other real estate to the buyer, we would assess whether the buyer is committed to perform their obligations under the contract and whether collectability of the transaction is probable. Once these criteria are met, the other real estate asset would be derecognized and the gain or loss on sale would be recorded upon the transfer of control of the property to the buyer. There were no other real estate properties sold during the nine month periods ending September 30, 2023 and 2022 that were financed by us.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Disaggregation of our revenue sources by attribute follows: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7"/>
                <w:szCs w:val="17"/>
                <w:color w:val="auto"/>
                <w:w w:val="91"/>
              </w:rPr>
              <w:t>Service</w:t>
            </w:r>
          </w:p>
        </w:tc>
        <w:tc>
          <w:tcPr>
            <w:tcW w:w="980" w:type="dxa"/>
            <w:vAlign w:val="bottom"/>
          </w:tcPr>
          <w:p>
            <w:pPr>
              <w:jc w:val="center"/>
              <w:ind w:left="274"/>
              <w:spacing w:after="0"/>
              <w:rPr>
                <w:sz w:val="20"/>
                <w:szCs w:val="20"/>
                <w:color w:val="auto"/>
              </w:rPr>
            </w:pPr>
            <w:r>
              <w:rPr>
                <w:rFonts w:ascii="Arial" w:cs="Arial" w:eastAsia="Arial" w:hAnsi="Arial"/>
                <w:sz w:val="17"/>
                <w:szCs w:val="17"/>
                <w:color w:val="auto"/>
                <w:w w:val="89"/>
              </w:rPr>
              <w:t>Other</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7"/>
                <w:szCs w:val="17"/>
                <w:color w:val="auto"/>
                <w:w w:val="91"/>
              </w:rPr>
              <w:t>Investment</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6"/>
        </w:trPr>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7"/>
                <w:szCs w:val="17"/>
                <w:color w:val="auto"/>
                <w:w w:val="87"/>
              </w:rPr>
              <w:t>Charges</w:t>
            </w:r>
          </w:p>
        </w:tc>
        <w:tc>
          <w:tcPr>
            <w:tcW w:w="980" w:type="dxa"/>
            <w:vAlign w:val="bottom"/>
          </w:tcPr>
          <w:p>
            <w:pPr>
              <w:jc w:val="center"/>
              <w:ind w:left="274"/>
              <w:spacing w:after="0"/>
              <w:rPr>
                <w:sz w:val="20"/>
                <w:szCs w:val="20"/>
                <w:color w:val="auto"/>
              </w:rPr>
            </w:pPr>
            <w:r>
              <w:rPr>
                <w:rFonts w:ascii="Arial" w:cs="Arial" w:eastAsia="Arial" w:hAnsi="Arial"/>
                <w:sz w:val="17"/>
                <w:szCs w:val="17"/>
                <w:color w:val="auto"/>
                <w:w w:val="93"/>
              </w:rPr>
              <w:t>Deposit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7"/>
                <w:szCs w:val="17"/>
                <w:color w:val="auto"/>
                <w:w w:val="84"/>
              </w:rPr>
              <w:t>and</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6"/>
        </w:trPr>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7"/>
                <w:szCs w:val="17"/>
                <w:color w:val="auto"/>
                <w:w w:val="91"/>
              </w:rPr>
              <w:t>on Deposit</w:t>
            </w:r>
          </w:p>
        </w:tc>
        <w:tc>
          <w:tcPr>
            <w:tcW w:w="980" w:type="dxa"/>
            <w:vAlign w:val="bottom"/>
          </w:tcPr>
          <w:p>
            <w:pPr>
              <w:jc w:val="center"/>
              <w:ind w:left="274"/>
              <w:spacing w:after="0"/>
              <w:rPr>
                <w:sz w:val="20"/>
                <w:szCs w:val="20"/>
                <w:color w:val="auto"/>
              </w:rPr>
            </w:pPr>
            <w:r>
              <w:rPr>
                <w:rFonts w:ascii="Arial" w:cs="Arial" w:eastAsia="Arial" w:hAnsi="Arial"/>
                <w:sz w:val="17"/>
                <w:szCs w:val="17"/>
                <w:color w:val="auto"/>
                <w:w w:val="92"/>
              </w:rPr>
              <w:t>Related</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7"/>
                <w:szCs w:val="17"/>
                <w:color w:val="auto"/>
                <w:w w:val="89"/>
              </w:rPr>
              <w:t>Interchange</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7"/>
                <w:szCs w:val="17"/>
                <w:color w:val="auto"/>
                <w:w w:val="91"/>
              </w:rPr>
              <w:t>Insurance</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7"/>
        </w:trPr>
        <w:tc>
          <w:tcPr>
            <w:tcW w:w="4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7"/>
                <w:szCs w:val="17"/>
                <w:color w:val="auto"/>
                <w:w w:val="94"/>
              </w:rPr>
              <w:t>Accounts</w:t>
            </w:r>
          </w:p>
        </w:tc>
        <w:tc>
          <w:tcPr>
            <w:tcW w:w="980" w:type="dxa"/>
            <w:vAlign w:val="bottom"/>
            <w:tcBorders>
              <w:bottom w:val="single" w:sz="8" w:color="auto"/>
            </w:tcBorders>
          </w:tcPr>
          <w:p>
            <w:pPr>
              <w:jc w:val="center"/>
              <w:ind w:left="274"/>
              <w:spacing w:after="0"/>
              <w:rPr>
                <w:sz w:val="20"/>
                <w:szCs w:val="20"/>
                <w:color w:val="auto"/>
              </w:rPr>
            </w:pPr>
            <w:r>
              <w:rPr>
                <w:rFonts w:ascii="Arial" w:cs="Arial" w:eastAsia="Arial" w:hAnsi="Arial"/>
                <w:sz w:val="17"/>
                <w:szCs w:val="17"/>
                <w:color w:val="auto"/>
                <w:w w:val="89"/>
              </w:rPr>
              <w:t>Income</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7"/>
                <w:szCs w:val="17"/>
                <w:color w:val="auto"/>
                <w:w w:val="93"/>
              </w:rPr>
              <w:t>Income</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7"/>
                <w:szCs w:val="17"/>
                <w:color w:val="auto"/>
                <w:w w:val="92"/>
              </w:rPr>
              <w:t>Commissions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rPr>
              <w:t>Total</w:t>
            </w:r>
          </w:p>
        </w:tc>
      </w:tr>
      <w:tr>
        <w:trPr>
          <w:trHeight w:val="230"/>
        </w:trPr>
        <w:tc>
          <w:tcPr>
            <w:tcW w:w="4080" w:type="dxa"/>
            <w:vAlign w:val="bottom"/>
          </w:tcPr>
          <w:p>
            <w:pPr>
              <w:ind w:left="20"/>
              <w:spacing w:after="0"/>
              <w:rPr>
                <w:sz w:val="20"/>
                <w:szCs w:val="20"/>
                <w:color w:val="auto"/>
              </w:rPr>
            </w:pPr>
            <w:r>
              <w:rPr>
                <w:rFonts w:ascii="Arial" w:cs="Arial" w:eastAsia="Arial" w:hAnsi="Arial"/>
                <w:sz w:val="17"/>
                <w:szCs w:val="17"/>
                <w:color w:val="auto"/>
              </w:rPr>
              <w:t>Three months ending September 30, 2023</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7"/>
                <w:szCs w:val="17"/>
                <w:color w:val="auto"/>
                <w:w w:val="90"/>
              </w:rPr>
              <w:t>(In thousands)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2"/>
        </w:trPr>
        <w:tc>
          <w:tcPr>
            <w:tcW w:w="4080" w:type="dxa"/>
            <w:vAlign w:val="bottom"/>
          </w:tcPr>
          <w:p>
            <w:pPr>
              <w:ind w:left="120"/>
              <w:spacing w:after="0"/>
              <w:rPr>
                <w:sz w:val="20"/>
                <w:szCs w:val="20"/>
                <w:color w:val="auto"/>
              </w:rPr>
            </w:pPr>
            <w:r>
              <w:rPr>
                <w:rFonts w:ascii="Arial" w:cs="Arial" w:eastAsia="Arial" w:hAnsi="Arial"/>
                <w:sz w:val="17"/>
                <w:szCs w:val="17"/>
                <w:color w:val="auto"/>
              </w:rPr>
              <w:t>Retail</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2"/>
        </w:trPr>
        <w:tc>
          <w:tcPr>
            <w:tcW w:w="4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Overdraft fees</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2,090</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2,090</w:t>
            </w:r>
          </w:p>
        </w:tc>
      </w:tr>
      <w:tr>
        <w:trPr>
          <w:trHeight w:val="238"/>
        </w:trPr>
        <w:tc>
          <w:tcPr>
            <w:tcW w:w="4080" w:type="dxa"/>
            <w:vAlign w:val="bottom"/>
          </w:tcPr>
          <w:p>
            <w:pPr>
              <w:ind w:left="180"/>
              <w:spacing w:after="0"/>
              <w:rPr>
                <w:sz w:val="20"/>
                <w:szCs w:val="20"/>
                <w:color w:val="auto"/>
              </w:rPr>
            </w:pPr>
            <w:r>
              <w:rPr>
                <w:rFonts w:ascii="Arial" w:cs="Arial" w:eastAsia="Arial" w:hAnsi="Arial"/>
                <w:sz w:val="17"/>
                <w:szCs w:val="17"/>
                <w:color w:val="auto"/>
              </w:rPr>
              <w:t>Account service charges</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1,079</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1,079</w:t>
            </w:r>
          </w:p>
        </w:tc>
      </w:tr>
      <w:tr>
        <w:trPr>
          <w:trHeight w:val="252"/>
        </w:trPr>
        <w:tc>
          <w:tcPr>
            <w:tcW w:w="4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ATM fees</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457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w:t>
            </w:r>
          </w:p>
        </w:tc>
      </w:tr>
      <w:tr>
        <w:trPr>
          <w:trHeight w:val="238"/>
        </w:trPr>
        <w:tc>
          <w:tcPr>
            <w:tcW w:w="4080" w:type="dxa"/>
            <w:vAlign w:val="bottom"/>
          </w:tcPr>
          <w:p>
            <w:pPr>
              <w:ind w:left="180"/>
              <w:spacing w:after="0"/>
              <w:rPr>
                <w:sz w:val="20"/>
                <w:szCs w:val="20"/>
                <w:color w:val="auto"/>
              </w:rPr>
            </w:pPr>
            <w:r>
              <w:rPr>
                <w:rFonts w:ascii="Arial" w:cs="Arial" w:eastAsia="Arial" w:hAnsi="Arial"/>
                <w:sz w:val="17"/>
                <w:szCs w:val="17"/>
                <w:color w:val="auto"/>
              </w:rPr>
              <w:t>Other</w:t>
            </w:r>
          </w:p>
        </w:tc>
        <w:tc>
          <w:tcPr>
            <w:tcW w:w="2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w w:val="98"/>
              </w:rPr>
              <w:t>247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247</w:t>
            </w:r>
          </w:p>
        </w:tc>
      </w:tr>
      <w:tr>
        <w:trPr>
          <w:trHeight w:val="252"/>
        </w:trPr>
        <w:tc>
          <w:tcPr>
            <w:tcW w:w="40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Business</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38"/>
        </w:trPr>
        <w:tc>
          <w:tcPr>
            <w:tcW w:w="4080" w:type="dxa"/>
            <w:vAlign w:val="bottom"/>
          </w:tcPr>
          <w:p>
            <w:pPr>
              <w:ind w:left="180"/>
              <w:spacing w:after="0"/>
              <w:rPr>
                <w:sz w:val="20"/>
                <w:szCs w:val="20"/>
                <w:color w:val="auto"/>
              </w:rPr>
            </w:pPr>
            <w:r>
              <w:rPr>
                <w:rFonts w:ascii="Arial" w:cs="Arial" w:eastAsia="Arial" w:hAnsi="Arial"/>
                <w:sz w:val="17"/>
                <w:szCs w:val="17"/>
                <w:color w:val="auto"/>
              </w:rPr>
              <w:t>Overdraft fees</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140</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140</w:t>
            </w:r>
          </w:p>
        </w:tc>
      </w:tr>
      <w:tr>
        <w:trPr>
          <w:trHeight w:val="252"/>
        </w:trPr>
        <w:tc>
          <w:tcPr>
            <w:tcW w:w="4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ATM fees</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38"/>
        </w:trPr>
        <w:tc>
          <w:tcPr>
            <w:tcW w:w="4080" w:type="dxa"/>
            <w:vAlign w:val="bottom"/>
          </w:tcPr>
          <w:p>
            <w:pPr>
              <w:ind w:left="180"/>
              <w:spacing w:after="0"/>
              <w:rPr>
                <w:sz w:val="20"/>
                <w:szCs w:val="20"/>
                <w:color w:val="auto"/>
              </w:rPr>
            </w:pPr>
            <w:r>
              <w:rPr>
                <w:rFonts w:ascii="Arial" w:cs="Arial" w:eastAsia="Arial" w:hAnsi="Arial"/>
                <w:sz w:val="17"/>
                <w:szCs w:val="17"/>
                <w:color w:val="auto"/>
              </w:rPr>
              <w:t>Other</w:t>
            </w:r>
          </w:p>
        </w:tc>
        <w:tc>
          <w:tcPr>
            <w:tcW w:w="2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w w:val="98"/>
              </w:rPr>
              <w:t>109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109</w:t>
            </w:r>
          </w:p>
        </w:tc>
      </w:tr>
      <w:tr>
        <w:trPr>
          <w:trHeight w:val="252"/>
        </w:trPr>
        <w:tc>
          <w:tcPr>
            <w:tcW w:w="40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Interchange income</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4,100</w:t>
            </w:r>
          </w:p>
        </w:tc>
      </w:tr>
      <w:tr>
        <w:trPr>
          <w:trHeight w:val="238"/>
        </w:trPr>
        <w:tc>
          <w:tcPr>
            <w:tcW w:w="4080" w:type="dxa"/>
            <w:vAlign w:val="bottom"/>
          </w:tcPr>
          <w:p>
            <w:pPr>
              <w:ind w:left="120"/>
              <w:spacing w:after="0"/>
              <w:rPr>
                <w:sz w:val="20"/>
                <w:szCs w:val="20"/>
                <w:color w:val="auto"/>
              </w:rPr>
            </w:pPr>
            <w:r>
              <w:rPr>
                <w:rFonts w:ascii="Arial" w:cs="Arial" w:eastAsia="Arial" w:hAnsi="Arial"/>
                <w:sz w:val="17"/>
                <w:szCs w:val="17"/>
                <w:color w:val="auto"/>
              </w:rPr>
              <w:t>Asset management revenue</w:t>
            </w:r>
          </w:p>
        </w:tc>
        <w:tc>
          <w:tcPr>
            <w:tcW w:w="2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tcPr>
          <w:p>
            <w:pPr>
              <w:spacing w:after="0"/>
              <w:rPr>
                <w:sz w:val="20"/>
                <w:szCs w:val="20"/>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488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488</w:t>
            </w:r>
          </w:p>
        </w:tc>
      </w:tr>
      <w:tr>
        <w:trPr>
          <w:trHeight w:val="252"/>
        </w:trPr>
        <w:tc>
          <w:tcPr>
            <w:tcW w:w="40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Transaction based revenue</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w:t>
            </w:r>
          </w:p>
        </w:tc>
      </w:tr>
      <w:tr>
        <w:trPr>
          <w:trHeight w:val="251"/>
        </w:trPr>
        <w:tc>
          <w:tcPr>
            <w:tcW w:w="40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r>
      <w:tr>
        <w:trPr>
          <w:trHeight w:val="27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3,309</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794"/>
              <w:spacing w:after="0"/>
              <w:rPr>
                <w:sz w:val="20"/>
                <w:szCs w:val="20"/>
                <w:color w:val="auto"/>
              </w:rPr>
            </w:pPr>
            <w:r>
              <w:rPr>
                <w:rFonts w:ascii="Arial" w:cs="Arial" w:eastAsia="Arial" w:hAnsi="Arial"/>
                <w:sz w:val="17"/>
                <w:szCs w:val="17"/>
                <w:color w:val="auto"/>
                <w:w w:val="84"/>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826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9,111</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7"/>
        </w:trPr>
        <w:tc>
          <w:tcPr>
            <w:tcW w:w="4080" w:type="dxa"/>
            <w:vAlign w:val="bottom"/>
            <w:shd w:val="clear" w:color="auto" w:fill="CCEEFF"/>
          </w:tcPr>
          <w:p>
            <w:pPr>
              <w:ind w:left="120"/>
              <w:spacing w:after="0"/>
              <w:rPr>
                <w:sz w:val="20"/>
                <w:szCs w:val="20"/>
                <w:color w:val="auto"/>
              </w:rPr>
            </w:pPr>
            <w:r>
              <w:rPr>
                <w:rFonts w:ascii="Arial" w:cs="Arial" w:eastAsia="Arial" w:hAnsi="Arial"/>
                <w:sz w:val="17"/>
                <w:szCs w:val="17"/>
                <w:color w:val="auto"/>
                <w:w w:val="93"/>
              </w:rPr>
              <w:t>Reconciliation to Condensed Consolidated Statement of</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2"/>
        </w:trPr>
        <w:tc>
          <w:tcPr>
            <w:tcW w:w="40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Operations:</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8"/>
        </w:trPr>
        <w:tc>
          <w:tcPr>
            <w:tcW w:w="4080" w:type="dxa"/>
            <w:vAlign w:val="bottom"/>
          </w:tcPr>
          <w:p>
            <w:pPr>
              <w:ind w:left="180"/>
              <w:spacing w:after="0"/>
              <w:rPr>
                <w:sz w:val="20"/>
                <w:szCs w:val="20"/>
                <w:color w:val="auto"/>
              </w:rPr>
            </w:pPr>
            <w:r>
              <w:rPr>
                <w:rFonts w:ascii="Arial" w:cs="Arial" w:eastAsia="Arial" w:hAnsi="Arial"/>
                <w:sz w:val="17"/>
                <w:szCs w:val="17"/>
                <w:color w:val="auto"/>
              </w:rPr>
              <w:t>Non-interest income - other:</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2"/>
        </w:trPr>
        <w:tc>
          <w:tcPr>
            <w:tcW w:w="40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Other deposit related income</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826</w:t>
            </w:r>
          </w:p>
        </w:tc>
      </w:tr>
      <w:tr>
        <w:trPr>
          <w:trHeight w:val="238"/>
        </w:trPr>
        <w:tc>
          <w:tcPr>
            <w:tcW w:w="4080" w:type="dxa"/>
            <w:vAlign w:val="bottom"/>
          </w:tcPr>
          <w:p>
            <w:pPr>
              <w:ind w:left="280"/>
              <w:spacing w:after="0"/>
              <w:rPr>
                <w:sz w:val="20"/>
                <w:szCs w:val="20"/>
                <w:color w:val="auto"/>
              </w:rPr>
            </w:pPr>
            <w:r>
              <w:rPr>
                <w:rFonts w:ascii="Arial" w:cs="Arial" w:eastAsia="Arial" w:hAnsi="Arial"/>
                <w:sz w:val="17"/>
                <w:szCs w:val="17"/>
                <w:color w:val="auto"/>
              </w:rPr>
              <w:t>Investment and insurance commissions</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876</w:t>
            </w:r>
          </w:p>
        </w:tc>
      </w:tr>
      <w:tr>
        <w:trPr>
          <w:trHeight w:val="252"/>
        </w:trPr>
        <w:tc>
          <w:tcPr>
            <w:tcW w:w="40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Bank owned life insurance (1)</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w:t>
            </w:r>
          </w:p>
        </w:tc>
      </w:tr>
      <w:tr>
        <w:trPr>
          <w:trHeight w:val="271"/>
        </w:trPr>
        <w:tc>
          <w:tcPr>
            <w:tcW w:w="4080" w:type="dxa"/>
            <w:vAlign w:val="bottom"/>
            <w:tcBorders>
              <w:bottom w:val="single" w:sz="8" w:color="CCEEFF"/>
            </w:tcBorders>
          </w:tcPr>
          <w:p>
            <w:pPr>
              <w:ind w:left="280"/>
              <w:spacing w:after="0"/>
              <w:rPr>
                <w:sz w:val="20"/>
                <w:szCs w:val="20"/>
                <w:color w:val="auto"/>
              </w:rPr>
            </w:pPr>
            <w:r>
              <w:rPr>
                <w:rFonts w:ascii="Arial" w:cs="Arial" w:eastAsia="Arial" w:hAnsi="Arial"/>
                <w:sz w:val="17"/>
                <w:szCs w:val="17"/>
                <w:color w:val="auto"/>
              </w:rPr>
              <w:t>Other (1)</w:t>
            </w:r>
          </w:p>
        </w:tc>
        <w:tc>
          <w:tcPr>
            <w:tcW w:w="22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980" w:type="dxa"/>
            <w:vAlign w:val="bottom"/>
            <w:tcBorders>
              <w:bottom w:val="single" w:sz="8" w:color="CCEEFF"/>
            </w:tcBorders>
          </w:tcPr>
          <w:p>
            <w:pPr>
              <w:spacing w:after="0"/>
              <w:rPr>
                <w:sz w:val="23"/>
                <w:szCs w:val="23"/>
                <w:color w:val="auto"/>
              </w:rPr>
            </w:pPr>
          </w:p>
        </w:tc>
        <w:tc>
          <w:tcPr>
            <w:tcW w:w="3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2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2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1,609</w:t>
            </w:r>
          </w:p>
        </w:tc>
      </w:tr>
      <w:tr>
        <w:trPr>
          <w:trHeight w:val="263"/>
        </w:trPr>
        <w:tc>
          <w:tcPr>
            <w:tcW w:w="4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3,435</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(1) Excluded from the scope of ASC Topic 606.</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center"/>
              <w:ind w:left="14"/>
              <w:spacing w:after="0"/>
              <w:rPr>
                <w:sz w:val="20"/>
                <w:szCs w:val="20"/>
                <w:color w:val="auto"/>
              </w:rPr>
            </w:pPr>
            <w:r>
              <w:rPr>
                <w:rFonts w:ascii="Arial" w:cs="Arial" w:eastAsia="Arial" w:hAnsi="Arial"/>
                <w:sz w:val="17"/>
                <w:szCs w:val="17"/>
                <w:color w:val="auto"/>
                <w:w w:val="91"/>
              </w:rPr>
              <w:t>Service</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center"/>
              <w:ind w:left="314"/>
              <w:spacing w:after="0"/>
              <w:rPr>
                <w:sz w:val="20"/>
                <w:szCs w:val="20"/>
                <w:color w:val="auto"/>
              </w:rPr>
            </w:pPr>
            <w:r>
              <w:rPr>
                <w:rFonts w:ascii="Arial" w:cs="Arial" w:eastAsia="Arial" w:hAnsi="Arial"/>
                <w:sz w:val="17"/>
                <w:szCs w:val="17"/>
                <w:color w:val="auto"/>
                <w:w w:val="89"/>
              </w:rPr>
              <w:t>Other</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7"/>
                <w:szCs w:val="17"/>
                <w:color w:val="auto"/>
                <w:w w:val="91"/>
              </w:rPr>
              <w:t>Investment</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6"/>
        </w:trPr>
        <w:tc>
          <w:tcPr>
            <w:tcW w:w="3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center"/>
              <w:ind w:left="14"/>
              <w:spacing w:after="0"/>
              <w:rPr>
                <w:sz w:val="20"/>
                <w:szCs w:val="20"/>
                <w:color w:val="auto"/>
              </w:rPr>
            </w:pPr>
            <w:r>
              <w:rPr>
                <w:rFonts w:ascii="Arial" w:cs="Arial" w:eastAsia="Arial" w:hAnsi="Arial"/>
                <w:sz w:val="17"/>
                <w:szCs w:val="17"/>
                <w:color w:val="auto"/>
                <w:w w:val="87"/>
              </w:rPr>
              <w:t>Charges</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center"/>
              <w:ind w:left="314"/>
              <w:spacing w:after="0"/>
              <w:rPr>
                <w:sz w:val="20"/>
                <w:szCs w:val="20"/>
                <w:color w:val="auto"/>
              </w:rPr>
            </w:pPr>
            <w:r>
              <w:rPr>
                <w:rFonts w:ascii="Arial" w:cs="Arial" w:eastAsia="Arial" w:hAnsi="Arial"/>
                <w:sz w:val="17"/>
                <w:szCs w:val="17"/>
                <w:color w:val="auto"/>
                <w:w w:val="93"/>
              </w:rPr>
              <w:t>Deposit</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7"/>
                <w:szCs w:val="17"/>
                <w:color w:val="auto"/>
                <w:w w:val="84"/>
              </w:rPr>
              <w:t>and</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6"/>
        </w:trPr>
        <w:tc>
          <w:tcPr>
            <w:tcW w:w="3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center"/>
              <w:ind w:left="14"/>
              <w:spacing w:after="0"/>
              <w:rPr>
                <w:sz w:val="20"/>
                <w:szCs w:val="20"/>
                <w:color w:val="auto"/>
              </w:rPr>
            </w:pPr>
            <w:r>
              <w:rPr>
                <w:rFonts w:ascii="Arial" w:cs="Arial" w:eastAsia="Arial" w:hAnsi="Arial"/>
                <w:sz w:val="17"/>
                <w:szCs w:val="17"/>
                <w:color w:val="auto"/>
                <w:w w:val="93"/>
              </w:rPr>
              <w:t>on Deposit</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center"/>
              <w:ind w:left="314"/>
              <w:spacing w:after="0"/>
              <w:rPr>
                <w:sz w:val="20"/>
                <w:szCs w:val="20"/>
                <w:color w:val="auto"/>
              </w:rPr>
            </w:pPr>
            <w:r>
              <w:rPr>
                <w:rFonts w:ascii="Arial" w:cs="Arial" w:eastAsia="Arial" w:hAnsi="Arial"/>
                <w:sz w:val="17"/>
                <w:szCs w:val="17"/>
                <w:color w:val="auto"/>
                <w:w w:val="92"/>
              </w:rPr>
              <w:t>Related</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Interchange</w:t>
            </w:r>
          </w:p>
        </w:tc>
        <w:tc>
          <w:tcPr>
            <w:tcW w:w="20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7"/>
                <w:szCs w:val="17"/>
                <w:color w:val="auto"/>
                <w:w w:val="91"/>
              </w:rPr>
              <w:t>Insurance</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7"/>
        </w:trPr>
        <w:tc>
          <w:tcPr>
            <w:tcW w:w="3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left="14"/>
              <w:spacing w:after="0"/>
              <w:rPr>
                <w:sz w:val="20"/>
                <w:szCs w:val="20"/>
                <w:color w:val="auto"/>
              </w:rPr>
            </w:pPr>
            <w:r>
              <w:rPr>
                <w:rFonts w:ascii="Arial" w:cs="Arial" w:eastAsia="Arial" w:hAnsi="Arial"/>
                <w:sz w:val="17"/>
                <w:szCs w:val="17"/>
                <w:color w:val="auto"/>
                <w:w w:val="91"/>
              </w:rPr>
              <w:t>Accounts</w:t>
            </w:r>
          </w:p>
        </w:tc>
        <w:tc>
          <w:tcPr>
            <w:tcW w:w="3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left="314"/>
              <w:spacing w:after="0"/>
              <w:rPr>
                <w:sz w:val="20"/>
                <w:szCs w:val="20"/>
                <w:color w:val="auto"/>
              </w:rPr>
            </w:pPr>
            <w:r>
              <w:rPr>
                <w:rFonts w:ascii="Arial" w:cs="Arial" w:eastAsia="Arial" w:hAnsi="Arial"/>
                <w:sz w:val="17"/>
                <w:szCs w:val="17"/>
                <w:color w:val="auto"/>
                <w:w w:val="89"/>
              </w:rPr>
              <w:t>Income</w:t>
            </w: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7"/>
                <w:szCs w:val="17"/>
                <w:color w:val="auto"/>
                <w:w w:val="93"/>
              </w:rPr>
              <w:t>Income</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7"/>
                <w:szCs w:val="17"/>
                <w:color w:val="auto"/>
                <w:w w:val="92"/>
              </w:rPr>
              <w:t>Commissions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color w:val="auto"/>
              </w:rPr>
              <w:t>Total</w:t>
            </w:r>
          </w:p>
        </w:tc>
      </w:tr>
      <w:tr>
        <w:trPr>
          <w:trHeight w:val="230"/>
        </w:trPr>
        <w:tc>
          <w:tcPr>
            <w:tcW w:w="3580" w:type="dxa"/>
            <w:vAlign w:val="bottom"/>
          </w:tcPr>
          <w:p>
            <w:pPr>
              <w:ind w:left="20"/>
              <w:spacing w:after="0"/>
              <w:rPr>
                <w:sz w:val="20"/>
                <w:szCs w:val="20"/>
                <w:color w:val="auto"/>
              </w:rPr>
            </w:pPr>
            <w:r>
              <w:rPr>
                <w:rFonts w:ascii="Arial" w:cs="Arial" w:eastAsia="Arial" w:hAnsi="Arial"/>
                <w:sz w:val="17"/>
                <w:szCs w:val="17"/>
                <w:color w:val="auto"/>
              </w:rPr>
              <w:t>Three months ending September 30, 2022</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7"/>
                <w:szCs w:val="17"/>
                <w:color w:val="auto"/>
                <w:w w:val="90"/>
              </w:rPr>
              <w:t>(In thousands)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2"/>
        </w:trPr>
        <w:tc>
          <w:tcPr>
            <w:tcW w:w="3580" w:type="dxa"/>
            <w:vAlign w:val="bottom"/>
          </w:tcPr>
          <w:p>
            <w:pPr>
              <w:ind w:left="120"/>
              <w:spacing w:after="0"/>
              <w:rPr>
                <w:sz w:val="20"/>
                <w:szCs w:val="20"/>
                <w:color w:val="auto"/>
              </w:rPr>
            </w:pPr>
            <w:r>
              <w:rPr>
                <w:rFonts w:ascii="Arial" w:cs="Arial" w:eastAsia="Arial" w:hAnsi="Arial"/>
                <w:sz w:val="17"/>
                <w:szCs w:val="17"/>
                <w:color w:val="auto"/>
              </w:rPr>
              <w:t>Retail</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2"/>
        </w:trPr>
        <w:tc>
          <w:tcPr>
            <w:tcW w:w="3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Overdraft fees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2,492</w:t>
            </w: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74"/>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2,492</w:t>
            </w:r>
          </w:p>
        </w:tc>
      </w:tr>
      <w:tr>
        <w:trPr>
          <w:trHeight w:val="238"/>
        </w:trPr>
        <w:tc>
          <w:tcPr>
            <w:tcW w:w="3580" w:type="dxa"/>
            <w:vAlign w:val="bottom"/>
          </w:tcPr>
          <w:p>
            <w:pPr>
              <w:ind w:left="180"/>
              <w:spacing w:after="0"/>
              <w:rPr>
                <w:sz w:val="20"/>
                <w:szCs w:val="20"/>
                <w:color w:val="auto"/>
              </w:rPr>
            </w:pPr>
            <w:r>
              <w:rPr>
                <w:rFonts w:ascii="Arial" w:cs="Arial" w:eastAsia="Arial" w:hAnsi="Arial"/>
                <w:sz w:val="17"/>
                <w:szCs w:val="17"/>
                <w:color w:val="auto"/>
              </w:rPr>
              <w:t>Account service charges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w w:val="84"/>
              </w:rPr>
              <w:t>436</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436</w:t>
            </w:r>
          </w:p>
        </w:tc>
      </w:tr>
      <w:tr>
        <w:trPr>
          <w:trHeight w:val="252"/>
        </w:trPr>
        <w:tc>
          <w:tcPr>
            <w:tcW w:w="3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ATM fees</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w:t>
            </w:r>
          </w:p>
        </w:tc>
      </w:tr>
      <w:tr>
        <w:trPr>
          <w:trHeight w:val="238"/>
        </w:trPr>
        <w:tc>
          <w:tcPr>
            <w:tcW w:w="3580" w:type="dxa"/>
            <w:vAlign w:val="bottom"/>
          </w:tcPr>
          <w:p>
            <w:pPr>
              <w:ind w:left="180"/>
              <w:spacing w:after="0"/>
              <w:rPr>
                <w:sz w:val="20"/>
                <w:szCs w:val="20"/>
                <w:color w:val="auto"/>
              </w:rPr>
            </w:pPr>
            <w:r>
              <w:rPr>
                <w:rFonts w:ascii="Arial" w:cs="Arial" w:eastAsia="Arial" w:hAnsi="Arial"/>
                <w:sz w:val="17"/>
                <w:szCs w:val="17"/>
                <w:color w:val="auto"/>
              </w:rPr>
              <w:t>Other</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239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239</w:t>
            </w:r>
          </w:p>
        </w:tc>
      </w:tr>
      <w:tr>
        <w:trPr>
          <w:trHeight w:val="252"/>
        </w:trPr>
        <w:tc>
          <w:tcPr>
            <w:tcW w:w="35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Business</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8"/>
        </w:trPr>
        <w:tc>
          <w:tcPr>
            <w:tcW w:w="3580" w:type="dxa"/>
            <w:vAlign w:val="bottom"/>
          </w:tcPr>
          <w:p>
            <w:pPr>
              <w:ind w:left="180"/>
              <w:spacing w:after="0"/>
              <w:rPr>
                <w:sz w:val="20"/>
                <w:szCs w:val="20"/>
                <w:color w:val="auto"/>
              </w:rPr>
            </w:pPr>
            <w:r>
              <w:rPr>
                <w:rFonts w:ascii="Arial" w:cs="Arial" w:eastAsia="Arial" w:hAnsi="Arial"/>
                <w:sz w:val="17"/>
                <w:szCs w:val="17"/>
                <w:color w:val="auto"/>
              </w:rPr>
              <w:t>Overdraft fees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w w:val="84"/>
              </w:rPr>
              <w:t>154</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154</w:t>
            </w:r>
          </w:p>
        </w:tc>
      </w:tr>
      <w:tr>
        <w:trPr>
          <w:trHeight w:val="252"/>
        </w:trPr>
        <w:tc>
          <w:tcPr>
            <w:tcW w:w="3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ATM fees</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38"/>
        </w:trPr>
        <w:tc>
          <w:tcPr>
            <w:tcW w:w="3580" w:type="dxa"/>
            <w:vAlign w:val="bottom"/>
          </w:tcPr>
          <w:p>
            <w:pPr>
              <w:ind w:left="180"/>
              <w:spacing w:after="0"/>
              <w:rPr>
                <w:sz w:val="20"/>
                <w:szCs w:val="20"/>
                <w:color w:val="auto"/>
              </w:rPr>
            </w:pPr>
            <w:r>
              <w:rPr>
                <w:rFonts w:ascii="Arial" w:cs="Arial" w:eastAsia="Arial" w:hAnsi="Arial"/>
                <w:sz w:val="17"/>
                <w:szCs w:val="17"/>
                <w:color w:val="auto"/>
              </w:rPr>
              <w:t>Other</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79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252"/>
        </w:trPr>
        <w:tc>
          <w:tcPr>
            <w:tcW w:w="35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Interchange income</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4,049</w:t>
            </w:r>
          </w:p>
        </w:tc>
      </w:tr>
      <w:tr>
        <w:trPr>
          <w:trHeight w:val="238"/>
        </w:trPr>
        <w:tc>
          <w:tcPr>
            <w:tcW w:w="3580" w:type="dxa"/>
            <w:vAlign w:val="bottom"/>
          </w:tcPr>
          <w:p>
            <w:pPr>
              <w:ind w:left="120"/>
              <w:spacing w:after="0"/>
              <w:rPr>
                <w:sz w:val="20"/>
                <w:szCs w:val="20"/>
                <w:color w:val="auto"/>
              </w:rPr>
            </w:pPr>
            <w:r>
              <w:rPr>
                <w:rFonts w:ascii="Arial" w:cs="Arial" w:eastAsia="Arial" w:hAnsi="Arial"/>
                <w:sz w:val="17"/>
                <w:szCs w:val="17"/>
                <w:color w:val="auto"/>
              </w:rPr>
              <w:t>Asset management revenue</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tcPr>
          <w:p>
            <w:pPr>
              <w:spacing w:after="0"/>
              <w:rPr>
                <w:sz w:val="20"/>
                <w:szCs w:val="20"/>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433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433</w:t>
            </w:r>
          </w:p>
        </w:tc>
      </w:tr>
      <w:tr>
        <w:trPr>
          <w:trHeight w:val="252"/>
        </w:trPr>
        <w:tc>
          <w:tcPr>
            <w:tcW w:w="35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Transaction based revenue</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w:t>
            </w:r>
          </w:p>
        </w:tc>
      </w:tr>
      <w:tr>
        <w:trPr>
          <w:trHeight w:val="245"/>
        </w:trPr>
        <w:tc>
          <w:tcPr>
            <w:tcW w:w="35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r>
      <w:tr>
        <w:trPr>
          <w:trHeight w:val="263"/>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3,082</w:t>
            </w: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74"/>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644</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4,049</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749</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8,524</w:t>
            </w:r>
          </w:p>
        </w:tc>
      </w:tr>
      <w:tr>
        <w:trPr>
          <w:trHeight w:val="20"/>
        </w:trPr>
        <w:tc>
          <w:tcPr>
            <w:tcW w:w="5040" w:type="dxa"/>
            <w:vAlign w:val="bottom"/>
            <w:tcBorders>
              <w:top w:val="single" w:sz="8" w:color="CCEEFF"/>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r>
        <w:trPr>
          <w:trHeight w:val="204"/>
        </w:trPr>
        <w:tc>
          <w:tcPr>
            <w:tcW w:w="35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245"/>
        </w:trPr>
        <w:tc>
          <w:tcPr>
            <w:tcW w:w="5120" w:type="dxa"/>
            <w:vAlign w:val="bottom"/>
            <w:gridSpan w:val="5"/>
            <w:shd w:val="clear" w:color="auto" w:fill="CCEEFF"/>
          </w:tcPr>
          <w:p>
            <w:pPr>
              <w:ind w:left="120"/>
              <w:spacing w:after="0"/>
              <w:rPr>
                <w:sz w:val="20"/>
                <w:szCs w:val="20"/>
                <w:color w:val="auto"/>
              </w:rPr>
            </w:pPr>
            <w:r>
              <w:rPr>
                <w:rFonts w:ascii="Arial" w:cs="Arial" w:eastAsia="Arial" w:hAnsi="Arial"/>
                <w:sz w:val="17"/>
                <w:szCs w:val="17"/>
                <w:color w:val="auto"/>
                <w:w w:val="96"/>
              </w:rPr>
              <w:t>Reconciliation to Condensed Consolidated Statement of Operations:</w:t>
            </w:r>
          </w:p>
        </w:tc>
        <w:tc>
          <w:tcPr>
            <w:tcW w:w="10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8"/>
        </w:trPr>
        <w:tc>
          <w:tcPr>
            <w:tcW w:w="3580" w:type="dxa"/>
            <w:vAlign w:val="bottom"/>
          </w:tcPr>
          <w:p>
            <w:pPr>
              <w:ind w:left="180"/>
              <w:spacing w:after="0"/>
              <w:rPr>
                <w:sz w:val="20"/>
                <w:szCs w:val="20"/>
                <w:color w:val="auto"/>
              </w:rPr>
            </w:pPr>
            <w:r>
              <w:rPr>
                <w:rFonts w:ascii="Arial" w:cs="Arial" w:eastAsia="Arial" w:hAnsi="Arial"/>
                <w:sz w:val="17"/>
                <w:szCs w:val="17"/>
                <w:color w:val="auto"/>
              </w:rPr>
              <w:t>Non-interest income - other:</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2"/>
        </w:trPr>
        <w:tc>
          <w:tcPr>
            <w:tcW w:w="35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deposit related income</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644</w:t>
            </w:r>
          </w:p>
        </w:tc>
      </w:tr>
      <w:tr>
        <w:trPr>
          <w:trHeight w:val="238"/>
        </w:trPr>
        <w:tc>
          <w:tcPr>
            <w:tcW w:w="3580" w:type="dxa"/>
            <w:vAlign w:val="bottom"/>
          </w:tcPr>
          <w:p>
            <w:pPr>
              <w:ind w:left="280"/>
              <w:spacing w:after="0"/>
              <w:rPr>
                <w:sz w:val="20"/>
                <w:szCs w:val="20"/>
                <w:color w:val="auto"/>
              </w:rPr>
            </w:pPr>
            <w:r>
              <w:rPr>
                <w:rFonts w:ascii="Arial" w:cs="Arial" w:eastAsia="Arial" w:hAnsi="Arial"/>
                <w:sz w:val="17"/>
                <w:szCs w:val="17"/>
                <w:color w:val="auto"/>
              </w:rPr>
              <w:t>Investment and insurance commissions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749</w:t>
            </w:r>
          </w:p>
        </w:tc>
      </w:tr>
      <w:tr>
        <w:trPr>
          <w:trHeight w:val="252"/>
        </w:trPr>
        <w:tc>
          <w:tcPr>
            <w:tcW w:w="35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Bank owned life insurance (1)</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r>
      <w:tr>
        <w:trPr>
          <w:trHeight w:val="238"/>
        </w:trPr>
        <w:tc>
          <w:tcPr>
            <w:tcW w:w="35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Other (1)</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3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1,138</w:t>
            </w:r>
          </w:p>
        </w:tc>
      </w:tr>
      <w:tr>
        <w:trPr>
          <w:trHeight w:val="270"/>
        </w:trPr>
        <w:tc>
          <w:tcPr>
            <w:tcW w:w="3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2,590</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(1) Excluded from the scope of ASC Topic 606.</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7"/>
                <w:szCs w:val="17"/>
                <w:color w:val="auto"/>
                <w:w w:val="88"/>
              </w:rPr>
              <w:t>Service</w:t>
            </w:r>
          </w:p>
        </w:tc>
        <w:tc>
          <w:tcPr>
            <w:tcW w:w="280" w:type="dxa"/>
            <w:vAlign w:val="bottom"/>
          </w:tcPr>
          <w:p>
            <w:pPr>
              <w:spacing w:after="0"/>
              <w:rPr>
                <w:sz w:val="17"/>
                <w:szCs w:val="17"/>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7"/>
                <w:szCs w:val="17"/>
                <w:color w:val="auto"/>
                <w:w w:val="89"/>
              </w:rPr>
              <w:t>Other</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7"/>
                <w:szCs w:val="17"/>
                <w:color w:val="auto"/>
                <w:w w:val="93"/>
              </w:rPr>
              <w:t>Investment</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7"/>
                <w:szCs w:val="17"/>
                <w:color w:val="auto"/>
                <w:w w:val="87"/>
              </w:rPr>
              <w:t>Charges</w:t>
            </w:r>
          </w:p>
        </w:tc>
        <w:tc>
          <w:tcPr>
            <w:tcW w:w="280" w:type="dxa"/>
            <w:vAlign w:val="bottom"/>
          </w:tcPr>
          <w:p>
            <w:pPr>
              <w:spacing w:after="0"/>
              <w:rPr>
                <w:sz w:val="17"/>
                <w:szCs w:val="17"/>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7"/>
                <w:szCs w:val="17"/>
                <w:color w:val="auto"/>
                <w:w w:val="93"/>
              </w:rPr>
              <w:t>Deposit</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7"/>
                <w:szCs w:val="17"/>
                <w:color w:val="auto"/>
                <w:w w:val="91"/>
              </w:rPr>
              <w:t>and</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7"/>
                <w:szCs w:val="17"/>
                <w:color w:val="auto"/>
                <w:w w:val="91"/>
              </w:rPr>
              <w:t>on Deposit</w:t>
            </w:r>
          </w:p>
        </w:tc>
        <w:tc>
          <w:tcPr>
            <w:tcW w:w="280" w:type="dxa"/>
            <w:vAlign w:val="bottom"/>
          </w:tcPr>
          <w:p>
            <w:pPr>
              <w:spacing w:after="0"/>
              <w:rPr>
                <w:sz w:val="17"/>
                <w:szCs w:val="17"/>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7"/>
                <w:szCs w:val="17"/>
                <w:color w:val="auto"/>
                <w:w w:val="92"/>
              </w:rPr>
              <w:t>Related</w:t>
            </w:r>
          </w:p>
        </w:tc>
        <w:tc>
          <w:tcPr>
            <w:tcW w:w="18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Interchange</w:t>
            </w: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7"/>
                <w:szCs w:val="17"/>
                <w:color w:val="auto"/>
                <w:w w:val="88"/>
              </w:rPr>
              <w:t>Insurance</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7"/>
        </w:trPr>
        <w:tc>
          <w:tcPr>
            <w:tcW w:w="3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7"/>
                <w:szCs w:val="17"/>
                <w:color w:val="auto"/>
                <w:w w:val="94"/>
              </w:rPr>
              <w:t>Accounts</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7"/>
                <w:szCs w:val="17"/>
                <w:color w:val="auto"/>
                <w:w w:val="89"/>
              </w:rPr>
              <w:t>Income</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7"/>
                <w:szCs w:val="17"/>
                <w:color w:val="auto"/>
                <w:w w:val="93"/>
              </w:rPr>
              <w:t>Income</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7"/>
                <w:szCs w:val="17"/>
                <w:color w:val="auto"/>
                <w:w w:val="92"/>
              </w:rPr>
              <w:t>Commissions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Total</w:t>
            </w:r>
          </w:p>
        </w:tc>
      </w:tr>
      <w:tr>
        <w:trPr>
          <w:trHeight w:val="230"/>
        </w:trPr>
        <w:tc>
          <w:tcPr>
            <w:tcW w:w="3500" w:type="dxa"/>
            <w:vAlign w:val="bottom"/>
          </w:tcPr>
          <w:p>
            <w:pPr>
              <w:ind w:left="20"/>
              <w:spacing w:after="0"/>
              <w:rPr>
                <w:sz w:val="20"/>
                <w:szCs w:val="20"/>
                <w:color w:val="auto"/>
              </w:rPr>
            </w:pPr>
            <w:r>
              <w:rPr>
                <w:rFonts w:ascii="Arial" w:cs="Arial" w:eastAsia="Arial" w:hAnsi="Arial"/>
                <w:sz w:val="17"/>
                <w:szCs w:val="17"/>
                <w:color w:val="auto"/>
              </w:rPr>
              <w:t>Nine months ending September 30, 2023</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7"/>
                <w:szCs w:val="17"/>
                <w:color w:val="auto"/>
                <w:w w:val="90"/>
              </w:rPr>
              <w:t>(In thousands)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2"/>
        </w:trPr>
        <w:tc>
          <w:tcPr>
            <w:tcW w:w="3500" w:type="dxa"/>
            <w:vAlign w:val="bottom"/>
          </w:tcPr>
          <w:p>
            <w:pPr>
              <w:ind w:left="120"/>
              <w:spacing w:after="0"/>
              <w:rPr>
                <w:sz w:val="20"/>
                <w:szCs w:val="20"/>
                <w:color w:val="auto"/>
              </w:rPr>
            </w:pPr>
            <w:r>
              <w:rPr>
                <w:rFonts w:ascii="Arial" w:cs="Arial" w:eastAsia="Arial" w:hAnsi="Arial"/>
                <w:sz w:val="17"/>
                <w:szCs w:val="17"/>
                <w:color w:val="auto"/>
              </w:rPr>
              <w:t>Retail</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2"/>
        </w:trPr>
        <w:tc>
          <w:tcPr>
            <w:tcW w:w="3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Overdraft fees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6,770</w:t>
            </w:r>
          </w:p>
        </w:tc>
      </w:tr>
      <w:tr>
        <w:trPr>
          <w:trHeight w:val="238"/>
        </w:trPr>
        <w:tc>
          <w:tcPr>
            <w:tcW w:w="3500" w:type="dxa"/>
            <w:vAlign w:val="bottom"/>
          </w:tcPr>
          <w:p>
            <w:pPr>
              <w:ind w:left="180"/>
              <w:spacing w:after="0"/>
              <w:rPr>
                <w:sz w:val="20"/>
                <w:szCs w:val="20"/>
                <w:color w:val="auto"/>
              </w:rPr>
            </w:pPr>
            <w:r>
              <w:rPr>
                <w:rFonts w:ascii="Arial" w:cs="Arial" w:eastAsia="Arial" w:hAnsi="Arial"/>
                <w:sz w:val="17"/>
                <w:szCs w:val="17"/>
                <w:color w:val="auto"/>
              </w:rPr>
              <w:t>Account service charges</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2,135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2,135</w:t>
            </w:r>
          </w:p>
        </w:tc>
      </w:tr>
      <w:tr>
        <w:trPr>
          <w:trHeight w:val="252"/>
        </w:trPr>
        <w:tc>
          <w:tcPr>
            <w:tcW w:w="3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ATM fees</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1,235</w:t>
            </w:r>
          </w:p>
        </w:tc>
      </w:tr>
      <w:tr>
        <w:trPr>
          <w:trHeight w:val="238"/>
        </w:trPr>
        <w:tc>
          <w:tcPr>
            <w:tcW w:w="3500" w:type="dxa"/>
            <w:vAlign w:val="bottom"/>
          </w:tcPr>
          <w:p>
            <w:pPr>
              <w:ind w:left="180"/>
              <w:spacing w:after="0"/>
              <w:rPr>
                <w:sz w:val="20"/>
                <w:szCs w:val="20"/>
                <w:color w:val="auto"/>
              </w:rPr>
            </w:pPr>
            <w:r>
              <w:rPr>
                <w:rFonts w:ascii="Arial" w:cs="Arial" w:eastAsia="Arial" w:hAnsi="Arial"/>
                <w:sz w:val="17"/>
                <w:szCs w:val="17"/>
                <w:color w:val="auto"/>
              </w:rPr>
              <w:t>Other</w:t>
            </w:r>
          </w:p>
        </w:tc>
        <w:tc>
          <w:tcPr>
            <w:tcW w:w="2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756</w:t>
            </w:r>
          </w:p>
        </w:tc>
      </w:tr>
      <w:tr>
        <w:trPr>
          <w:trHeight w:val="252"/>
        </w:trPr>
        <w:tc>
          <w:tcPr>
            <w:tcW w:w="35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Business</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8"/>
        </w:trPr>
        <w:tc>
          <w:tcPr>
            <w:tcW w:w="3500" w:type="dxa"/>
            <w:vAlign w:val="bottom"/>
          </w:tcPr>
          <w:p>
            <w:pPr>
              <w:ind w:left="180"/>
              <w:spacing w:after="0"/>
              <w:rPr>
                <w:sz w:val="20"/>
                <w:szCs w:val="20"/>
                <w:color w:val="auto"/>
              </w:rPr>
            </w:pPr>
            <w:r>
              <w:rPr>
                <w:rFonts w:ascii="Arial" w:cs="Arial" w:eastAsia="Arial" w:hAnsi="Arial"/>
                <w:sz w:val="17"/>
                <w:szCs w:val="17"/>
                <w:color w:val="auto"/>
              </w:rPr>
              <w:t>Overdraft fees</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395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395</w:t>
            </w:r>
          </w:p>
        </w:tc>
      </w:tr>
      <w:tr>
        <w:trPr>
          <w:trHeight w:val="252"/>
        </w:trPr>
        <w:tc>
          <w:tcPr>
            <w:tcW w:w="3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ATM fees</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38"/>
        </w:trPr>
        <w:tc>
          <w:tcPr>
            <w:tcW w:w="3500" w:type="dxa"/>
            <w:vAlign w:val="bottom"/>
          </w:tcPr>
          <w:p>
            <w:pPr>
              <w:ind w:left="180"/>
              <w:spacing w:after="0"/>
              <w:rPr>
                <w:sz w:val="20"/>
                <w:szCs w:val="20"/>
                <w:color w:val="auto"/>
              </w:rPr>
            </w:pPr>
            <w:r>
              <w:rPr>
                <w:rFonts w:ascii="Arial" w:cs="Arial" w:eastAsia="Arial" w:hAnsi="Arial"/>
                <w:sz w:val="17"/>
                <w:szCs w:val="17"/>
                <w:color w:val="auto"/>
              </w:rPr>
              <w:t>Other</w:t>
            </w:r>
          </w:p>
        </w:tc>
        <w:tc>
          <w:tcPr>
            <w:tcW w:w="2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312</w:t>
            </w:r>
          </w:p>
        </w:tc>
      </w:tr>
      <w:tr>
        <w:trPr>
          <w:trHeight w:val="252"/>
        </w:trPr>
        <w:tc>
          <w:tcPr>
            <w:tcW w:w="35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Interchange income</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10,660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10,660</w:t>
            </w:r>
          </w:p>
        </w:tc>
      </w:tr>
      <w:tr>
        <w:trPr>
          <w:trHeight w:val="238"/>
        </w:trPr>
        <w:tc>
          <w:tcPr>
            <w:tcW w:w="3500" w:type="dxa"/>
            <w:vAlign w:val="bottom"/>
          </w:tcPr>
          <w:p>
            <w:pPr>
              <w:ind w:left="120"/>
              <w:spacing w:after="0"/>
              <w:rPr>
                <w:sz w:val="20"/>
                <w:szCs w:val="20"/>
                <w:color w:val="auto"/>
              </w:rPr>
            </w:pPr>
            <w:r>
              <w:rPr>
                <w:rFonts w:ascii="Arial" w:cs="Arial" w:eastAsia="Arial" w:hAnsi="Arial"/>
                <w:sz w:val="17"/>
                <w:szCs w:val="17"/>
                <w:color w:val="auto"/>
              </w:rPr>
              <w:t>Asset management revenue</w:t>
            </w:r>
          </w:p>
        </w:tc>
        <w:tc>
          <w:tcPr>
            <w:tcW w:w="2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1,389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1,389</w:t>
            </w:r>
          </w:p>
        </w:tc>
      </w:tr>
      <w:tr>
        <w:trPr>
          <w:trHeight w:val="252"/>
        </w:trPr>
        <w:tc>
          <w:tcPr>
            <w:tcW w:w="35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Transaction based revenue</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1,057</w:t>
            </w:r>
          </w:p>
        </w:tc>
      </w:tr>
      <w:tr>
        <w:trPr>
          <w:trHeight w:val="245"/>
        </w:trPr>
        <w:tc>
          <w:tcPr>
            <w:tcW w:w="35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r>
        <w:trPr>
          <w:trHeight w:val="263"/>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10,660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2,446</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24,744</w:t>
            </w:r>
          </w:p>
        </w:tc>
      </w:tr>
      <w:tr>
        <w:trPr>
          <w:trHeight w:val="20"/>
        </w:trPr>
        <w:tc>
          <w:tcPr>
            <w:tcW w:w="496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217"/>
        </w:trPr>
        <w:tc>
          <w:tcPr>
            <w:tcW w:w="35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38"/>
        </w:trPr>
        <w:tc>
          <w:tcPr>
            <w:tcW w:w="506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7"/>
                <w:szCs w:val="17"/>
                <w:color w:val="auto"/>
                <w:w w:val="95"/>
              </w:rPr>
              <w:t>Reconciliation to Condensed Consolidated Statement of Operations:</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8"/>
        </w:trPr>
        <w:tc>
          <w:tcPr>
            <w:tcW w:w="3500" w:type="dxa"/>
            <w:vAlign w:val="bottom"/>
          </w:tcPr>
          <w:p>
            <w:pPr>
              <w:ind w:left="180"/>
              <w:spacing w:after="0"/>
              <w:rPr>
                <w:sz w:val="20"/>
                <w:szCs w:val="20"/>
                <w:color w:val="auto"/>
              </w:rPr>
            </w:pPr>
            <w:r>
              <w:rPr>
                <w:rFonts w:ascii="Arial" w:cs="Arial" w:eastAsia="Arial" w:hAnsi="Arial"/>
                <w:sz w:val="17"/>
                <w:szCs w:val="17"/>
                <w:color w:val="auto"/>
              </w:rPr>
              <w:t>Non-interest income - other:</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2"/>
        </w:trPr>
        <w:tc>
          <w:tcPr>
            <w:tcW w:w="3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deposit related income</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2,338</w:t>
            </w:r>
          </w:p>
        </w:tc>
      </w:tr>
      <w:tr>
        <w:trPr>
          <w:trHeight w:val="251"/>
        </w:trPr>
        <w:tc>
          <w:tcPr>
            <w:tcW w:w="3500" w:type="dxa"/>
            <w:vAlign w:val="bottom"/>
          </w:tcPr>
          <w:p>
            <w:pPr>
              <w:ind w:left="440"/>
              <w:spacing w:after="0"/>
              <w:rPr>
                <w:sz w:val="20"/>
                <w:szCs w:val="20"/>
                <w:color w:val="auto"/>
              </w:rPr>
            </w:pPr>
            <w:r>
              <w:rPr>
                <w:rFonts w:ascii="Arial" w:cs="Arial" w:eastAsia="Arial" w:hAnsi="Arial"/>
                <w:sz w:val="17"/>
                <w:szCs w:val="17"/>
                <w:color w:val="auto"/>
              </w:rPr>
              <w:t>Investment and insurance commissions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2,446</w:t>
            </w:r>
          </w:p>
        </w:tc>
      </w:tr>
      <w:tr>
        <w:trPr>
          <w:trHeight w:val="265"/>
        </w:trPr>
        <w:tc>
          <w:tcPr>
            <w:tcW w:w="3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Bank owned life insurance (1)</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w:t>
            </w:r>
          </w:p>
        </w:tc>
      </w:tr>
      <w:tr>
        <w:trPr>
          <w:trHeight w:val="264"/>
        </w:trPr>
        <w:tc>
          <w:tcPr>
            <w:tcW w:w="350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Other (1)</w:t>
            </w:r>
          </w:p>
        </w:tc>
        <w:tc>
          <w:tcPr>
            <w:tcW w:w="2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4,181</w:t>
            </w:r>
          </w:p>
        </w:tc>
      </w:tr>
      <w:tr>
        <w:trPr>
          <w:trHeight w:val="270"/>
        </w:trPr>
        <w:tc>
          <w:tcPr>
            <w:tcW w:w="35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9,298</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(1) Excluded from the scope of ASC Topic 606.</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7"/>
                <w:szCs w:val="17"/>
                <w:color w:val="auto"/>
                <w:w w:val="88"/>
              </w:rPr>
              <w:t>Service</w:t>
            </w:r>
          </w:p>
        </w:tc>
        <w:tc>
          <w:tcPr>
            <w:tcW w:w="280" w:type="dxa"/>
            <w:vAlign w:val="bottom"/>
          </w:tcPr>
          <w:p>
            <w:pPr>
              <w:spacing w:after="0"/>
              <w:rPr>
                <w:sz w:val="17"/>
                <w:szCs w:val="17"/>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7"/>
                <w:szCs w:val="17"/>
                <w:color w:val="auto"/>
                <w:w w:val="89"/>
              </w:rPr>
              <w:t>Other</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7"/>
                <w:szCs w:val="17"/>
                <w:color w:val="auto"/>
                <w:w w:val="93"/>
              </w:rPr>
              <w:t>Investment</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7"/>
                <w:szCs w:val="17"/>
                <w:color w:val="auto"/>
                <w:w w:val="87"/>
              </w:rPr>
              <w:t>Charges</w:t>
            </w:r>
          </w:p>
        </w:tc>
        <w:tc>
          <w:tcPr>
            <w:tcW w:w="280" w:type="dxa"/>
            <w:vAlign w:val="bottom"/>
          </w:tcPr>
          <w:p>
            <w:pPr>
              <w:spacing w:after="0"/>
              <w:rPr>
                <w:sz w:val="17"/>
                <w:szCs w:val="17"/>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7"/>
                <w:szCs w:val="17"/>
                <w:color w:val="auto"/>
                <w:w w:val="93"/>
              </w:rPr>
              <w:t>Deposit</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7"/>
                <w:szCs w:val="17"/>
                <w:color w:val="auto"/>
                <w:w w:val="91"/>
              </w:rPr>
              <w:t>and</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9"/>
        </w:trPr>
        <w:tc>
          <w:tcPr>
            <w:tcW w:w="3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7"/>
                <w:szCs w:val="17"/>
                <w:color w:val="auto"/>
                <w:w w:val="91"/>
              </w:rPr>
              <w:t>on Deposit</w:t>
            </w:r>
          </w:p>
        </w:tc>
        <w:tc>
          <w:tcPr>
            <w:tcW w:w="280" w:type="dxa"/>
            <w:vAlign w:val="bottom"/>
          </w:tcPr>
          <w:p>
            <w:pPr>
              <w:spacing w:after="0"/>
              <w:rPr>
                <w:sz w:val="19"/>
                <w:szCs w:val="19"/>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7"/>
                <w:szCs w:val="17"/>
                <w:color w:val="auto"/>
                <w:w w:val="92"/>
              </w:rPr>
              <w:t>Related</w:t>
            </w:r>
          </w:p>
        </w:tc>
        <w:tc>
          <w:tcPr>
            <w:tcW w:w="18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Interchange</w:t>
            </w:r>
          </w:p>
        </w:tc>
        <w:tc>
          <w:tcPr>
            <w:tcW w:w="20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7"/>
                <w:szCs w:val="17"/>
                <w:color w:val="auto"/>
                <w:w w:val="88"/>
              </w:rPr>
              <w:t>Insurance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8"/>
        </w:trPr>
        <w:tc>
          <w:tcPr>
            <w:tcW w:w="3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7"/>
                <w:szCs w:val="17"/>
                <w:color w:val="auto"/>
                <w:w w:val="94"/>
              </w:rPr>
              <w:t>Accounts</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7"/>
                <w:szCs w:val="17"/>
                <w:color w:val="auto"/>
                <w:w w:val="89"/>
              </w:rPr>
              <w:t>Income</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7"/>
                <w:szCs w:val="17"/>
                <w:color w:val="auto"/>
                <w:w w:val="93"/>
              </w:rPr>
              <w:t>Income</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7"/>
                <w:szCs w:val="17"/>
                <w:color w:val="auto"/>
                <w:w w:val="92"/>
              </w:rPr>
              <w:t>Commissions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Total</w:t>
            </w:r>
          </w:p>
        </w:tc>
      </w:tr>
      <w:tr>
        <w:trPr>
          <w:trHeight w:val="230"/>
        </w:trPr>
        <w:tc>
          <w:tcPr>
            <w:tcW w:w="3500" w:type="dxa"/>
            <w:vAlign w:val="bottom"/>
          </w:tcPr>
          <w:p>
            <w:pPr>
              <w:ind w:left="20"/>
              <w:spacing w:after="0"/>
              <w:rPr>
                <w:sz w:val="20"/>
                <w:szCs w:val="20"/>
                <w:color w:val="auto"/>
              </w:rPr>
            </w:pPr>
            <w:r>
              <w:rPr>
                <w:rFonts w:ascii="Arial" w:cs="Arial" w:eastAsia="Arial" w:hAnsi="Arial"/>
                <w:sz w:val="17"/>
                <w:szCs w:val="17"/>
                <w:color w:val="auto"/>
              </w:rPr>
              <w:t>Nine months ending September 30, 2022</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7"/>
                <w:szCs w:val="17"/>
                <w:color w:val="auto"/>
                <w:w w:val="90"/>
              </w:rPr>
              <w:t>(In thousands)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2"/>
        </w:trPr>
        <w:tc>
          <w:tcPr>
            <w:tcW w:w="3500" w:type="dxa"/>
            <w:vAlign w:val="bottom"/>
          </w:tcPr>
          <w:p>
            <w:pPr>
              <w:ind w:left="120"/>
              <w:spacing w:after="0"/>
              <w:rPr>
                <w:sz w:val="20"/>
                <w:szCs w:val="20"/>
                <w:color w:val="auto"/>
              </w:rPr>
            </w:pPr>
            <w:r>
              <w:rPr>
                <w:rFonts w:ascii="Arial" w:cs="Arial" w:eastAsia="Arial" w:hAnsi="Arial"/>
                <w:sz w:val="17"/>
                <w:szCs w:val="17"/>
                <w:color w:val="auto"/>
              </w:rPr>
              <w:t>Retail</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2"/>
        </w:trPr>
        <w:tc>
          <w:tcPr>
            <w:tcW w:w="3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Overdraft fees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7,497</w:t>
            </w:r>
          </w:p>
        </w:tc>
      </w:tr>
      <w:tr>
        <w:trPr>
          <w:trHeight w:val="238"/>
        </w:trPr>
        <w:tc>
          <w:tcPr>
            <w:tcW w:w="3500" w:type="dxa"/>
            <w:vAlign w:val="bottom"/>
          </w:tcPr>
          <w:p>
            <w:pPr>
              <w:ind w:left="180"/>
              <w:spacing w:after="0"/>
              <w:rPr>
                <w:sz w:val="20"/>
                <w:szCs w:val="20"/>
                <w:color w:val="auto"/>
              </w:rPr>
            </w:pPr>
            <w:r>
              <w:rPr>
                <w:rFonts w:ascii="Arial" w:cs="Arial" w:eastAsia="Arial" w:hAnsi="Arial"/>
                <w:sz w:val="17"/>
                <w:szCs w:val="17"/>
                <w:color w:val="auto"/>
              </w:rPr>
              <w:t>Account service charges</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1,209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1,209</w:t>
            </w:r>
          </w:p>
        </w:tc>
      </w:tr>
      <w:tr>
        <w:trPr>
          <w:trHeight w:val="252"/>
        </w:trPr>
        <w:tc>
          <w:tcPr>
            <w:tcW w:w="3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ATM fees</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905</w:t>
            </w:r>
          </w:p>
        </w:tc>
      </w:tr>
      <w:tr>
        <w:trPr>
          <w:trHeight w:val="238"/>
        </w:trPr>
        <w:tc>
          <w:tcPr>
            <w:tcW w:w="3500" w:type="dxa"/>
            <w:vAlign w:val="bottom"/>
          </w:tcPr>
          <w:p>
            <w:pPr>
              <w:ind w:left="180"/>
              <w:spacing w:after="0"/>
              <w:rPr>
                <w:sz w:val="20"/>
                <w:szCs w:val="20"/>
                <w:color w:val="auto"/>
              </w:rPr>
            </w:pPr>
            <w:r>
              <w:rPr>
                <w:rFonts w:ascii="Arial" w:cs="Arial" w:eastAsia="Arial" w:hAnsi="Arial"/>
                <w:sz w:val="17"/>
                <w:szCs w:val="17"/>
                <w:color w:val="auto"/>
              </w:rPr>
              <w:t>Other</w:t>
            </w:r>
          </w:p>
        </w:tc>
        <w:tc>
          <w:tcPr>
            <w:tcW w:w="2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727</w:t>
            </w:r>
          </w:p>
        </w:tc>
      </w:tr>
      <w:tr>
        <w:trPr>
          <w:trHeight w:val="252"/>
        </w:trPr>
        <w:tc>
          <w:tcPr>
            <w:tcW w:w="35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Business</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8"/>
        </w:trPr>
        <w:tc>
          <w:tcPr>
            <w:tcW w:w="3500" w:type="dxa"/>
            <w:vAlign w:val="bottom"/>
          </w:tcPr>
          <w:p>
            <w:pPr>
              <w:ind w:left="180"/>
              <w:spacing w:after="0"/>
              <w:rPr>
                <w:sz w:val="20"/>
                <w:szCs w:val="20"/>
                <w:color w:val="auto"/>
              </w:rPr>
            </w:pPr>
            <w:r>
              <w:rPr>
                <w:rFonts w:ascii="Arial" w:cs="Arial" w:eastAsia="Arial" w:hAnsi="Arial"/>
                <w:sz w:val="17"/>
                <w:szCs w:val="17"/>
                <w:color w:val="auto"/>
              </w:rPr>
              <w:t>Overdraft fees</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429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429</w:t>
            </w:r>
          </w:p>
        </w:tc>
      </w:tr>
      <w:tr>
        <w:trPr>
          <w:trHeight w:val="252"/>
        </w:trPr>
        <w:tc>
          <w:tcPr>
            <w:tcW w:w="3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ATM fees</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38"/>
        </w:trPr>
        <w:tc>
          <w:tcPr>
            <w:tcW w:w="3500" w:type="dxa"/>
            <w:vAlign w:val="bottom"/>
          </w:tcPr>
          <w:p>
            <w:pPr>
              <w:ind w:left="180"/>
              <w:spacing w:after="0"/>
              <w:rPr>
                <w:sz w:val="20"/>
                <w:szCs w:val="20"/>
                <w:color w:val="auto"/>
              </w:rPr>
            </w:pPr>
            <w:r>
              <w:rPr>
                <w:rFonts w:ascii="Arial" w:cs="Arial" w:eastAsia="Arial" w:hAnsi="Arial"/>
                <w:sz w:val="17"/>
                <w:szCs w:val="17"/>
                <w:color w:val="auto"/>
              </w:rPr>
              <w:t>Other</w:t>
            </w:r>
          </w:p>
        </w:tc>
        <w:tc>
          <w:tcPr>
            <w:tcW w:w="2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237</w:t>
            </w:r>
          </w:p>
        </w:tc>
      </w:tr>
      <w:tr>
        <w:trPr>
          <w:trHeight w:val="252"/>
        </w:trPr>
        <w:tc>
          <w:tcPr>
            <w:tcW w:w="35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Interchange income</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10,553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10,553</w:t>
            </w:r>
          </w:p>
        </w:tc>
      </w:tr>
      <w:tr>
        <w:trPr>
          <w:trHeight w:val="238"/>
        </w:trPr>
        <w:tc>
          <w:tcPr>
            <w:tcW w:w="3500" w:type="dxa"/>
            <w:vAlign w:val="bottom"/>
          </w:tcPr>
          <w:p>
            <w:pPr>
              <w:ind w:left="120"/>
              <w:spacing w:after="0"/>
              <w:rPr>
                <w:sz w:val="20"/>
                <w:szCs w:val="20"/>
                <w:color w:val="auto"/>
              </w:rPr>
            </w:pPr>
            <w:r>
              <w:rPr>
                <w:rFonts w:ascii="Arial" w:cs="Arial" w:eastAsia="Arial" w:hAnsi="Arial"/>
                <w:sz w:val="17"/>
                <w:szCs w:val="17"/>
                <w:color w:val="auto"/>
              </w:rPr>
              <w:t>Asset management revenue</w:t>
            </w:r>
          </w:p>
        </w:tc>
        <w:tc>
          <w:tcPr>
            <w:tcW w:w="2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1,355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1,355</w:t>
            </w:r>
          </w:p>
        </w:tc>
      </w:tr>
      <w:tr>
        <w:trPr>
          <w:trHeight w:val="252"/>
        </w:trPr>
        <w:tc>
          <w:tcPr>
            <w:tcW w:w="35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Transaction based revenue</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814</w:t>
            </w:r>
          </w:p>
        </w:tc>
      </w:tr>
      <w:tr>
        <w:trPr>
          <w:trHeight w:val="251"/>
        </w:trPr>
        <w:tc>
          <w:tcPr>
            <w:tcW w:w="35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r>
        <w:trPr>
          <w:trHeight w:val="27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9,135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10,553</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2,169</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23,748</w:t>
            </w:r>
          </w:p>
        </w:tc>
      </w:tr>
      <w:tr>
        <w:trPr>
          <w:trHeight w:val="20"/>
        </w:trPr>
        <w:tc>
          <w:tcPr>
            <w:tcW w:w="496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217"/>
        </w:trPr>
        <w:tc>
          <w:tcPr>
            <w:tcW w:w="35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38"/>
        </w:trPr>
        <w:tc>
          <w:tcPr>
            <w:tcW w:w="506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7"/>
                <w:szCs w:val="17"/>
                <w:color w:val="auto"/>
                <w:w w:val="95"/>
              </w:rPr>
              <w:t>Reconciliation to Condensed Consolidated Statement of Operations:</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8"/>
        </w:trPr>
        <w:tc>
          <w:tcPr>
            <w:tcW w:w="3500" w:type="dxa"/>
            <w:vAlign w:val="bottom"/>
          </w:tcPr>
          <w:p>
            <w:pPr>
              <w:ind w:left="180"/>
              <w:spacing w:after="0"/>
              <w:rPr>
                <w:sz w:val="20"/>
                <w:szCs w:val="20"/>
                <w:color w:val="auto"/>
              </w:rPr>
            </w:pPr>
            <w:r>
              <w:rPr>
                <w:rFonts w:ascii="Arial" w:cs="Arial" w:eastAsia="Arial" w:hAnsi="Arial"/>
                <w:sz w:val="17"/>
                <w:szCs w:val="17"/>
                <w:color w:val="auto"/>
              </w:rPr>
              <w:t>Non-interest income - other:</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2"/>
        </w:trPr>
        <w:tc>
          <w:tcPr>
            <w:tcW w:w="3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deposit related income</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1,891</w:t>
            </w:r>
          </w:p>
        </w:tc>
      </w:tr>
      <w:tr>
        <w:trPr>
          <w:trHeight w:val="251"/>
        </w:trPr>
        <w:tc>
          <w:tcPr>
            <w:tcW w:w="3500" w:type="dxa"/>
            <w:vAlign w:val="bottom"/>
          </w:tcPr>
          <w:p>
            <w:pPr>
              <w:ind w:left="440"/>
              <w:spacing w:after="0"/>
              <w:rPr>
                <w:sz w:val="20"/>
                <w:szCs w:val="20"/>
                <w:color w:val="auto"/>
              </w:rPr>
            </w:pPr>
            <w:r>
              <w:rPr>
                <w:rFonts w:ascii="Arial" w:cs="Arial" w:eastAsia="Arial" w:hAnsi="Arial"/>
                <w:sz w:val="17"/>
                <w:szCs w:val="17"/>
                <w:color w:val="auto"/>
              </w:rPr>
              <w:t>Investment and insurance commissions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2,169</w:t>
            </w:r>
          </w:p>
        </w:tc>
      </w:tr>
      <w:tr>
        <w:trPr>
          <w:trHeight w:val="252"/>
        </w:trPr>
        <w:tc>
          <w:tcPr>
            <w:tcW w:w="3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Bank owned life insurance (1)</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w:t>
            </w:r>
          </w:p>
        </w:tc>
      </w:tr>
      <w:tr>
        <w:trPr>
          <w:trHeight w:val="271"/>
        </w:trPr>
        <w:tc>
          <w:tcPr>
            <w:tcW w:w="350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Other (1)</w:t>
            </w:r>
          </w:p>
        </w:tc>
        <w:tc>
          <w:tcPr>
            <w:tcW w:w="220" w:type="dxa"/>
            <w:vAlign w:val="bottom"/>
            <w:tcBorders>
              <w:bottom w:val="single" w:sz="8" w:color="CCEEFF"/>
            </w:tcBorders>
          </w:tcPr>
          <w:p>
            <w:pPr>
              <w:spacing w:after="0"/>
              <w:rPr>
                <w:sz w:val="23"/>
                <w:szCs w:val="23"/>
                <w:color w:val="auto"/>
              </w:rPr>
            </w:pPr>
          </w:p>
        </w:tc>
        <w:tc>
          <w:tcPr>
            <w:tcW w:w="12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11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30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30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3,635</w:t>
            </w:r>
          </w:p>
        </w:tc>
      </w:tr>
      <w:tr>
        <w:trPr>
          <w:trHeight w:val="263"/>
        </w:trPr>
        <w:tc>
          <w:tcPr>
            <w:tcW w:w="35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7,997</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(1) Excluded from the scope of ASC Topic 606.</w:t>
      </w:r>
    </w:p>
    <w:p>
      <w:pPr>
        <w:spacing w:after="0" w:line="191" w:lineRule="exact"/>
        <w:rPr>
          <w:sz w:val="20"/>
          <w:szCs w:val="20"/>
          <w:color w:val="auto"/>
        </w:rPr>
      </w:pPr>
    </w:p>
    <w:p>
      <w:pPr>
        <w:ind w:left="380" w:hanging="377"/>
        <w:spacing w:after="0"/>
        <w:tabs>
          <w:tab w:leader="none" w:pos="380"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Leases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have entered into leases in the normal course of business primarily for office facilities, some of which include renewal options and escalation clauses. Certain leases also include both lease components (fixed payments including rent, taxes and insurance costs) and non-lease components (common area or other maintenance costs) which are accounted for as a single lease component as we have elected the practical expedient to group lease and non-lease components together for all leases. We have also elected not to recognize leases with original lease terms of 12 months or less (short-term leases) on our Condensed Consolidated Statements of Financial Condition. Most of our leases include one or more options to renew. The exercise of lease renewal options is typically at our sole discretion and are included in our right of use (“ROU”) assets and lease liabilities if they are reasonably certain of exercise.</w:t>
      </w:r>
    </w:p>
    <w:p>
      <w:pPr>
        <w:spacing w:after="0" w:line="13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Leases are classified as operating or finance leases at the lease commencement date (we did not have any finance leases as of September 30, 2023). Lease expense for operating leases and short-term leases is recognized on a straight-line basis over the lease term. The ROU assets represent our right to use an underlying asset for the lease term and lease liabilities represent our obligation to make lease payments arising from the lease. ROU assets and lease liabilities are recognized at the lease commencement date based on the estimated present value of the lease payment over the lease term.</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most of our leases do not provide an implicit rate, we use our incremental borrowing rate based on the information available at the lease commencement date in determining the present value of the lease payments.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40" w:type="dxa"/>
            <w:vAlign w:val="bottom"/>
          </w:tcPr>
          <w:p>
            <w:pPr>
              <w:spacing w:after="0"/>
              <w:rPr>
                <w:sz w:val="20"/>
                <w:szCs w:val="20"/>
                <w:color w:val="auto"/>
              </w:rPr>
            </w:pPr>
            <w:r>
              <w:rPr>
                <w:rFonts w:ascii="Arial" w:cs="Arial" w:eastAsia="Arial" w:hAnsi="Arial"/>
                <w:sz w:val="17"/>
                <w:szCs w:val="17"/>
                <w:color w:val="auto"/>
              </w:rPr>
              <w:t>The cost components of our operating leases follows:</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415"/>
        </w:trPr>
        <w:tc>
          <w:tcPr>
            <w:tcW w:w="5040" w:type="dxa"/>
            <w:vAlign w:val="bottom"/>
          </w:tcPr>
          <w:p>
            <w:pPr>
              <w:spacing w:after="0"/>
              <w:rPr>
                <w:sz w:val="24"/>
                <w:szCs w:val="24"/>
                <w:color w:val="auto"/>
              </w:rPr>
            </w:pPr>
          </w:p>
        </w:tc>
        <w:tc>
          <w:tcPr>
            <w:tcW w:w="2580" w:type="dxa"/>
            <w:vAlign w:val="bottom"/>
            <w:gridSpan w:val="4"/>
          </w:tcPr>
          <w:p>
            <w:pPr>
              <w:jc w:val="center"/>
              <w:ind w:left="354"/>
              <w:spacing w:after="0"/>
              <w:rPr>
                <w:sz w:val="20"/>
                <w:szCs w:val="20"/>
                <w:color w:val="auto"/>
              </w:rPr>
            </w:pPr>
            <w:r>
              <w:rPr>
                <w:rFonts w:ascii="Arial" w:cs="Arial" w:eastAsia="Arial" w:hAnsi="Arial"/>
                <w:sz w:val="17"/>
                <w:szCs w:val="17"/>
                <w:color w:val="auto"/>
                <w:w w:val="91"/>
              </w:rPr>
              <w:t>Three Months Ended</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center"/>
              <w:ind w:right="254"/>
              <w:spacing w:after="0"/>
              <w:rPr>
                <w:sz w:val="20"/>
                <w:szCs w:val="20"/>
                <w:color w:val="auto"/>
              </w:rPr>
            </w:pPr>
            <w:r>
              <w:rPr>
                <w:rFonts w:ascii="Arial" w:cs="Arial" w:eastAsia="Arial" w:hAnsi="Arial"/>
                <w:sz w:val="17"/>
                <w:szCs w:val="17"/>
                <w:color w:val="auto"/>
                <w:w w:val="92"/>
              </w:rPr>
              <w:t>Nine Months Ended</w:t>
            </w:r>
          </w:p>
        </w:tc>
      </w:tr>
      <w:tr>
        <w:trPr>
          <w:trHeight w:val="217"/>
        </w:trPr>
        <w:tc>
          <w:tcPr>
            <w:tcW w:w="5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20" w:type="dxa"/>
            <w:vAlign w:val="bottom"/>
            <w:gridSpan w:val="3"/>
          </w:tcPr>
          <w:p>
            <w:pPr>
              <w:jc w:val="center"/>
              <w:ind w:right="434"/>
              <w:spacing w:after="0"/>
              <w:rPr>
                <w:sz w:val="20"/>
                <w:szCs w:val="20"/>
                <w:color w:val="auto"/>
              </w:rPr>
            </w:pPr>
            <w:r>
              <w:rPr>
                <w:rFonts w:ascii="Arial" w:cs="Arial" w:eastAsia="Arial" w:hAnsi="Arial"/>
                <w:sz w:val="17"/>
                <w:szCs w:val="17"/>
                <w:color w:val="auto"/>
                <w:w w:val="87"/>
              </w:rPr>
              <w:t>September 30,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3"/>
          </w:tcPr>
          <w:p>
            <w:pPr>
              <w:jc w:val="center"/>
              <w:ind w:left="554"/>
              <w:spacing w:after="0"/>
              <w:rPr>
                <w:sz w:val="20"/>
                <w:szCs w:val="20"/>
                <w:color w:val="auto"/>
              </w:rPr>
            </w:pPr>
            <w:r>
              <w:rPr>
                <w:rFonts w:ascii="Arial" w:cs="Arial" w:eastAsia="Arial" w:hAnsi="Arial"/>
                <w:sz w:val="17"/>
                <w:szCs w:val="17"/>
                <w:color w:val="auto"/>
                <w:w w:val="87"/>
              </w:rPr>
              <w:t>September 30,</w:t>
            </w:r>
          </w:p>
        </w:tc>
        <w:tc>
          <w:tcPr>
            <w:tcW w:w="980" w:type="dxa"/>
            <w:vAlign w:val="bottom"/>
          </w:tcPr>
          <w:p>
            <w:pPr>
              <w:spacing w:after="0"/>
              <w:rPr>
                <w:sz w:val="18"/>
                <w:szCs w:val="18"/>
                <w:color w:val="auto"/>
              </w:rPr>
            </w:pPr>
          </w:p>
        </w:tc>
      </w:tr>
      <w:tr>
        <w:trPr>
          <w:trHeight w:val="265"/>
        </w:trPr>
        <w:tc>
          <w:tcPr>
            <w:tcW w:w="504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5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2022</w:t>
            </w:r>
          </w:p>
        </w:tc>
        <w:tc>
          <w:tcPr>
            <w:tcW w:w="46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2023</w:t>
            </w:r>
          </w:p>
        </w:tc>
        <w:tc>
          <w:tcPr>
            <w:tcW w:w="1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2022</w:t>
            </w:r>
          </w:p>
        </w:tc>
      </w:tr>
      <w:tr>
        <w:trPr>
          <w:trHeight w:val="238"/>
        </w:trPr>
        <w:tc>
          <w:tcPr>
            <w:tcW w:w="5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20" w:type="dxa"/>
            <w:vAlign w:val="bottom"/>
            <w:gridSpan w:val="3"/>
          </w:tcPr>
          <w:p>
            <w:pPr>
              <w:jc w:val="center"/>
              <w:ind w:right="434"/>
              <w:spacing w:after="0"/>
              <w:rPr>
                <w:sz w:val="20"/>
                <w:szCs w:val="20"/>
                <w:color w:val="auto"/>
              </w:rPr>
            </w:pPr>
            <w:r>
              <w:rPr>
                <w:rFonts w:ascii="Arial" w:cs="Arial" w:eastAsia="Arial" w:hAnsi="Arial"/>
                <w:sz w:val="17"/>
                <w:szCs w:val="17"/>
                <w:color w:val="auto"/>
                <w:w w:val="90"/>
              </w:rPr>
              <w:t>(In thousands)</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3"/>
          </w:tcPr>
          <w:p>
            <w:pPr>
              <w:jc w:val="center"/>
              <w:ind w:left="554"/>
              <w:spacing w:after="0"/>
              <w:rPr>
                <w:sz w:val="20"/>
                <w:szCs w:val="20"/>
                <w:color w:val="auto"/>
              </w:rPr>
            </w:pPr>
            <w:r>
              <w:rPr>
                <w:rFonts w:ascii="Arial" w:cs="Arial" w:eastAsia="Arial" w:hAnsi="Arial"/>
                <w:sz w:val="17"/>
                <w:szCs w:val="17"/>
                <w:color w:val="auto"/>
                <w:w w:val="90"/>
              </w:rPr>
              <w:t>(In thousands)</w:t>
            </w:r>
          </w:p>
        </w:tc>
        <w:tc>
          <w:tcPr>
            <w:tcW w:w="980" w:type="dxa"/>
            <w:vAlign w:val="bottom"/>
          </w:tcPr>
          <w:p>
            <w:pPr>
              <w:spacing w:after="0"/>
              <w:rPr>
                <w:sz w:val="20"/>
                <w:szCs w:val="20"/>
                <w:color w:val="auto"/>
              </w:rPr>
            </w:pPr>
          </w:p>
        </w:tc>
      </w:tr>
      <w:tr>
        <w:trPr>
          <w:trHeight w:val="252"/>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cost</w:t>
            </w:r>
          </w:p>
        </w:tc>
        <w:tc>
          <w:tcPr>
            <w:tcW w:w="96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34"/>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1,080</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1,233</w:t>
            </w:r>
          </w:p>
        </w:tc>
      </w:tr>
      <w:tr>
        <w:trPr>
          <w:trHeight w:val="238"/>
        </w:trPr>
        <w:tc>
          <w:tcPr>
            <w:tcW w:w="5040" w:type="dxa"/>
            <w:vAlign w:val="bottom"/>
          </w:tcPr>
          <w:p>
            <w:pPr>
              <w:ind w:left="20"/>
              <w:spacing w:after="0"/>
              <w:rPr>
                <w:sz w:val="20"/>
                <w:szCs w:val="20"/>
                <w:color w:val="auto"/>
              </w:rPr>
            </w:pPr>
            <w:r>
              <w:rPr>
                <w:rFonts w:ascii="Arial" w:cs="Arial" w:eastAsia="Arial" w:hAnsi="Arial"/>
                <w:sz w:val="17"/>
                <w:szCs w:val="17"/>
                <w:color w:val="auto"/>
              </w:rPr>
              <w:t>Variable lease cost</w:t>
            </w: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245"/>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lease cost</w:t>
            </w:r>
          </w:p>
        </w:tc>
        <w:tc>
          <w:tcPr>
            <w:tcW w:w="96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w:t>
            </w:r>
          </w:p>
        </w:tc>
      </w:tr>
      <w:tr>
        <w:trPr>
          <w:trHeight w:val="245"/>
        </w:trPr>
        <w:tc>
          <w:tcPr>
            <w:tcW w:w="5040" w:type="dxa"/>
            <w:vAlign w:val="bottom"/>
          </w:tcPr>
          <w:p>
            <w:pPr>
              <w:ind w:left="320"/>
              <w:spacing w:after="0"/>
              <w:rPr>
                <w:sz w:val="20"/>
                <w:szCs w:val="20"/>
                <w:color w:val="auto"/>
              </w:rPr>
            </w:pPr>
            <w:r>
              <w:rPr>
                <w:rFonts w:ascii="Arial" w:cs="Arial" w:eastAsia="Arial" w:hAnsi="Arial"/>
                <w:sz w:val="17"/>
                <w:szCs w:val="17"/>
                <w:color w:val="auto"/>
              </w:rPr>
              <w:t>Total</w:t>
            </w:r>
          </w:p>
        </w:tc>
        <w:tc>
          <w:tcPr>
            <w:tcW w:w="960" w:type="dxa"/>
            <w:vAlign w:val="bottom"/>
            <w:tcBorders>
              <w:bottom w:val="single" w:sz="8" w:color="auto"/>
            </w:tcBorders>
          </w:tcPr>
          <w:p>
            <w:pPr>
              <w:jc w:val="right"/>
              <w:ind w:right="774"/>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408</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834"/>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455</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1,223</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1,356</w:t>
            </w:r>
          </w:p>
        </w:tc>
      </w:tr>
      <w:tr>
        <w:trPr>
          <w:trHeight w:val="20"/>
        </w:trPr>
        <w:tc>
          <w:tcPr>
            <w:tcW w:w="5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Variable lease costs consist primarily of taxes, insurance, and common area or other maintenance costs for our leased facilities.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40" w:type="dxa"/>
            <w:vAlign w:val="bottom"/>
          </w:tcPr>
          <w:p>
            <w:pPr>
              <w:spacing w:after="0"/>
              <w:rPr>
                <w:sz w:val="20"/>
                <w:szCs w:val="20"/>
                <w:color w:val="auto"/>
              </w:rPr>
            </w:pPr>
            <w:r>
              <w:rPr>
                <w:rFonts w:ascii="Arial" w:cs="Arial" w:eastAsia="Arial" w:hAnsi="Arial"/>
                <w:sz w:val="17"/>
                <w:szCs w:val="17"/>
                <w:color w:val="auto"/>
              </w:rPr>
              <w:t>Supplemental balance sheet information related to our operating leases follows:</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76"/>
        </w:trPr>
        <w:tc>
          <w:tcPr>
            <w:tcW w:w="7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ind w:left="100"/>
              <w:spacing w:after="0"/>
              <w:rPr>
                <w:sz w:val="20"/>
                <w:szCs w:val="20"/>
                <w:color w:val="auto"/>
              </w:rPr>
            </w:pPr>
            <w:r>
              <w:rPr>
                <w:rFonts w:ascii="Arial" w:cs="Arial" w:eastAsia="Arial" w:hAnsi="Arial"/>
                <w:sz w:val="17"/>
                <w:szCs w:val="17"/>
                <w:color w:val="auto"/>
              </w:rPr>
              <w:t>September 30,</w:t>
            </w:r>
          </w:p>
        </w:tc>
        <w:tc>
          <w:tcPr>
            <w:tcW w:w="200" w:type="dxa"/>
            <w:vAlign w:val="bottom"/>
          </w:tcPr>
          <w:p>
            <w:pPr>
              <w:spacing w:after="0"/>
              <w:rPr>
                <w:sz w:val="24"/>
                <w:szCs w:val="24"/>
                <w:color w:val="auto"/>
              </w:rPr>
            </w:pPr>
          </w:p>
        </w:tc>
        <w:tc>
          <w:tcPr>
            <w:tcW w:w="1400" w:type="dxa"/>
            <w:vAlign w:val="bottom"/>
          </w:tcPr>
          <w:p>
            <w:pPr>
              <w:jc w:val="right"/>
              <w:ind w:right="234"/>
              <w:spacing w:after="0"/>
              <w:rPr>
                <w:sz w:val="20"/>
                <w:szCs w:val="20"/>
                <w:color w:val="auto"/>
              </w:rPr>
            </w:pPr>
            <w:r>
              <w:rPr>
                <w:rFonts w:ascii="Arial" w:cs="Arial" w:eastAsia="Arial" w:hAnsi="Arial"/>
                <w:sz w:val="17"/>
                <w:szCs w:val="17"/>
                <w:color w:val="auto"/>
                <w:w w:val="99"/>
              </w:rPr>
              <w:t>December 31,</w:t>
            </w:r>
          </w:p>
        </w:tc>
      </w:tr>
      <w:tr>
        <w:trPr>
          <w:trHeight w:val="237"/>
        </w:trPr>
        <w:tc>
          <w:tcPr>
            <w:tcW w:w="7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rPr>
              <w:t>2023</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2022</w:t>
            </w:r>
          </w:p>
        </w:tc>
      </w:tr>
      <w:tr>
        <w:trPr>
          <w:trHeight w:val="218"/>
        </w:trPr>
        <w:tc>
          <w:tcPr>
            <w:tcW w:w="7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gridSpan w:val="4"/>
          </w:tcPr>
          <w:p>
            <w:pPr>
              <w:jc w:val="right"/>
              <w:ind w:right="794"/>
              <w:spacing w:after="0"/>
              <w:rPr>
                <w:sz w:val="20"/>
                <w:szCs w:val="20"/>
                <w:color w:val="auto"/>
              </w:rPr>
            </w:pPr>
            <w:r>
              <w:rPr>
                <w:rFonts w:ascii="Arial" w:cs="Arial" w:eastAsia="Arial" w:hAnsi="Arial"/>
                <w:sz w:val="17"/>
                <w:szCs w:val="17"/>
                <w:color w:val="auto"/>
              </w:rPr>
              <w:t>(Dollars in thousands)</w:t>
            </w:r>
          </w:p>
        </w:tc>
      </w:tr>
      <w:tr>
        <w:trPr>
          <w:trHeight w:val="271"/>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Lease right of use asset (1)</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5,231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5,544</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40" w:type="dxa"/>
            <w:vAlign w:val="bottom"/>
          </w:tcPr>
          <w:p>
            <w:pPr>
              <w:ind w:left="20"/>
              <w:spacing w:after="0"/>
              <w:rPr>
                <w:sz w:val="20"/>
                <w:szCs w:val="20"/>
                <w:color w:val="auto"/>
              </w:rPr>
            </w:pPr>
            <w:r>
              <w:rPr>
                <w:rFonts w:ascii="Arial" w:cs="Arial" w:eastAsia="Arial" w:hAnsi="Arial"/>
                <w:sz w:val="17"/>
                <w:szCs w:val="17"/>
                <w:color w:val="auto"/>
              </w:rPr>
              <w:t>Lease liabilities (2)</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5,423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5,769</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4"/>
        </w:trPr>
        <w:tc>
          <w:tcPr>
            <w:tcW w:w="7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5"/>
        </w:trPr>
        <w:tc>
          <w:tcPr>
            <w:tcW w:w="7940" w:type="dxa"/>
            <w:vAlign w:val="bottom"/>
          </w:tcPr>
          <w:p>
            <w:pPr>
              <w:ind w:left="20"/>
              <w:spacing w:after="0"/>
              <w:rPr>
                <w:sz w:val="20"/>
                <w:szCs w:val="20"/>
                <w:color w:val="auto"/>
              </w:rPr>
            </w:pPr>
            <w:r>
              <w:rPr>
                <w:rFonts w:ascii="Arial" w:cs="Arial" w:eastAsia="Arial" w:hAnsi="Arial"/>
                <w:sz w:val="17"/>
                <w:szCs w:val="17"/>
                <w:color w:val="auto"/>
              </w:rPr>
              <w:t>Weighted average remaining lease term (years)</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6.11</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5.86</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62"/>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 average discount rate</w:t>
            </w: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2.4 %</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left="300" w:hanging="297"/>
        <w:spacing w:after="0"/>
        <w:tabs>
          <w:tab w:leader="none" w:pos="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Included in Accrued income and other assets in our Condensed Consolidated Statements of Financial Condition.</w:t>
      </w:r>
    </w:p>
    <w:p>
      <w:pPr>
        <w:spacing w:after="0" w:line="21" w:lineRule="exact"/>
        <w:rPr>
          <w:rFonts w:ascii="Arial" w:cs="Arial" w:eastAsia="Arial" w:hAnsi="Arial"/>
          <w:sz w:val="17"/>
          <w:szCs w:val="17"/>
          <w:color w:val="auto"/>
        </w:rPr>
      </w:pPr>
    </w:p>
    <w:p>
      <w:pPr>
        <w:ind w:left="300" w:hanging="297"/>
        <w:spacing w:after="0"/>
        <w:tabs>
          <w:tab w:leader="none" w:pos="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Included in Accrued expenses and other liabilities in our Condensed Consolidated Statements of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Maturity analysis of our lease liabilities at September 30, 2023 based on required contractual payments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0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14"/>
              <w:spacing w:after="0"/>
              <w:rPr>
                <w:sz w:val="20"/>
                <w:szCs w:val="20"/>
                <w:color w:val="auto"/>
              </w:rPr>
            </w:pPr>
            <w:r>
              <w:rPr>
                <w:rFonts w:ascii="Arial" w:cs="Arial" w:eastAsia="Arial" w:hAnsi="Arial"/>
                <w:sz w:val="17"/>
                <w:szCs w:val="17"/>
                <w:b w:val="1"/>
                <w:bCs w:val="1"/>
                <w:color w:val="auto"/>
                <w:w w:val="93"/>
              </w:rPr>
              <w:t>(In thousands)</w:t>
            </w:r>
          </w:p>
        </w:tc>
        <w:tc>
          <w:tcPr>
            <w:tcW w:w="0" w:type="dxa"/>
            <w:vAlign w:val="bottom"/>
          </w:tcPr>
          <w:p>
            <w:pPr>
              <w:spacing w:after="0"/>
              <w:rPr>
                <w:sz w:val="1"/>
                <w:szCs w:val="1"/>
                <w:color w:val="auto"/>
              </w:rPr>
            </w:pPr>
          </w:p>
        </w:tc>
      </w:tr>
      <w:tr>
        <w:trPr>
          <w:trHeight w:val="285"/>
        </w:trPr>
        <w:tc>
          <w:tcPr>
            <w:tcW w:w="420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Three months ending December 31, 2023</w:t>
            </w:r>
          </w:p>
        </w:tc>
        <w:tc>
          <w:tcPr>
            <w:tcW w:w="5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w:t>
            </w:r>
          </w:p>
        </w:tc>
        <w:tc>
          <w:tcPr>
            <w:tcW w:w="0" w:type="dxa"/>
            <w:vAlign w:val="bottom"/>
          </w:tcPr>
          <w:p>
            <w:pPr>
              <w:spacing w:after="0"/>
              <w:rPr>
                <w:sz w:val="1"/>
                <w:szCs w:val="1"/>
                <w:color w:val="auto"/>
              </w:rPr>
            </w:pPr>
          </w:p>
        </w:tc>
      </w:tr>
      <w:tr>
        <w:trPr>
          <w:trHeight w:val="238"/>
        </w:trPr>
        <w:tc>
          <w:tcPr>
            <w:tcW w:w="4200" w:type="dxa"/>
            <w:vAlign w:val="bottom"/>
          </w:tcPr>
          <w:p>
            <w:pPr>
              <w:ind w:left="20"/>
              <w:spacing w:after="0"/>
              <w:rPr>
                <w:sz w:val="20"/>
                <w:szCs w:val="20"/>
                <w:color w:val="auto"/>
              </w:rPr>
            </w:pPr>
            <w:r>
              <w:rPr>
                <w:rFonts w:ascii="Arial" w:cs="Arial" w:eastAsia="Arial" w:hAnsi="Arial"/>
                <w:sz w:val="17"/>
                <w:szCs w:val="17"/>
                <w:color w:val="auto"/>
              </w:rPr>
              <w:t>2024</w:t>
            </w:r>
          </w:p>
        </w:tc>
        <w:tc>
          <w:tcPr>
            <w:tcW w:w="5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1,142</w:t>
            </w:r>
          </w:p>
        </w:tc>
        <w:tc>
          <w:tcPr>
            <w:tcW w:w="0" w:type="dxa"/>
            <w:vAlign w:val="bottom"/>
          </w:tcPr>
          <w:p>
            <w:pPr>
              <w:spacing w:after="0"/>
              <w:rPr>
                <w:sz w:val="1"/>
                <w:szCs w:val="1"/>
                <w:color w:val="auto"/>
              </w:rPr>
            </w:pPr>
          </w:p>
        </w:tc>
      </w:tr>
      <w:tr>
        <w:trPr>
          <w:trHeight w:val="252"/>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5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1,075</w:t>
            </w:r>
          </w:p>
        </w:tc>
        <w:tc>
          <w:tcPr>
            <w:tcW w:w="0" w:type="dxa"/>
            <w:vAlign w:val="bottom"/>
          </w:tcPr>
          <w:p>
            <w:pPr>
              <w:spacing w:after="0"/>
              <w:rPr>
                <w:sz w:val="1"/>
                <w:szCs w:val="1"/>
                <w:color w:val="auto"/>
              </w:rPr>
            </w:pPr>
          </w:p>
        </w:tc>
      </w:tr>
      <w:tr>
        <w:trPr>
          <w:trHeight w:val="238"/>
        </w:trPr>
        <w:tc>
          <w:tcPr>
            <w:tcW w:w="4200" w:type="dxa"/>
            <w:vAlign w:val="bottom"/>
          </w:tcPr>
          <w:p>
            <w:pPr>
              <w:ind w:left="20"/>
              <w:spacing w:after="0"/>
              <w:rPr>
                <w:sz w:val="20"/>
                <w:szCs w:val="20"/>
                <w:color w:val="auto"/>
              </w:rPr>
            </w:pPr>
            <w:r>
              <w:rPr>
                <w:rFonts w:ascii="Arial" w:cs="Arial" w:eastAsia="Arial" w:hAnsi="Arial"/>
                <w:sz w:val="17"/>
                <w:szCs w:val="17"/>
                <w:color w:val="auto"/>
              </w:rPr>
              <w:t>2026</w:t>
            </w:r>
          </w:p>
        </w:tc>
        <w:tc>
          <w:tcPr>
            <w:tcW w:w="5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903</w:t>
            </w:r>
          </w:p>
        </w:tc>
        <w:tc>
          <w:tcPr>
            <w:tcW w:w="0" w:type="dxa"/>
            <w:vAlign w:val="bottom"/>
          </w:tcPr>
          <w:p>
            <w:pPr>
              <w:spacing w:after="0"/>
              <w:rPr>
                <w:sz w:val="1"/>
                <w:szCs w:val="1"/>
                <w:color w:val="auto"/>
              </w:rPr>
            </w:pPr>
          </w:p>
        </w:tc>
      </w:tr>
      <w:tr>
        <w:trPr>
          <w:trHeight w:val="252"/>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5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714</w:t>
            </w:r>
          </w:p>
        </w:tc>
        <w:tc>
          <w:tcPr>
            <w:tcW w:w="0" w:type="dxa"/>
            <w:vAlign w:val="bottom"/>
          </w:tcPr>
          <w:p>
            <w:pPr>
              <w:spacing w:after="0"/>
              <w:rPr>
                <w:sz w:val="1"/>
                <w:szCs w:val="1"/>
                <w:color w:val="auto"/>
              </w:rPr>
            </w:pPr>
          </w:p>
        </w:tc>
      </w:tr>
      <w:tr>
        <w:trPr>
          <w:trHeight w:val="238"/>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2028 and thereafter</w:t>
            </w:r>
          </w:p>
        </w:tc>
        <w:tc>
          <w:tcPr>
            <w:tcW w:w="55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1,720</w:t>
            </w:r>
          </w:p>
        </w:tc>
        <w:tc>
          <w:tcPr>
            <w:tcW w:w="0" w:type="dxa"/>
            <w:vAlign w:val="bottom"/>
          </w:tcPr>
          <w:p>
            <w:pPr>
              <w:spacing w:after="0"/>
              <w:rPr>
                <w:sz w:val="1"/>
                <w:szCs w:val="1"/>
                <w:color w:val="auto"/>
              </w:rPr>
            </w:pPr>
          </w:p>
        </w:tc>
      </w:tr>
      <w:tr>
        <w:trPr>
          <w:trHeight w:val="245"/>
        </w:trPr>
        <w:tc>
          <w:tcPr>
            <w:tcW w:w="42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lease payments</w:t>
            </w:r>
          </w:p>
        </w:tc>
        <w:tc>
          <w:tcPr>
            <w:tcW w:w="5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5,905</w:t>
            </w:r>
          </w:p>
        </w:tc>
        <w:tc>
          <w:tcPr>
            <w:tcW w:w="0" w:type="dxa"/>
            <w:vAlign w:val="bottom"/>
          </w:tcPr>
          <w:p>
            <w:pPr>
              <w:spacing w:after="0"/>
              <w:rPr>
                <w:sz w:val="1"/>
                <w:szCs w:val="1"/>
                <w:color w:val="auto"/>
              </w:rPr>
            </w:pPr>
          </w:p>
        </w:tc>
      </w:tr>
      <w:tr>
        <w:trPr>
          <w:trHeight w:val="251"/>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imputed interest</w:t>
            </w:r>
          </w:p>
        </w:tc>
        <w:tc>
          <w:tcPr>
            <w:tcW w:w="55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(482)</w:t>
            </w:r>
          </w:p>
        </w:tc>
        <w:tc>
          <w:tcPr>
            <w:tcW w:w="0" w:type="dxa"/>
            <w:vAlign w:val="bottom"/>
          </w:tcPr>
          <w:p>
            <w:pPr>
              <w:spacing w:after="0"/>
              <w:rPr>
                <w:sz w:val="1"/>
                <w:szCs w:val="1"/>
                <w:color w:val="auto"/>
              </w:rPr>
            </w:pPr>
          </w:p>
        </w:tc>
      </w:tr>
      <w:tr>
        <w:trPr>
          <w:trHeight w:val="265"/>
        </w:trPr>
        <w:tc>
          <w:tcPr>
            <w:tcW w:w="42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5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5,423</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5560" w:type="dxa"/>
            <w:vAlign w:val="bottom"/>
            <w:tcBorders>
              <w:top w:val="single" w:sz="8" w:color="CCEEFF"/>
              <w:bottom w:val="single" w:sz="8" w:color="CCEEFF"/>
            </w:tcBorders>
            <w:vMerge w:val="restart"/>
          </w:tcPr>
          <w:p>
            <w:pPr>
              <w:jc w:val="right"/>
              <w:ind w:right="3974"/>
              <w:spacing w:after="0"/>
              <w:rPr>
                <w:sz w:val="20"/>
                <w:szCs w:val="20"/>
                <w:color w:val="auto"/>
              </w:rPr>
            </w:pPr>
            <w:r>
              <w:rPr>
                <w:rFonts w:ascii="Arial" w:cs="Arial" w:eastAsia="Arial" w:hAnsi="Arial"/>
                <w:sz w:val="17"/>
                <w:szCs w:val="17"/>
                <w:color w:val="auto"/>
              </w:rPr>
              <w:t>63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4"/>
        </w:trPr>
        <w:tc>
          <w:tcPr>
            <w:tcW w:w="4200" w:type="dxa"/>
            <w:vAlign w:val="bottom"/>
          </w:tcPr>
          <w:p>
            <w:pPr>
              <w:spacing w:after="0"/>
              <w:rPr>
                <w:sz w:val="24"/>
                <w:szCs w:val="24"/>
                <w:color w:val="auto"/>
              </w:rPr>
            </w:pPr>
          </w:p>
        </w:tc>
        <w:tc>
          <w:tcPr>
            <w:tcW w:w="55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200" w:type="dxa"/>
            <w:vAlign w:val="bottom"/>
            <w:tcBorders>
              <w:bottom w:val="single" w:sz="8" w:color="9A9A9A"/>
            </w:tcBorders>
          </w:tcPr>
          <w:p>
            <w:pPr>
              <w:spacing w:after="0"/>
              <w:rPr>
                <w:sz w:val="9"/>
                <w:szCs w:val="9"/>
                <w:color w:val="auto"/>
              </w:rPr>
            </w:pPr>
          </w:p>
        </w:tc>
        <w:tc>
          <w:tcPr>
            <w:tcW w:w="55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w:t>
      </w:r>
      <w:r>
        <w:rPr>
          <w:rFonts w:ascii="Arial" w:cs="Arial" w:eastAsia="Arial" w:hAnsi="Arial"/>
          <w:sz w:val="13"/>
          <w:szCs w:val="13"/>
          <w:b w:val="1"/>
          <w:bCs w:val="1"/>
          <w:color w:val="auto"/>
        </w:rPr>
        <w:t>TEM</w:t>
      </w:r>
      <w:r>
        <w:rPr>
          <w:rFonts w:ascii="Arial" w:cs="Arial" w:eastAsia="Arial" w:hAnsi="Arial"/>
          <w:sz w:val="17"/>
          <w:szCs w:val="17"/>
          <w:b w:val="1"/>
          <w:bCs w:val="1"/>
          <w:color w:val="auto"/>
        </w:rPr>
        <w:t xml:space="preserve"> 2.</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w:t>
      </w:r>
      <w:r>
        <w:rPr>
          <w:rFonts w:ascii="Arial" w:cs="Arial" w:eastAsia="Arial" w:hAnsi="Arial"/>
          <w:sz w:val="13"/>
          <w:szCs w:val="13"/>
          <w:b w:val="1"/>
          <w:bCs w:val="1"/>
          <w:color w:val="auto"/>
        </w:rPr>
        <w:t>ANAGEMENT’S</w:t>
      </w:r>
      <w:r>
        <w:rPr>
          <w:rFonts w:ascii="Arial" w:cs="Arial" w:eastAsia="Arial" w:hAnsi="Arial"/>
          <w:sz w:val="17"/>
          <w:szCs w:val="17"/>
          <w:b w:val="1"/>
          <w:bCs w:val="1"/>
          <w:color w:val="auto"/>
        </w:rPr>
        <w:t xml:space="preserve"> D</w:t>
      </w:r>
      <w:r>
        <w:rPr>
          <w:rFonts w:ascii="Arial" w:cs="Arial" w:eastAsia="Arial" w:hAnsi="Arial"/>
          <w:sz w:val="13"/>
          <w:szCs w:val="13"/>
          <w:b w:val="1"/>
          <w:bCs w:val="1"/>
          <w:color w:val="auto"/>
        </w:rPr>
        <w:t>ISCUSSION AND</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NALYSIS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OF </w:t>
      </w:r>
      <w:r>
        <w:rPr>
          <w:rFonts w:ascii="Arial" w:cs="Arial" w:eastAsia="Arial" w:hAnsi="Arial"/>
          <w:sz w:val="17"/>
          <w:szCs w:val="17"/>
          <w:b w:val="1"/>
          <w:bCs w:val="1"/>
          <w:color w:val="auto"/>
        </w:rPr>
        <w:t>F</w:t>
      </w:r>
      <w:r>
        <w:rPr>
          <w:rFonts w:ascii="Arial" w:cs="Arial" w:eastAsia="Arial" w:hAnsi="Arial"/>
          <w:sz w:val="14"/>
          <w:szCs w:val="14"/>
          <w:b w:val="1"/>
          <w:bCs w:val="1"/>
          <w:color w:val="auto"/>
        </w:rPr>
        <w:t xml:space="preserve">INANCIAL </w:t>
      </w:r>
      <w:r>
        <w:rPr>
          <w:rFonts w:ascii="Arial" w:cs="Arial" w:eastAsia="Arial" w:hAnsi="Arial"/>
          <w:sz w:val="17"/>
          <w:szCs w:val="17"/>
          <w:b w:val="1"/>
          <w:bCs w:val="1"/>
          <w:color w:val="auto"/>
        </w:rPr>
        <w:t>C</w:t>
      </w:r>
      <w:r>
        <w:rPr>
          <w:rFonts w:ascii="Arial" w:cs="Arial" w:eastAsia="Arial" w:hAnsi="Arial"/>
          <w:sz w:val="14"/>
          <w:szCs w:val="14"/>
          <w:b w:val="1"/>
          <w:bCs w:val="1"/>
          <w:color w:val="auto"/>
        </w:rPr>
        <w:t xml:space="preserve">ONDITION AND </w:t>
      </w:r>
      <w:r>
        <w:rPr>
          <w:rFonts w:ascii="Arial" w:cs="Arial" w:eastAsia="Arial" w:hAnsi="Arial"/>
          <w:sz w:val="17"/>
          <w:szCs w:val="17"/>
          <w:b w:val="1"/>
          <w:bCs w:val="1"/>
          <w:color w:val="auto"/>
        </w:rPr>
        <w:t>R</w:t>
      </w:r>
      <w:r>
        <w:rPr>
          <w:rFonts w:ascii="Arial" w:cs="Arial" w:eastAsia="Arial" w:hAnsi="Arial"/>
          <w:sz w:val="14"/>
          <w:szCs w:val="14"/>
          <w:b w:val="1"/>
          <w:bCs w:val="1"/>
          <w:color w:val="auto"/>
        </w:rPr>
        <w:t xml:space="preserve">ESULTS OF </w:t>
      </w:r>
      <w:r>
        <w:rPr>
          <w:rFonts w:ascii="Arial" w:cs="Arial" w:eastAsia="Arial" w:hAnsi="Arial"/>
          <w:sz w:val="17"/>
          <w:szCs w:val="17"/>
          <w:b w:val="1"/>
          <w:bCs w:val="1"/>
          <w:color w:val="auto"/>
        </w:rPr>
        <w:t>O</w:t>
      </w:r>
      <w:r>
        <w:rPr>
          <w:rFonts w:ascii="Arial" w:cs="Arial" w:eastAsia="Arial" w:hAnsi="Arial"/>
          <w:sz w:val="14"/>
          <w:szCs w:val="14"/>
          <w:b w:val="1"/>
          <w:bCs w:val="1"/>
          <w:color w:val="auto"/>
        </w:rPr>
        <w:t>PERATIONS</w:t>
      </w:r>
    </w:p>
    <w:p>
      <w:pPr>
        <w:spacing w:after="0" w:line="1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Introduction</w:t>
      </w:r>
      <w:r>
        <w:rPr>
          <w:rFonts w:ascii="Arial" w:cs="Arial" w:eastAsia="Arial" w:hAnsi="Arial"/>
          <w:sz w:val="16"/>
          <w:szCs w:val="16"/>
          <w:color w:val="auto"/>
        </w:rPr>
        <w:t>. The following section presents additional information to assess the financial condition and results of operations of Independent Bank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(“IBCP”), its wholly-owned bank, Independent Bank (the “Bank”), and their subsidiaries. This section should be read in conjunction with the Condensed Consolidated Financial Statements. We also encourage you to read our 2022 Annual Report on Form 10-K filed with the U.S. Securities and Exchange Commission (“SEC”). That report includes a list of risk factors that you should consider in connection with any decision to buy or sell our securities.</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r>
        <w:rPr>
          <w:rFonts w:ascii="Arial" w:cs="Arial" w:eastAsia="Arial" w:hAnsi="Arial"/>
          <w:sz w:val="15"/>
          <w:szCs w:val="15"/>
          <w:color w:val="auto"/>
        </w:rPr>
        <w:t>. We provide banking services to customers located primarily in Michigan’s Lower Peninsula. We also have a loan production office in Fairlawn, Ohio.</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As a result, our success depends to a great extent upon the economic conditions in Michigan’s Lower Peninsula.</w:t>
      </w:r>
    </w:p>
    <w:p>
      <w:pPr>
        <w:spacing w:after="0" w:line="16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color w:val="auto"/>
        </w:rPr>
        <w:t xml:space="preserve">Recent Developments. </w:t>
      </w:r>
      <w:r>
        <w:rPr>
          <w:rFonts w:ascii="Arial" w:cs="Arial" w:eastAsia="Arial" w:hAnsi="Arial"/>
          <w:sz w:val="16"/>
          <w:szCs w:val="16"/>
          <w:color w:val="auto"/>
        </w:rPr>
        <w:t>As explained in more detail below under Item 1A – “Risk Factors” – the closures of Silicon Valley Bank and Signature Bank earlier this</w:t>
      </w:r>
      <w:r>
        <w:rPr>
          <w:rFonts w:ascii="Arial" w:cs="Arial" w:eastAsia="Arial" w:hAnsi="Arial"/>
          <w:sz w:val="16"/>
          <w:szCs w:val="16"/>
          <w:b w:val="1"/>
          <w:bCs w:val="1"/>
          <w:color w:val="auto"/>
        </w:rPr>
        <w:t xml:space="preserve"> </w:t>
      </w:r>
      <w:r>
        <w:rPr>
          <w:rFonts w:ascii="Arial" w:cs="Arial" w:eastAsia="Arial" w:hAnsi="Arial"/>
          <w:sz w:val="16"/>
          <w:szCs w:val="16"/>
          <w:color w:val="auto"/>
        </w:rPr>
        <w:t>year have impacted the financial services industry. These events have caused banks to reexamine their funding sources and liquidity risks and in some cases have caused deposit holders to reevaluate their banking relationships. As addressed below, we believe these events have caused little to no impact on our deposit base, aside from the mix and pricing of deposits, and that our liquidity and funding and capital resources remain strong. In the wake of these events, initiatives taken with our customer base included discussing how these events unfolded, reinforcing our current capital and liquidity positions and education to maximize FDIC insurance coverage. (See “Deposits and borrowings” and "Liquidity and capital resources").</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Pressures from various global and national macroeconomic conditions, including heightened inflation, rising interest rates, elevated energy prices, supply chain disruptions, recent adverse weather conditions, concerns over the Russia-Ukraine war and the economic sanctions related thereto, escalating tensions in the Middle East, and foreign currency exchange rate fluctuations continue to create significant economic uncertainty. The extent to which these pressures may impact our business, results of operations, asset valuations, financial condition, and customers will depend on future developments, which continue to be highly uncertain and difficult to predict. Material adverse impacts may include all or a combination of valuation impairments on our intangible assets, securities available for sale ("AFS"), securities held to maturity ("HTM"), loans, capitalized mortgage loan servicing rights or deferred tax assets.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It is against this backdrop that we discuss our results of operations and financial condition for the third quarter of 2023 as compared to earlier periods.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w:t>
      </w:r>
      <w:r>
        <w:rPr>
          <w:rFonts w:ascii="Arial" w:cs="Arial" w:eastAsia="Arial" w:hAnsi="Arial"/>
          <w:sz w:val="13"/>
          <w:szCs w:val="13"/>
          <w:b w:val="1"/>
          <w:bCs w:val="1"/>
          <w:color w:val="auto"/>
        </w:rPr>
        <w:t>ESULTS OF</w:t>
      </w:r>
      <w:r>
        <w:rPr>
          <w:rFonts w:ascii="Arial" w:cs="Arial" w:eastAsia="Arial" w:hAnsi="Arial"/>
          <w:sz w:val="17"/>
          <w:szCs w:val="17"/>
          <w:b w:val="1"/>
          <w:bCs w:val="1"/>
          <w:color w:val="auto"/>
        </w:rPr>
        <w:t xml:space="preserve"> O</w:t>
      </w:r>
      <w:r>
        <w:rPr>
          <w:rFonts w:ascii="Arial" w:cs="Arial" w:eastAsia="Arial" w:hAnsi="Arial"/>
          <w:sz w:val="13"/>
          <w:szCs w:val="13"/>
          <w:b w:val="1"/>
          <w:bCs w:val="1"/>
          <w:color w:val="auto"/>
        </w:rPr>
        <w:t>PERATIONS</w:t>
      </w:r>
    </w:p>
    <w:p>
      <w:pPr>
        <w:spacing w:after="0" w:line="19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Summary. </w:t>
      </w:r>
      <w:r>
        <w:rPr>
          <w:rFonts w:ascii="Arial" w:cs="Arial" w:eastAsia="Arial" w:hAnsi="Arial"/>
          <w:sz w:val="17"/>
          <w:szCs w:val="17"/>
          <w:color w:val="auto"/>
        </w:rPr>
        <w:t>We recorded net income of $17.5 million and $17.3 million during the three months ended September 30, 2023 and 2022, respectively. The increase in</w:t>
      </w:r>
      <w:r>
        <w:rPr>
          <w:rFonts w:ascii="Arial" w:cs="Arial" w:eastAsia="Arial" w:hAnsi="Arial"/>
          <w:sz w:val="17"/>
          <w:szCs w:val="17"/>
          <w:b w:val="1"/>
          <w:bCs w:val="1"/>
          <w:color w:val="auto"/>
        </w:rPr>
        <w:t xml:space="preserve"> </w:t>
      </w:r>
      <w:r>
        <w:rPr>
          <w:rFonts w:ascii="Arial" w:cs="Arial" w:eastAsia="Arial" w:hAnsi="Arial"/>
          <w:sz w:val="17"/>
          <w:szCs w:val="17"/>
          <w:color w:val="auto"/>
        </w:rPr>
        <w:t>2023 third quarter results as compared to 2022 is due to decreases in the provision for credit losses and non-interest expense that were partially offset by decreases in net-interest income and non-interest income and an increase in income tax expense.</w:t>
      </w:r>
    </w:p>
    <w:p>
      <w:pPr>
        <w:spacing w:after="0" w:line="13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recorded net income of $45.3 million and $48.3 million during the nine months ended September 30, 2023 and 2022, respectively. The decrease in 2023 year-to-date results as compared to 2022 is primarily due to an increase in the provision for credit losses and a decrease in non-interest income that was partially offset by an increase in net-interest income and decreases in non-interest expense and income tax expense.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95"/>
        </w:trPr>
        <w:tc>
          <w:tcPr>
            <w:tcW w:w="4780" w:type="dxa"/>
            <w:vAlign w:val="bottom"/>
            <w:gridSpan w:val="2"/>
          </w:tcPr>
          <w:p>
            <w:pPr>
              <w:spacing w:after="0"/>
              <w:rPr>
                <w:sz w:val="20"/>
                <w:szCs w:val="20"/>
                <w:color w:val="auto"/>
              </w:rPr>
            </w:pPr>
            <w:r>
              <w:rPr>
                <w:rFonts w:ascii="Arial" w:cs="Arial" w:eastAsia="Arial" w:hAnsi="Arial"/>
                <w:sz w:val="17"/>
                <w:szCs w:val="17"/>
                <w:i w:val="1"/>
                <w:iCs w:val="1"/>
                <w:color w:val="0000FF"/>
              </w:rPr>
              <w:t>Index</w:t>
            </w: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958"/>
        </w:trPr>
        <w:tc>
          <w:tcPr>
            <w:tcW w:w="4780" w:type="dxa"/>
            <w:vAlign w:val="bottom"/>
            <w:gridSpan w:val="2"/>
          </w:tcPr>
          <w:p>
            <w:pPr>
              <w:spacing w:after="0"/>
              <w:rPr>
                <w:sz w:val="20"/>
                <w:szCs w:val="20"/>
                <w:color w:val="auto"/>
              </w:rPr>
            </w:pPr>
            <w:r>
              <w:rPr>
                <w:rFonts w:ascii="Arial" w:cs="Arial" w:eastAsia="Arial" w:hAnsi="Arial"/>
                <w:sz w:val="17"/>
                <w:szCs w:val="17"/>
                <w:b w:val="1"/>
                <w:bCs w:val="1"/>
                <w:color w:val="auto"/>
              </w:rPr>
              <w:t>Key performance ratios</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5"/>
        </w:trPr>
        <w:tc>
          <w:tcPr>
            <w:tcW w:w="38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3280" w:type="dxa"/>
            <w:vAlign w:val="bottom"/>
            <w:gridSpan w:val="6"/>
          </w:tcPr>
          <w:p>
            <w:pPr>
              <w:ind w:left="380"/>
              <w:spacing w:after="0"/>
              <w:rPr>
                <w:sz w:val="20"/>
                <w:szCs w:val="20"/>
                <w:color w:val="auto"/>
              </w:rPr>
            </w:pPr>
            <w:r>
              <w:rPr>
                <w:rFonts w:ascii="Arial" w:cs="Arial" w:eastAsia="Arial" w:hAnsi="Arial"/>
                <w:sz w:val="17"/>
                <w:szCs w:val="17"/>
                <w:color w:val="auto"/>
              </w:rPr>
              <w:t>Three months ended September 30,</w:t>
            </w:r>
          </w:p>
        </w:tc>
        <w:tc>
          <w:tcPr>
            <w:tcW w:w="260" w:type="dxa"/>
            <w:vAlign w:val="bottom"/>
          </w:tcPr>
          <w:p>
            <w:pPr>
              <w:spacing w:after="0"/>
              <w:rPr>
                <w:sz w:val="21"/>
                <w:szCs w:val="21"/>
                <w:color w:val="auto"/>
              </w:rPr>
            </w:pPr>
          </w:p>
        </w:tc>
        <w:tc>
          <w:tcPr>
            <w:tcW w:w="2920" w:type="dxa"/>
            <w:vAlign w:val="bottom"/>
            <w:gridSpan w:val="4"/>
          </w:tcPr>
          <w:p>
            <w:pPr>
              <w:jc w:val="right"/>
              <w:ind w:right="314"/>
              <w:spacing w:after="0"/>
              <w:rPr>
                <w:sz w:val="20"/>
                <w:szCs w:val="20"/>
                <w:color w:val="auto"/>
              </w:rPr>
            </w:pPr>
            <w:r>
              <w:rPr>
                <w:rFonts w:ascii="Arial" w:cs="Arial" w:eastAsia="Arial" w:hAnsi="Arial"/>
                <w:sz w:val="17"/>
                <w:szCs w:val="17"/>
                <w:color w:val="auto"/>
                <w:w w:val="94"/>
              </w:rPr>
              <w:t>Nine months ended September 30,</w:t>
            </w:r>
          </w:p>
        </w:tc>
      </w:tr>
      <w:tr>
        <w:trPr>
          <w:trHeight w:val="239"/>
        </w:trPr>
        <w:tc>
          <w:tcPr>
            <w:tcW w:w="3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2022</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2023</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2022</w:t>
            </w:r>
          </w:p>
        </w:tc>
      </w:tr>
      <w:tr>
        <w:trPr>
          <w:trHeight w:val="225"/>
        </w:trPr>
        <w:tc>
          <w:tcPr>
            <w:tcW w:w="4780" w:type="dxa"/>
            <w:vAlign w:val="bottom"/>
            <w:gridSpan w:val="2"/>
          </w:tcPr>
          <w:p>
            <w:pPr>
              <w:ind w:left="20"/>
              <w:spacing w:after="0"/>
              <w:rPr>
                <w:sz w:val="20"/>
                <w:szCs w:val="20"/>
                <w:color w:val="auto"/>
              </w:rPr>
            </w:pPr>
            <w:r>
              <w:rPr>
                <w:rFonts w:ascii="Arial" w:cs="Arial" w:eastAsia="Arial" w:hAnsi="Arial"/>
                <w:sz w:val="17"/>
                <w:szCs w:val="17"/>
                <w:color w:val="auto"/>
              </w:rPr>
              <w:t>Net income (annualized) to</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52"/>
        </w:trPr>
        <w:tc>
          <w:tcPr>
            <w:tcW w:w="47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Average assets</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1.34 %</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1.40 %</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1.19 %</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1.35 %</w:t>
            </w:r>
          </w:p>
        </w:tc>
      </w:tr>
      <w:tr>
        <w:trPr>
          <w:trHeight w:val="238"/>
        </w:trPr>
        <w:tc>
          <w:tcPr>
            <w:tcW w:w="4780" w:type="dxa"/>
            <w:vAlign w:val="bottom"/>
            <w:gridSpan w:val="2"/>
          </w:tcPr>
          <w:p>
            <w:pPr>
              <w:ind w:left="180"/>
              <w:spacing w:after="0"/>
              <w:rPr>
                <w:sz w:val="20"/>
                <w:szCs w:val="20"/>
                <w:color w:val="auto"/>
              </w:rPr>
            </w:pPr>
            <w:r>
              <w:rPr>
                <w:rFonts w:ascii="Arial" w:cs="Arial" w:eastAsia="Arial" w:hAnsi="Arial"/>
                <w:sz w:val="17"/>
                <w:szCs w:val="17"/>
                <w:color w:val="auto"/>
              </w:rPr>
              <w:t>Average shareholders’ equity</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89"/>
              </w:rPr>
              <w:t>18.68 %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20.48 %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16.62 %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18.56 %</w:t>
            </w:r>
          </w:p>
        </w:tc>
      </w:tr>
      <w:tr>
        <w:trPr>
          <w:trHeight w:val="265"/>
        </w:trPr>
        <w:tc>
          <w:tcPr>
            <w:tcW w:w="4780" w:type="dxa"/>
            <w:vAlign w:val="bottom"/>
            <w:gridSpan w:val="2"/>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38"/>
        </w:trPr>
        <w:tc>
          <w:tcPr>
            <w:tcW w:w="4780" w:type="dxa"/>
            <w:vAlign w:val="bottom"/>
            <w:gridSpan w:val="2"/>
          </w:tcPr>
          <w:p>
            <w:pPr>
              <w:ind w:left="20"/>
              <w:spacing w:after="0"/>
              <w:rPr>
                <w:sz w:val="20"/>
                <w:szCs w:val="20"/>
                <w:color w:val="auto"/>
              </w:rPr>
            </w:pPr>
            <w:r>
              <w:rPr>
                <w:rFonts w:ascii="Arial" w:cs="Arial" w:eastAsia="Arial" w:hAnsi="Arial"/>
                <w:sz w:val="17"/>
                <w:szCs w:val="17"/>
                <w:color w:val="auto"/>
              </w:rPr>
              <w:t>Net income per common share</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2"/>
        </w:trPr>
        <w:tc>
          <w:tcPr>
            <w:tcW w:w="47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96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0.84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0.82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2.16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2.29</w:t>
            </w:r>
          </w:p>
        </w:tc>
      </w:tr>
      <w:tr>
        <w:trPr>
          <w:trHeight w:val="230"/>
        </w:trPr>
        <w:tc>
          <w:tcPr>
            <w:tcW w:w="4780" w:type="dxa"/>
            <w:vAlign w:val="bottom"/>
            <w:gridSpan w:val="2"/>
          </w:tcPr>
          <w:p>
            <w:pPr>
              <w:ind w:left="180"/>
              <w:spacing w:after="0"/>
              <w:rPr>
                <w:sz w:val="20"/>
                <w:szCs w:val="20"/>
                <w:color w:val="auto"/>
              </w:rPr>
            </w:pPr>
            <w:r>
              <w:rPr>
                <w:rFonts w:ascii="Arial" w:cs="Arial" w:eastAsia="Arial" w:hAnsi="Arial"/>
                <w:sz w:val="17"/>
                <w:szCs w:val="17"/>
                <w:color w:val="auto"/>
              </w:rPr>
              <w:t>Diluted</w:t>
            </w:r>
          </w:p>
        </w:tc>
        <w:tc>
          <w:tcPr>
            <w:tcW w:w="960" w:type="dxa"/>
            <w:vAlign w:val="bottom"/>
          </w:tcPr>
          <w:p>
            <w:pPr>
              <w:spacing w:after="0"/>
              <w:rPr>
                <w:sz w:val="20"/>
                <w:szCs w:val="20"/>
                <w:color w:val="auto"/>
              </w:rPr>
            </w:pPr>
          </w:p>
        </w:tc>
        <w:tc>
          <w:tcPr>
            <w:tcW w:w="600" w:type="dxa"/>
            <w:vAlign w:val="bottom"/>
          </w:tcPr>
          <w:p>
            <w:pPr>
              <w:jc w:val="right"/>
              <w:ind w:right="134"/>
              <w:spacing w:after="0"/>
              <w:rPr>
                <w:sz w:val="20"/>
                <w:szCs w:val="20"/>
                <w:color w:val="auto"/>
              </w:rPr>
            </w:pPr>
            <w:r>
              <w:rPr>
                <w:rFonts w:ascii="Arial" w:cs="Arial" w:eastAsia="Arial" w:hAnsi="Arial"/>
                <w:sz w:val="17"/>
                <w:szCs w:val="17"/>
                <w:color w:val="auto"/>
              </w:rPr>
              <w:t>0.83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34"/>
              <w:spacing w:after="0"/>
              <w:rPr>
                <w:sz w:val="20"/>
                <w:szCs w:val="20"/>
                <w:color w:val="auto"/>
              </w:rPr>
            </w:pPr>
            <w:r>
              <w:rPr>
                <w:rFonts w:ascii="Arial" w:cs="Arial" w:eastAsia="Arial" w:hAnsi="Arial"/>
                <w:sz w:val="17"/>
                <w:szCs w:val="17"/>
                <w:color w:val="auto"/>
              </w:rPr>
              <w:t>0.81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ind w:right="114"/>
              <w:spacing w:after="0"/>
              <w:rPr>
                <w:sz w:val="20"/>
                <w:szCs w:val="20"/>
                <w:color w:val="auto"/>
              </w:rPr>
            </w:pPr>
            <w:r>
              <w:rPr>
                <w:rFonts w:ascii="Arial" w:cs="Arial" w:eastAsia="Arial" w:hAnsi="Arial"/>
                <w:sz w:val="17"/>
                <w:szCs w:val="17"/>
                <w:color w:val="auto"/>
              </w:rPr>
              <w:t>2.14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14"/>
              <w:spacing w:after="0"/>
              <w:rPr>
                <w:sz w:val="20"/>
                <w:szCs w:val="20"/>
                <w:color w:val="auto"/>
              </w:rPr>
            </w:pPr>
            <w:r>
              <w:rPr>
                <w:rFonts w:ascii="Arial" w:cs="Arial" w:eastAsia="Arial" w:hAnsi="Arial"/>
                <w:sz w:val="17"/>
                <w:szCs w:val="17"/>
                <w:color w:val="auto"/>
              </w:rPr>
              <w:t>2.27</w:t>
            </w: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 xml:space="preserve">Net interest income. </w:t>
      </w:r>
      <w:r>
        <w:rPr>
          <w:rFonts w:ascii="Arial" w:cs="Arial" w:eastAsia="Arial" w:hAnsi="Arial"/>
          <w:sz w:val="17"/>
          <w:szCs w:val="17"/>
          <w:color w:val="auto"/>
        </w:rPr>
        <w:t>Net interest income is the most important source of our earnings and thus is critical in evaluating our results of operations. Changes in our</w:t>
      </w:r>
      <w:r>
        <w:rPr>
          <w:rFonts w:ascii="Arial" w:cs="Arial" w:eastAsia="Arial" w:hAnsi="Arial"/>
          <w:sz w:val="17"/>
          <w:szCs w:val="17"/>
          <w:b w:val="1"/>
          <w:bCs w:val="1"/>
          <w:color w:val="auto"/>
        </w:rPr>
        <w:t xml:space="preserve"> </w:t>
      </w:r>
      <w:r>
        <w:rPr>
          <w:rFonts w:ascii="Arial" w:cs="Arial" w:eastAsia="Arial" w:hAnsi="Arial"/>
          <w:sz w:val="17"/>
          <w:szCs w:val="17"/>
          <w:color w:val="auto"/>
        </w:rPr>
        <w:t>net interest income are primarily influenced by our level of interest-earning assets and the income or yield that we earn on those assets and the manner and cost of funding our interest-earning assets. Certain macro-economic factors can also influence our net interest income such as the level and direction of interest rates, the difference between short-term and long-term interest rates (the steepness of the yield curve) and the general strength of the economies in which we are doing business. Finally, risk management plays an important role in our level of net interest income. The ineffective management of credit risk and interest-rate risk in particular can adversely impact our net interest income.</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net interest income totaled $39.4 million during the third quarter of 2023, a decrease of $0.5 million, or 1.2% from the year-ago period. This decrease primarily reflects a 24 basis point decrease in our tax equivalent net interest income as a percent of average interest-earning assets (the “net interest margin”) that was partially offset by a $281.9 million increase in average interest-earning assets.</w:t>
      </w:r>
    </w:p>
    <w:p>
      <w:pPr>
        <w:spacing w:after="0" w:line="13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first nine months of 2023, net interest income totaled $116.2 million, an increase of $7.3 million, or 6.7% from 2022. This increase primarily reflects a $252.1 million increase in average interest-earning assets and a three basis point increase in our net interest margin.</w:t>
      </w:r>
    </w:p>
    <w:p>
      <w:pPr>
        <w:spacing w:after="0" w:line="1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increase in average interest-earning assets in 2023 as compared to 2022 primarily reflects growth in commercial, mortgage and installment loans (year to date) funded from an increase in deposits.</w:t>
      </w:r>
    </w:p>
    <w:p>
      <w:pPr>
        <w:spacing w:after="0" w:line="12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24 basis point decrease in our net interest margin during the most recent three month period is attributed to a 144 basis point increase in interest expense as a percent of average interest-earning assets which was partially offset by a 120 basis point increase in interest income as a percent of average interest-earning assets. These increases are primarily attributed to the 450 basis point increase in the federal funds rate since June of 2022. Our net interest margin has been negatively impacted by changes in funding mix (such as shifting from non-interest bearing deposits to interest-bearing deposits and an increase in time deposits) as well as higher deposit pricing sensitivity to the increases in interest rates discussed above. This change in funding mix and pricing is expected to continue to have an impact on our net interest margin during 2023. See Asset/liability management.</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net interest income is also impacted by our level of non-accrual loans. In the third quarter and first nine months of 2023, non-accrual loans averaged $4.4 million and $4.0 million, respectively. In the third quarter and first nine months of 2022, non-accrual loans averaged $4.0 million and $4.6 million, respectively. In addition, in the third quarter and first nine months of 2023 we had net recoveries of $0.1 million and $0.5 million, respectively of unpaid interest on loans placed on or taken off non-accrual or on loans previously charged-off compared to net recoveries of $0.1 million and $0.4 million, respectively, during the same periods in 2022.</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95"/>
        </w:trPr>
        <w:tc>
          <w:tcPr>
            <w:tcW w:w="2600" w:type="dxa"/>
            <w:vAlign w:val="bottom"/>
            <w:gridSpan w:val="2"/>
          </w:tcPr>
          <w:p>
            <w:pPr>
              <w:spacing w:after="0"/>
              <w:rPr>
                <w:sz w:val="20"/>
                <w:szCs w:val="20"/>
                <w:color w:val="auto"/>
              </w:rPr>
            </w:pPr>
            <w:r>
              <w:rPr>
                <w:rFonts w:ascii="Arial" w:cs="Arial" w:eastAsia="Arial" w:hAnsi="Arial"/>
                <w:sz w:val="17"/>
                <w:szCs w:val="17"/>
                <w:i w:val="1"/>
                <w:iCs w:val="1"/>
                <w:color w:val="0000FF"/>
              </w:rPr>
              <w:t>Index</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8"/>
        </w:trPr>
        <w:tc>
          <w:tcPr>
            <w:tcW w:w="4020" w:type="dxa"/>
            <w:vAlign w:val="bottom"/>
            <w:gridSpan w:val="5"/>
          </w:tcPr>
          <w:p>
            <w:pPr>
              <w:spacing w:after="0"/>
              <w:rPr>
                <w:sz w:val="20"/>
                <w:szCs w:val="20"/>
                <w:color w:val="auto"/>
              </w:rPr>
            </w:pPr>
            <w:r>
              <w:rPr>
                <w:rFonts w:ascii="Arial" w:cs="Arial" w:eastAsia="Arial" w:hAnsi="Arial"/>
                <w:sz w:val="17"/>
                <w:szCs w:val="17"/>
                <w:b w:val="1"/>
                <w:bCs w:val="1"/>
                <w:color w:val="auto"/>
              </w:rPr>
              <w:t>Average Balances and Tax Equivalent Rates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3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gridSpan w:val="5"/>
          </w:tcPr>
          <w:p>
            <w:pPr>
              <w:ind w:left="240"/>
              <w:spacing w:after="0"/>
              <w:rPr>
                <w:sz w:val="20"/>
                <w:szCs w:val="20"/>
                <w:color w:val="auto"/>
              </w:rPr>
            </w:pPr>
            <w:r>
              <w:rPr>
                <w:rFonts w:ascii="Arial" w:cs="Arial" w:eastAsia="Arial" w:hAnsi="Arial"/>
                <w:sz w:val="17"/>
                <w:szCs w:val="17"/>
                <w:color w:val="auto"/>
                <w:w w:val="98"/>
              </w:rPr>
              <w:t>Three Months Ended September 30,</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2023</w:t>
            </w: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2022</w:t>
            </w:r>
          </w:p>
        </w:tc>
        <w:tc>
          <w:tcPr>
            <w:tcW w:w="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3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ind w:left="140"/>
              <w:spacing w:after="0" w:line="168" w:lineRule="exact"/>
              <w:rPr>
                <w:sz w:val="20"/>
                <w:szCs w:val="20"/>
                <w:color w:val="auto"/>
              </w:rPr>
            </w:pPr>
            <w:r>
              <w:rPr>
                <w:rFonts w:ascii="Arial" w:cs="Arial" w:eastAsia="Arial" w:hAnsi="Arial"/>
                <w:sz w:val="17"/>
                <w:szCs w:val="17"/>
                <w:color w:val="auto"/>
              </w:rPr>
              <w:t>Average</w:t>
            </w:r>
          </w:p>
        </w:tc>
        <w:tc>
          <w:tcPr>
            <w:tcW w:w="260" w:type="dxa"/>
            <w:vAlign w:val="bottom"/>
          </w:tcPr>
          <w:p>
            <w:pPr>
              <w:spacing w:after="0"/>
              <w:rPr>
                <w:sz w:val="14"/>
                <w:szCs w:val="14"/>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7"/>
                <w:szCs w:val="17"/>
                <w:color w:val="auto"/>
              </w:rPr>
              <w:t>Interest</w:t>
            </w:r>
          </w:p>
        </w:tc>
        <w:tc>
          <w:tcPr>
            <w:tcW w:w="1440" w:type="dxa"/>
            <w:vAlign w:val="bottom"/>
            <w:vMerge w:val="restart"/>
          </w:tcPr>
          <w:p>
            <w:pPr>
              <w:ind w:left="440"/>
              <w:spacing w:after="0"/>
              <w:rPr>
                <w:sz w:val="20"/>
                <w:szCs w:val="20"/>
                <w:color w:val="auto"/>
              </w:rPr>
            </w:pPr>
            <w:r>
              <w:rPr>
                <w:rFonts w:ascii="Arial" w:cs="Arial" w:eastAsia="Arial" w:hAnsi="Arial"/>
                <w:sz w:val="17"/>
                <w:szCs w:val="17"/>
                <w:color w:val="auto"/>
              </w:rPr>
              <w:t>Rate (2)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ind w:left="160"/>
              <w:spacing w:after="0" w:line="168" w:lineRule="exact"/>
              <w:rPr>
                <w:sz w:val="20"/>
                <w:szCs w:val="20"/>
                <w:color w:val="auto"/>
              </w:rPr>
            </w:pPr>
            <w:r>
              <w:rPr>
                <w:rFonts w:ascii="Arial" w:cs="Arial" w:eastAsia="Arial" w:hAnsi="Arial"/>
                <w:sz w:val="17"/>
                <w:szCs w:val="17"/>
                <w:color w:val="auto"/>
              </w:rPr>
              <w:t>Average</w:t>
            </w:r>
          </w:p>
        </w:tc>
        <w:tc>
          <w:tcPr>
            <w:tcW w:w="240" w:type="dxa"/>
            <w:vAlign w:val="bottom"/>
          </w:tcPr>
          <w:p>
            <w:pPr>
              <w:spacing w:after="0"/>
              <w:rPr>
                <w:sz w:val="14"/>
                <w:szCs w:val="14"/>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7"/>
                <w:szCs w:val="17"/>
                <w:color w:val="auto"/>
              </w:rPr>
              <w:t>Interest</w:t>
            </w:r>
          </w:p>
        </w:tc>
        <w:tc>
          <w:tcPr>
            <w:tcW w:w="1440" w:type="dxa"/>
            <w:vAlign w:val="bottom"/>
            <w:vMerge w:val="restart"/>
          </w:tcPr>
          <w:p>
            <w:pPr>
              <w:ind w:left="440"/>
              <w:spacing w:after="0"/>
              <w:rPr>
                <w:sz w:val="20"/>
                <w:szCs w:val="20"/>
                <w:color w:val="auto"/>
              </w:rPr>
            </w:pPr>
            <w:r>
              <w:rPr>
                <w:rFonts w:ascii="Arial" w:cs="Arial" w:eastAsia="Arial" w:hAnsi="Arial"/>
                <w:sz w:val="17"/>
                <w:szCs w:val="17"/>
                <w:color w:val="auto"/>
              </w:rPr>
              <w:t>Rate (2)</w:t>
            </w:r>
          </w:p>
        </w:tc>
        <w:tc>
          <w:tcPr>
            <w:tcW w:w="0" w:type="dxa"/>
            <w:vAlign w:val="bottom"/>
          </w:tcPr>
          <w:p>
            <w:pPr>
              <w:spacing w:after="0"/>
              <w:rPr>
                <w:sz w:val="1"/>
                <w:szCs w:val="1"/>
                <w:color w:val="auto"/>
              </w:rPr>
            </w:pPr>
          </w:p>
        </w:tc>
      </w:tr>
      <w:tr>
        <w:trPr>
          <w:trHeight w:val="224"/>
        </w:trPr>
        <w:tc>
          <w:tcPr>
            <w:tcW w:w="3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color w:val="auto"/>
              </w:rPr>
              <w:t>Balance</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vMerge w:val="continue"/>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color w:val="auto"/>
              </w:rPr>
              <w:t>Balance</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vMerge w:val="continue"/>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gridSpan w:val="5"/>
          </w:tcPr>
          <w:p>
            <w:pPr>
              <w:ind w:left="720"/>
              <w:spacing w:after="0"/>
              <w:rPr>
                <w:sz w:val="20"/>
                <w:szCs w:val="20"/>
                <w:color w:val="auto"/>
              </w:rPr>
            </w:pPr>
            <w:r>
              <w:rPr>
                <w:rFonts w:ascii="Arial" w:cs="Arial" w:eastAsia="Arial" w:hAnsi="Arial"/>
                <w:sz w:val="17"/>
                <w:szCs w:val="17"/>
                <w:color w:val="auto"/>
              </w:rPr>
              <w:t>(Dollars in thousands)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600" w:type="dxa"/>
            <w:vAlign w:val="bottom"/>
            <w:gridSpan w:val="2"/>
          </w:tcPr>
          <w:p>
            <w:pPr>
              <w:ind w:left="20"/>
              <w:spacing w:after="0"/>
              <w:rPr>
                <w:sz w:val="20"/>
                <w:szCs w:val="20"/>
                <w:color w:val="auto"/>
              </w:rPr>
            </w:pPr>
            <w:r>
              <w:rPr>
                <w:rFonts w:ascii="Arial" w:cs="Arial" w:eastAsia="Arial" w:hAnsi="Arial"/>
                <w:sz w:val="17"/>
                <w:szCs w:val="17"/>
                <w:color w:val="auto"/>
              </w:rPr>
              <w:t>Assets</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Taxable loans</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3,687,637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51,352</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Arial" w:cs="Arial" w:eastAsia="Arial" w:hAnsi="Arial"/>
                <w:sz w:val="17"/>
                <w:szCs w:val="17"/>
                <w:color w:val="auto"/>
                <w:w w:val="94"/>
              </w:rPr>
              <w:t>5.54 %</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3,353,102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37,019</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ind w:left="940"/>
              <w:spacing w:after="0"/>
              <w:rPr>
                <w:sz w:val="20"/>
                <w:szCs w:val="20"/>
                <w:color w:val="auto"/>
              </w:rPr>
            </w:pPr>
            <w:r>
              <w:rPr>
                <w:rFonts w:ascii="Arial" w:cs="Arial" w:eastAsia="Arial" w:hAnsi="Arial"/>
                <w:sz w:val="17"/>
                <w:szCs w:val="17"/>
                <w:color w:val="auto"/>
                <w:w w:val="90"/>
              </w:rPr>
              <w:t>4.39 %</w:t>
            </w:r>
          </w:p>
        </w:tc>
        <w:tc>
          <w:tcPr>
            <w:tcW w:w="0" w:type="dxa"/>
            <w:vAlign w:val="bottom"/>
          </w:tcPr>
          <w:p>
            <w:pPr>
              <w:spacing w:after="0"/>
              <w:rPr>
                <w:sz w:val="1"/>
                <w:szCs w:val="1"/>
                <w:color w:val="auto"/>
              </w:rPr>
            </w:pPr>
          </w:p>
        </w:tc>
      </w:tr>
      <w:tr>
        <w:trPr>
          <w:trHeight w:val="238"/>
        </w:trPr>
        <w:tc>
          <w:tcPr>
            <w:tcW w:w="2600" w:type="dxa"/>
            <w:vAlign w:val="bottom"/>
            <w:gridSpan w:val="2"/>
          </w:tcPr>
          <w:p>
            <w:pPr>
              <w:ind w:left="20"/>
              <w:spacing w:after="0"/>
              <w:rPr>
                <w:sz w:val="20"/>
                <w:szCs w:val="20"/>
                <w:color w:val="auto"/>
              </w:rPr>
            </w:pPr>
            <w:r>
              <w:rPr>
                <w:rFonts w:ascii="Arial" w:cs="Arial" w:eastAsia="Arial" w:hAnsi="Arial"/>
                <w:sz w:val="17"/>
                <w:szCs w:val="17"/>
                <w:color w:val="auto"/>
              </w:rPr>
              <w:t>Tax-exempt loans (1)</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6,897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20"/>
                <w:szCs w:val="20"/>
                <w:color w:val="auto"/>
              </w:rPr>
            </w:pPr>
          </w:p>
        </w:tc>
        <w:tc>
          <w:tcPr>
            <w:tcW w:w="1440" w:type="dxa"/>
            <w:vAlign w:val="bottom"/>
          </w:tcPr>
          <w:p>
            <w:pPr>
              <w:ind w:left="920"/>
              <w:spacing w:after="0"/>
              <w:rPr>
                <w:sz w:val="20"/>
                <w:szCs w:val="20"/>
                <w:color w:val="auto"/>
              </w:rPr>
            </w:pPr>
            <w:r>
              <w:rPr>
                <w:rFonts w:ascii="Arial" w:cs="Arial" w:eastAsia="Arial" w:hAnsi="Arial"/>
                <w:sz w:val="17"/>
                <w:szCs w:val="17"/>
                <w:color w:val="auto"/>
              </w:rPr>
              <w:t>4.89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7,519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92</w:t>
            </w:r>
          </w:p>
        </w:tc>
        <w:tc>
          <w:tcPr>
            <w:tcW w:w="80" w:type="dxa"/>
            <w:vAlign w:val="bottom"/>
          </w:tcPr>
          <w:p>
            <w:pPr>
              <w:spacing w:after="0"/>
              <w:rPr>
                <w:sz w:val="20"/>
                <w:szCs w:val="20"/>
                <w:color w:val="auto"/>
              </w:rPr>
            </w:pPr>
          </w:p>
        </w:tc>
        <w:tc>
          <w:tcPr>
            <w:tcW w:w="1440" w:type="dxa"/>
            <w:vAlign w:val="bottom"/>
          </w:tcPr>
          <w:p>
            <w:pPr>
              <w:ind w:left="940"/>
              <w:spacing w:after="0"/>
              <w:rPr>
                <w:sz w:val="20"/>
                <w:szCs w:val="20"/>
                <w:color w:val="auto"/>
              </w:rPr>
            </w:pPr>
            <w:r>
              <w:rPr>
                <w:rFonts w:ascii="Arial" w:cs="Arial" w:eastAsia="Arial" w:hAnsi="Arial"/>
                <w:sz w:val="17"/>
                <w:szCs w:val="17"/>
                <w:color w:val="auto"/>
              </w:rPr>
              <w:t>4.85</w:t>
            </w:r>
          </w:p>
        </w:tc>
        <w:tc>
          <w:tcPr>
            <w:tcW w:w="0" w:type="dxa"/>
            <w:vAlign w:val="bottom"/>
          </w:tcPr>
          <w:p>
            <w:pPr>
              <w:spacing w:after="0"/>
              <w:rPr>
                <w:sz w:val="1"/>
                <w:szCs w:val="1"/>
                <w:color w:val="auto"/>
              </w:rPr>
            </w:pPr>
          </w:p>
        </w:tc>
      </w:tr>
      <w:tr>
        <w:trPr>
          <w:trHeight w:val="265"/>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Taxable securities</w:t>
            </w: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755,054</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5,865</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ind w:left="920"/>
              <w:spacing w:after="0"/>
              <w:rPr>
                <w:sz w:val="20"/>
                <w:szCs w:val="20"/>
                <w:color w:val="auto"/>
              </w:rPr>
            </w:pPr>
            <w:r>
              <w:rPr>
                <w:rFonts w:ascii="Arial" w:cs="Arial" w:eastAsia="Arial" w:hAnsi="Arial"/>
                <w:sz w:val="17"/>
                <w:szCs w:val="17"/>
                <w:color w:val="auto"/>
              </w:rPr>
              <w:t>3.11</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891,677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5,329</w:t>
            </w:r>
          </w:p>
        </w:tc>
        <w:tc>
          <w:tcPr>
            <w:tcW w:w="80" w:type="dxa"/>
            <w:vAlign w:val="bottom"/>
            <w:shd w:val="clear" w:color="auto" w:fill="CCEEFF"/>
          </w:tcPr>
          <w:p>
            <w:pPr>
              <w:spacing w:after="0"/>
              <w:rPr>
                <w:sz w:val="23"/>
                <w:szCs w:val="23"/>
                <w:color w:val="auto"/>
              </w:rPr>
            </w:pPr>
          </w:p>
        </w:tc>
        <w:tc>
          <w:tcPr>
            <w:tcW w:w="1440" w:type="dxa"/>
            <w:vAlign w:val="bottom"/>
            <w:shd w:val="clear" w:color="auto" w:fill="CCEEFF"/>
          </w:tcPr>
          <w:p>
            <w:pPr>
              <w:ind w:left="940"/>
              <w:spacing w:after="0"/>
              <w:rPr>
                <w:sz w:val="20"/>
                <w:szCs w:val="20"/>
                <w:color w:val="auto"/>
              </w:rPr>
            </w:pPr>
            <w:r>
              <w:rPr>
                <w:rFonts w:ascii="Arial" w:cs="Arial" w:eastAsia="Arial" w:hAnsi="Arial"/>
                <w:sz w:val="17"/>
                <w:szCs w:val="17"/>
                <w:color w:val="auto"/>
              </w:rPr>
              <w:t>2.39</w:t>
            </w:r>
          </w:p>
        </w:tc>
        <w:tc>
          <w:tcPr>
            <w:tcW w:w="0" w:type="dxa"/>
            <w:vAlign w:val="bottom"/>
          </w:tcPr>
          <w:p>
            <w:pPr>
              <w:spacing w:after="0"/>
              <w:rPr>
                <w:sz w:val="1"/>
                <w:szCs w:val="1"/>
                <w:color w:val="auto"/>
              </w:rPr>
            </w:pPr>
          </w:p>
        </w:tc>
      </w:tr>
      <w:tr>
        <w:trPr>
          <w:trHeight w:val="251"/>
        </w:trPr>
        <w:tc>
          <w:tcPr>
            <w:tcW w:w="2600" w:type="dxa"/>
            <w:vAlign w:val="bottom"/>
            <w:gridSpan w:val="2"/>
          </w:tcPr>
          <w:p>
            <w:pPr>
              <w:ind w:left="20"/>
              <w:spacing w:after="0"/>
              <w:rPr>
                <w:sz w:val="20"/>
                <w:szCs w:val="20"/>
                <w:color w:val="auto"/>
              </w:rPr>
            </w:pPr>
            <w:r>
              <w:rPr>
                <w:rFonts w:ascii="Arial" w:cs="Arial" w:eastAsia="Arial" w:hAnsi="Arial"/>
                <w:sz w:val="17"/>
                <w:szCs w:val="17"/>
                <w:color w:val="auto"/>
              </w:rPr>
              <w:t>Tax-exempt securities (1)</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316,157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3,813</w:t>
            </w:r>
          </w:p>
        </w:tc>
        <w:tc>
          <w:tcPr>
            <w:tcW w:w="100" w:type="dxa"/>
            <w:vAlign w:val="bottom"/>
          </w:tcPr>
          <w:p>
            <w:pPr>
              <w:spacing w:after="0"/>
              <w:rPr>
                <w:sz w:val="21"/>
                <w:szCs w:val="21"/>
                <w:color w:val="auto"/>
              </w:rPr>
            </w:pPr>
          </w:p>
        </w:tc>
        <w:tc>
          <w:tcPr>
            <w:tcW w:w="1440" w:type="dxa"/>
            <w:vAlign w:val="bottom"/>
          </w:tcPr>
          <w:p>
            <w:pPr>
              <w:ind w:left="920"/>
              <w:spacing w:after="0"/>
              <w:rPr>
                <w:sz w:val="20"/>
                <w:szCs w:val="20"/>
                <w:color w:val="auto"/>
              </w:rPr>
            </w:pPr>
            <w:r>
              <w:rPr>
                <w:rFonts w:ascii="Arial" w:cs="Arial" w:eastAsia="Arial" w:hAnsi="Arial"/>
                <w:sz w:val="17"/>
                <w:szCs w:val="17"/>
                <w:color w:val="auto"/>
              </w:rPr>
              <w:t>4.82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334,526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2,727</w:t>
            </w:r>
          </w:p>
        </w:tc>
        <w:tc>
          <w:tcPr>
            <w:tcW w:w="80" w:type="dxa"/>
            <w:vAlign w:val="bottom"/>
          </w:tcPr>
          <w:p>
            <w:pPr>
              <w:spacing w:after="0"/>
              <w:rPr>
                <w:sz w:val="21"/>
                <w:szCs w:val="21"/>
                <w:color w:val="auto"/>
              </w:rPr>
            </w:pPr>
          </w:p>
        </w:tc>
        <w:tc>
          <w:tcPr>
            <w:tcW w:w="1440" w:type="dxa"/>
            <w:vAlign w:val="bottom"/>
          </w:tcPr>
          <w:p>
            <w:pPr>
              <w:ind w:left="940"/>
              <w:spacing w:after="0"/>
              <w:rPr>
                <w:sz w:val="20"/>
                <w:szCs w:val="20"/>
                <w:color w:val="auto"/>
              </w:rPr>
            </w:pPr>
            <w:r>
              <w:rPr>
                <w:rFonts w:ascii="Arial" w:cs="Arial" w:eastAsia="Arial" w:hAnsi="Arial"/>
                <w:sz w:val="17"/>
                <w:szCs w:val="17"/>
                <w:color w:val="auto"/>
              </w:rPr>
              <w:t>3.26</w:t>
            </w:r>
          </w:p>
        </w:tc>
        <w:tc>
          <w:tcPr>
            <w:tcW w:w="0" w:type="dxa"/>
            <w:vAlign w:val="bottom"/>
          </w:tcPr>
          <w:p>
            <w:pPr>
              <w:spacing w:after="0"/>
              <w:rPr>
                <w:sz w:val="1"/>
                <w:szCs w:val="1"/>
                <w:color w:val="auto"/>
              </w:rPr>
            </w:pPr>
          </w:p>
        </w:tc>
      </w:tr>
      <w:tr>
        <w:trPr>
          <w:trHeight w:val="252"/>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bearing cash</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108,389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1,468</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Arial" w:cs="Arial" w:eastAsia="Arial" w:hAnsi="Arial"/>
                <w:sz w:val="17"/>
                <w:szCs w:val="17"/>
                <w:color w:val="auto"/>
              </w:rPr>
              <w:t>5.37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ind w:left="940"/>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38"/>
        </w:trPr>
        <w:tc>
          <w:tcPr>
            <w:tcW w:w="26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investments</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18,074</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271</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ind w:left="920"/>
              <w:spacing w:after="0"/>
              <w:rPr>
                <w:sz w:val="20"/>
                <w:szCs w:val="20"/>
                <w:color w:val="auto"/>
              </w:rPr>
            </w:pPr>
            <w:r>
              <w:rPr>
                <w:rFonts w:ascii="Arial" w:cs="Arial" w:eastAsia="Arial" w:hAnsi="Arial"/>
                <w:sz w:val="17"/>
                <w:szCs w:val="17"/>
                <w:color w:val="auto"/>
              </w:rPr>
              <w:t>5.95</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17,653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w:t>
            </w:r>
          </w:p>
        </w:tc>
        <w:tc>
          <w:tcPr>
            <w:tcW w:w="8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ind w:left="940"/>
              <w:spacing w:after="0"/>
              <w:rPr>
                <w:sz w:val="20"/>
                <w:szCs w:val="20"/>
                <w:color w:val="auto"/>
              </w:rPr>
            </w:pPr>
            <w:r>
              <w:rPr>
                <w:rFonts w:ascii="Arial" w:cs="Arial" w:eastAsia="Arial" w:hAnsi="Arial"/>
                <w:sz w:val="17"/>
                <w:szCs w:val="17"/>
                <w:color w:val="auto"/>
              </w:rPr>
              <w:t>4.32</w:t>
            </w:r>
          </w:p>
        </w:tc>
        <w:tc>
          <w:tcPr>
            <w:tcW w:w="0" w:type="dxa"/>
            <w:vAlign w:val="bottom"/>
          </w:tcPr>
          <w:p>
            <w:pPr>
              <w:spacing w:after="0"/>
              <w:rPr>
                <w:sz w:val="1"/>
                <w:szCs w:val="1"/>
                <w:color w:val="auto"/>
              </w:rPr>
            </w:pPr>
          </w:p>
        </w:tc>
      </w:tr>
      <w:tr>
        <w:trPr>
          <w:trHeight w:val="245"/>
        </w:trPr>
        <w:tc>
          <w:tcPr>
            <w:tcW w:w="26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Interest Earning Assets</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4,892,208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62,854</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Arial" w:cs="Arial" w:eastAsia="Arial" w:hAnsi="Arial"/>
                <w:sz w:val="17"/>
                <w:szCs w:val="17"/>
                <w:color w:val="auto"/>
              </w:rPr>
              <w:t>5.12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4,610,307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45,387</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ind w:left="940"/>
              <w:spacing w:after="0"/>
              <w:rPr>
                <w:sz w:val="20"/>
                <w:szCs w:val="20"/>
                <w:color w:val="auto"/>
              </w:rPr>
            </w:pPr>
            <w:r>
              <w:rPr>
                <w:rFonts w:ascii="Arial" w:cs="Arial" w:eastAsia="Arial" w:hAnsi="Arial"/>
                <w:sz w:val="17"/>
                <w:szCs w:val="17"/>
                <w:color w:val="auto"/>
              </w:rPr>
              <w:t>3.92</w:t>
            </w:r>
          </w:p>
        </w:tc>
        <w:tc>
          <w:tcPr>
            <w:tcW w:w="0" w:type="dxa"/>
            <w:vAlign w:val="bottom"/>
          </w:tcPr>
          <w:p>
            <w:pPr>
              <w:spacing w:after="0"/>
              <w:rPr>
                <w:sz w:val="1"/>
                <w:szCs w:val="1"/>
                <w:color w:val="auto"/>
              </w:rPr>
            </w:pPr>
          </w:p>
        </w:tc>
      </w:tr>
      <w:tr>
        <w:trPr>
          <w:trHeight w:val="238"/>
        </w:trPr>
        <w:tc>
          <w:tcPr>
            <w:tcW w:w="2600" w:type="dxa"/>
            <w:vAlign w:val="bottom"/>
            <w:gridSpan w:val="2"/>
          </w:tcPr>
          <w:p>
            <w:pPr>
              <w:ind w:left="20"/>
              <w:spacing w:after="0"/>
              <w:rPr>
                <w:sz w:val="20"/>
                <w:szCs w:val="20"/>
                <w:color w:val="auto"/>
              </w:rPr>
            </w:pPr>
            <w:r>
              <w:rPr>
                <w:rFonts w:ascii="Arial" w:cs="Arial" w:eastAsia="Arial" w:hAnsi="Arial"/>
                <w:sz w:val="17"/>
                <w:szCs w:val="17"/>
                <w:color w:val="auto"/>
              </w:rPr>
              <w:t>Cash and due from banks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61,094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62,340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assets, net</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238,812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212,194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80" w:type="dxa"/>
            <w:vAlign w:val="bottom"/>
          </w:tcPr>
          <w:p>
            <w:pPr>
              <w:spacing w:after="0"/>
              <w:rPr>
                <w:sz w:val="21"/>
                <w:szCs w:val="21"/>
                <w:color w:val="auto"/>
              </w:rPr>
            </w:pPr>
          </w:p>
        </w:tc>
        <w:tc>
          <w:tcPr>
            <w:tcW w:w="2220" w:type="dxa"/>
            <w:vAlign w:val="bottom"/>
          </w:tcPr>
          <w:p>
            <w:pPr>
              <w:ind w:left="100"/>
              <w:spacing w:after="0"/>
              <w:rPr>
                <w:sz w:val="20"/>
                <w:szCs w:val="20"/>
                <w:color w:val="auto"/>
              </w:rPr>
            </w:pPr>
            <w:r>
              <w:rPr>
                <w:rFonts w:ascii="Arial" w:cs="Arial" w:eastAsia="Arial" w:hAnsi="Arial"/>
                <w:sz w:val="17"/>
                <w:szCs w:val="17"/>
                <w:color w:val="auto"/>
              </w:rPr>
              <w:t>Total Assets</w:t>
            </w: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5,192,114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4,884,841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600" w:type="dxa"/>
            <w:vAlign w:val="bottom"/>
            <w:gridSpan w:val="2"/>
          </w:tcPr>
          <w:p>
            <w:pPr>
              <w:ind w:left="20"/>
              <w:spacing w:after="0"/>
              <w:rPr>
                <w:sz w:val="20"/>
                <w:szCs w:val="20"/>
                <w:color w:val="auto"/>
              </w:rPr>
            </w:pPr>
            <w:r>
              <w:rPr>
                <w:rFonts w:ascii="Arial" w:cs="Arial" w:eastAsia="Arial" w:hAnsi="Arial"/>
                <w:sz w:val="17"/>
                <w:szCs w:val="17"/>
                <w:color w:val="auto"/>
              </w:rPr>
              <w:t>Liabilities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Savings and interest-bearing</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6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checking</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2,598,170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12,272</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ind w:left="920"/>
              <w:spacing w:after="0"/>
              <w:rPr>
                <w:sz w:val="20"/>
                <w:szCs w:val="20"/>
                <w:color w:val="auto"/>
              </w:rPr>
            </w:pPr>
            <w:r>
              <w:rPr>
                <w:rFonts w:ascii="Arial" w:cs="Arial" w:eastAsia="Arial" w:hAnsi="Arial"/>
                <w:sz w:val="17"/>
                <w:szCs w:val="17"/>
                <w:color w:val="auto"/>
              </w:rPr>
              <w:t>1.87</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2,548,213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2,803</w:t>
            </w: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ind w:left="940"/>
              <w:spacing w:after="0"/>
              <w:rPr>
                <w:sz w:val="20"/>
                <w:szCs w:val="20"/>
                <w:color w:val="auto"/>
              </w:rPr>
            </w:pPr>
            <w:r>
              <w:rPr>
                <w:rFonts w:ascii="Arial" w:cs="Arial" w:eastAsia="Arial" w:hAnsi="Arial"/>
                <w:sz w:val="17"/>
                <w:szCs w:val="17"/>
                <w:color w:val="auto"/>
              </w:rPr>
              <w:t>0.44</w:t>
            </w:r>
          </w:p>
        </w:tc>
        <w:tc>
          <w:tcPr>
            <w:tcW w:w="0" w:type="dxa"/>
            <w:vAlign w:val="bottom"/>
          </w:tcPr>
          <w:p>
            <w:pPr>
              <w:spacing w:after="0"/>
              <w:rPr>
                <w:sz w:val="1"/>
                <w:szCs w:val="1"/>
                <w:color w:val="auto"/>
              </w:rPr>
            </w:pPr>
          </w:p>
        </w:tc>
      </w:tr>
      <w:tr>
        <w:trPr>
          <w:trHeight w:val="238"/>
        </w:trPr>
        <w:tc>
          <w:tcPr>
            <w:tcW w:w="2600" w:type="dxa"/>
            <w:vAlign w:val="bottom"/>
            <w:gridSpan w:val="2"/>
          </w:tcPr>
          <w:p>
            <w:pPr>
              <w:ind w:left="20"/>
              <w:spacing w:after="0"/>
              <w:rPr>
                <w:sz w:val="20"/>
                <w:szCs w:val="20"/>
                <w:color w:val="auto"/>
              </w:rPr>
            </w:pPr>
            <w:r>
              <w:rPr>
                <w:rFonts w:ascii="Arial" w:cs="Arial" w:eastAsia="Arial" w:hAnsi="Arial"/>
                <w:sz w:val="17"/>
                <w:szCs w:val="17"/>
                <w:color w:val="auto"/>
              </w:rPr>
              <w:t>Time deposits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816,810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8,471</w:t>
            </w:r>
          </w:p>
        </w:tc>
        <w:tc>
          <w:tcPr>
            <w:tcW w:w="100" w:type="dxa"/>
            <w:vAlign w:val="bottom"/>
          </w:tcPr>
          <w:p>
            <w:pPr>
              <w:spacing w:after="0"/>
              <w:rPr>
                <w:sz w:val="20"/>
                <w:szCs w:val="20"/>
                <w:color w:val="auto"/>
              </w:rPr>
            </w:pPr>
          </w:p>
        </w:tc>
        <w:tc>
          <w:tcPr>
            <w:tcW w:w="1440" w:type="dxa"/>
            <w:vAlign w:val="bottom"/>
          </w:tcPr>
          <w:p>
            <w:pPr>
              <w:ind w:left="920"/>
              <w:spacing w:after="0"/>
              <w:rPr>
                <w:sz w:val="20"/>
                <w:szCs w:val="20"/>
                <w:color w:val="auto"/>
              </w:rPr>
            </w:pPr>
            <w:r>
              <w:rPr>
                <w:rFonts w:ascii="Arial" w:cs="Arial" w:eastAsia="Arial" w:hAnsi="Arial"/>
                <w:sz w:val="17"/>
                <w:szCs w:val="17"/>
                <w:color w:val="auto"/>
              </w:rPr>
              <w:t>4.11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402,466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822</w:t>
            </w:r>
          </w:p>
        </w:tc>
        <w:tc>
          <w:tcPr>
            <w:tcW w:w="80" w:type="dxa"/>
            <w:vAlign w:val="bottom"/>
          </w:tcPr>
          <w:p>
            <w:pPr>
              <w:spacing w:after="0"/>
              <w:rPr>
                <w:sz w:val="20"/>
                <w:szCs w:val="20"/>
                <w:color w:val="auto"/>
              </w:rPr>
            </w:pPr>
          </w:p>
        </w:tc>
        <w:tc>
          <w:tcPr>
            <w:tcW w:w="1440" w:type="dxa"/>
            <w:vAlign w:val="bottom"/>
          </w:tcPr>
          <w:p>
            <w:pPr>
              <w:ind w:left="940"/>
              <w:spacing w:after="0"/>
              <w:rPr>
                <w:sz w:val="20"/>
                <w:szCs w:val="20"/>
                <w:color w:val="auto"/>
              </w:rPr>
            </w:pPr>
            <w:r>
              <w:rPr>
                <w:rFonts w:ascii="Arial" w:cs="Arial" w:eastAsia="Arial" w:hAnsi="Arial"/>
                <w:sz w:val="17"/>
                <w:szCs w:val="17"/>
                <w:color w:val="auto"/>
              </w:rPr>
              <w:t>0.81</w:t>
            </w:r>
          </w:p>
        </w:tc>
        <w:tc>
          <w:tcPr>
            <w:tcW w:w="0" w:type="dxa"/>
            <w:vAlign w:val="bottom"/>
          </w:tcPr>
          <w:p>
            <w:pPr>
              <w:spacing w:after="0"/>
              <w:rPr>
                <w:sz w:val="1"/>
                <w:szCs w:val="1"/>
                <w:color w:val="auto"/>
              </w:rPr>
            </w:pPr>
          </w:p>
        </w:tc>
      </w:tr>
      <w:tr>
        <w:trPr>
          <w:trHeight w:val="245"/>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borrowings</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139,199</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2,262</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Arial" w:cs="Arial" w:eastAsia="Arial" w:hAnsi="Arial"/>
                <w:sz w:val="17"/>
                <w:szCs w:val="17"/>
                <w:color w:val="auto"/>
              </w:rPr>
              <w:t>6.45</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124,531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1,403</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ind w:left="940"/>
              <w:spacing w:after="0"/>
              <w:rPr>
                <w:sz w:val="20"/>
                <w:szCs w:val="20"/>
                <w:color w:val="auto"/>
              </w:rPr>
            </w:pPr>
            <w:r>
              <w:rPr>
                <w:rFonts w:ascii="Arial" w:cs="Arial" w:eastAsia="Arial" w:hAnsi="Arial"/>
                <w:sz w:val="17"/>
                <w:szCs w:val="17"/>
                <w:color w:val="auto"/>
              </w:rPr>
              <w:t>4.47</w:t>
            </w:r>
          </w:p>
        </w:tc>
        <w:tc>
          <w:tcPr>
            <w:tcW w:w="0" w:type="dxa"/>
            <w:vAlign w:val="bottom"/>
          </w:tcPr>
          <w:p>
            <w:pPr>
              <w:spacing w:after="0"/>
              <w:rPr>
                <w:sz w:val="1"/>
                <w:szCs w:val="1"/>
                <w:color w:val="auto"/>
              </w:rPr>
            </w:pPr>
          </w:p>
        </w:tc>
      </w:tr>
      <w:tr>
        <w:trPr>
          <w:trHeight w:val="238"/>
        </w:trPr>
        <w:tc>
          <w:tcPr>
            <w:tcW w:w="2600" w:type="dxa"/>
            <w:vAlign w:val="bottom"/>
            <w:gridSpan w:val="2"/>
          </w:tcPr>
          <w:p>
            <w:pPr>
              <w:ind w:left="320"/>
              <w:spacing w:after="0"/>
              <w:rPr>
                <w:sz w:val="20"/>
                <w:szCs w:val="20"/>
                <w:color w:val="auto"/>
              </w:rPr>
            </w:pPr>
            <w:r>
              <w:rPr>
                <w:rFonts w:ascii="Arial" w:cs="Arial" w:eastAsia="Arial" w:hAnsi="Arial"/>
                <w:sz w:val="17"/>
                <w:szCs w:val="17"/>
                <w:color w:val="auto"/>
              </w:rPr>
              <w:t>Interest Bearing Liabilities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3,554,179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23,005</w:t>
            </w:r>
          </w:p>
        </w:tc>
        <w:tc>
          <w:tcPr>
            <w:tcW w:w="100" w:type="dxa"/>
            <w:vAlign w:val="bottom"/>
          </w:tcPr>
          <w:p>
            <w:pPr>
              <w:spacing w:after="0"/>
              <w:rPr>
                <w:sz w:val="20"/>
                <w:szCs w:val="20"/>
                <w:color w:val="auto"/>
              </w:rPr>
            </w:pPr>
          </w:p>
        </w:tc>
        <w:tc>
          <w:tcPr>
            <w:tcW w:w="1440" w:type="dxa"/>
            <w:vAlign w:val="bottom"/>
          </w:tcPr>
          <w:p>
            <w:pPr>
              <w:ind w:left="920"/>
              <w:spacing w:after="0"/>
              <w:rPr>
                <w:sz w:val="20"/>
                <w:szCs w:val="20"/>
                <w:color w:val="auto"/>
              </w:rPr>
            </w:pPr>
            <w:r>
              <w:rPr>
                <w:rFonts w:ascii="Arial" w:cs="Arial" w:eastAsia="Arial" w:hAnsi="Arial"/>
                <w:sz w:val="17"/>
                <w:szCs w:val="17"/>
                <w:color w:val="auto"/>
              </w:rPr>
              <w:t>2.57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3,075,210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5,028</w:t>
            </w:r>
          </w:p>
        </w:tc>
        <w:tc>
          <w:tcPr>
            <w:tcW w:w="80" w:type="dxa"/>
            <w:vAlign w:val="bottom"/>
          </w:tcPr>
          <w:p>
            <w:pPr>
              <w:spacing w:after="0"/>
              <w:rPr>
                <w:sz w:val="20"/>
                <w:szCs w:val="20"/>
                <w:color w:val="auto"/>
              </w:rPr>
            </w:pPr>
          </w:p>
        </w:tc>
        <w:tc>
          <w:tcPr>
            <w:tcW w:w="1440" w:type="dxa"/>
            <w:vAlign w:val="bottom"/>
          </w:tcPr>
          <w:p>
            <w:pPr>
              <w:ind w:left="940"/>
              <w:spacing w:after="0"/>
              <w:rPr>
                <w:sz w:val="20"/>
                <w:szCs w:val="20"/>
                <w:color w:val="auto"/>
              </w:rPr>
            </w:pPr>
            <w:r>
              <w:rPr>
                <w:rFonts w:ascii="Arial" w:cs="Arial" w:eastAsia="Arial" w:hAnsi="Arial"/>
                <w:sz w:val="17"/>
                <w:szCs w:val="17"/>
                <w:color w:val="auto"/>
              </w:rPr>
              <w:t>0.65</w:t>
            </w:r>
          </w:p>
        </w:tc>
        <w:tc>
          <w:tcPr>
            <w:tcW w:w="0" w:type="dxa"/>
            <w:vAlign w:val="bottom"/>
          </w:tcPr>
          <w:p>
            <w:pPr>
              <w:spacing w:after="0"/>
              <w:rPr>
                <w:sz w:val="1"/>
                <w:szCs w:val="1"/>
                <w:color w:val="auto"/>
              </w:rPr>
            </w:pPr>
          </w:p>
        </w:tc>
      </w:tr>
      <w:tr>
        <w:trPr>
          <w:trHeight w:val="252"/>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Non-interest bearing deposits</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1,162,816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1,376,279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600" w:type="dxa"/>
            <w:vAlign w:val="bottom"/>
            <w:gridSpan w:val="2"/>
          </w:tcPr>
          <w:p>
            <w:pPr>
              <w:ind w:left="20"/>
              <w:spacing w:after="0"/>
              <w:rPr>
                <w:sz w:val="20"/>
                <w:szCs w:val="20"/>
                <w:color w:val="auto"/>
              </w:rPr>
            </w:pPr>
            <w:r>
              <w:rPr>
                <w:rFonts w:ascii="Arial" w:cs="Arial" w:eastAsia="Arial" w:hAnsi="Arial"/>
                <w:sz w:val="17"/>
                <w:szCs w:val="17"/>
                <w:color w:val="auto"/>
              </w:rPr>
              <w:t>Other liabilities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102,452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98,232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Shareholders’ equity</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372,667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335,120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80" w:type="dxa"/>
            <w:vAlign w:val="bottom"/>
            <w:shd w:val="clear" w:color="auto" w:fill="CCEEFF"/>
          </w:tcPr>
          <w:p>
            <w:pPr>
              <w:spacing w:after="0"/>
              <w:rPr>
                <w:sz w:val="19"/>
                <w:szCs w:val="19"/>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Total liabilities and</w:t>
            </w:r>
          </w:p>
        </w:tc>
        <w:tc>
          <w:tcPr>
            <w:tcW w:w="240" w:type="dxa"/>
            <w:vAlign w:val="bottom"/>
            <w:vMerge w:val="restart"/>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5,192,114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4,884,841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0" w:type="dxa"/>
            <w:vAlign w:val="bottom"/>
            <w:shd w:val="clear" w:color="auto" w:fill="CCEEFF"/>
          </w:tcPr>
          <w:p>
            <w:pPr>
              <w:spacing w:after="0"/>
              <w:rPr>
                <w:sz w:val="20"/>
                <w:szCs w:val="20"/>
                <w:color w:val="auto"/>
              </w:rPr>
            </w:pPr>
          </w:p>
        </w:tc>
        <w:tc>
          <w:tcPr>
            <w:tcW w:w="2220" w:type="dxa"/>
            <w:vAlign w:val="bottom"/>
            <w:shd w:val="clear" w:color="auto" w:fill="CCEEFF"/>
          </w:tcPr>
          <w:p>
            <w:pPr>
              <w:jc w:val="center"/>
              <w:ind w:right="374"/>
              <w:spacing w:after="0"/>
              <w:rPr>
                <w:sz w:val="20"/>
                <w:szCs w:val="20"/>
                <w:color w:val="auto"/>
              </w:rPr>
            </w:pPr>
            <w:r>
              <w:rPr>
                <w:rFonts w:ascii="Arial" w:cs="Arial" w:eastAsia="Arial" w:hAnsi="Arial"/>
                <w:sz w:val="17"/>
                <w:szCs w:val="17"/>
                <w:color w:val="auto"/>
                <w:w w:val="92"/>
              </w:rPr>
              <w:t>shareholders’ equity</w:t>
            </w:r>
          </w:p>
        </w:tc>
        <w:tc>
          <w:tcPr>
            <w:tcW w:w="24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320" w:type="dxa"/>
            <w:vAlign w:val="bottom"/>
            <w:gridSpan w:val="2"/>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6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Net Interest Income</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39,849</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40,359</w:t>
            </w:r>
          </w:p>
        </w:tc>
        <w:tc>
          <w:tcPr>
            <w:tcW w:w="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6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92"/>
              </w:rPr>
              <w:t>Net Interest Income as a Percent of</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vMerge w:val="restart"/>
            <w:shd w:val="clear" w:color="auto" w:fill="CCEEFF"/>
          </w:tcPr>
          <w:p>
            <w:pPr>
              <w:ind w:left="920"/>
              <w:spacing w:after="0"/>
              <w:rPr>
                <w:sz w:val="20"/>
                <w:szCs w:val="20"/>
                <w:color w:val="auto"/>
              </w:rPr>
            </w:pPr>
            <w:r>
              <w:rPr>
                <w:rFonts w:ascii="Arial" w:cs="Arial" w:eastAsia="Arial" w:hAnsi="Arial"/>
                <w:sz w:val="17"/>
                <w:szCs w:val="17"/>
                <w:color w:val="auto"/>
                <w:w w:val="94"/>
              </w:rPr>
              <w:t>3.25 %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vMerge w:val="restart"/>
            <w:shd w:val="clear" w:color="auto" w:fill="CCEEFF"/>
          </w:tcPr>
          <w:p>
            <w:pPr>
              <w:ind w:left="940"/>
              <w:spacing w:after="0"/>
              <w:rPr>
                <w:sz w:val="20"/>
                <w:szCs w:val="20"/>
                <w:color w:val="auto"/>
              </w:rPr>
            </w:pPr>
            <w:r>
              <w:rPr>
                <w:rFonts w:ascii="Arial" w:cs="Arial" w:eastAsia="Arial" w:hAnsi="Arial"/>
                <w:sz w:val="17"/>
                <w:szCs w:val="17"/>
                <w:color w:val="auto"/>
                <w:w w:val="90"/>
              </w:rPr>
              <w:t>3.49 %</w:t>
            </w:r>
          </w:p>
        </w:tc>
        <w:tc>
          <w:tcPr>
            <w:tcW w:w="0" w:type="dxa"/>
            <w:vAlign w:val="bottom"/>
          </w:tcPr>
          <w:p>
            <w:pPr>
              <w:spacing w:after="0"/>
              <w:rPr>
                <w:sz w:val="1"/>
                <w:szCs w:val="1"/>
                <w:color w:val="auto"/>
              </w:rPr>
            </w:pPr>
          </w:p>
        </w:tc>
      </w:tr>
      <w:tr>
        <w:trPr>
          <w:trHeight w:val="238"/>
        </w:trPr>
        <w:tc>
          <w:tcPr>
            <w:tcW w:w="26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7"/>
                <w:szCs w:val="17"/>
                <w:color w:val="auto"/>
                <w:w w:val="90"/>
              </w:rPr>
              <w:t>Average Interest Earning Assets</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w:t>
      </w:r>
    </w:p>
    <w:p>
      <w:pPr>
        <w:spacing w:after="0" w:line="191" w:lineRule="exact"/>
        <w:rPr>
          <w:sz w:val="20"/>
          <w:szCs w:val="20"/>
          <w:color w:val="auto"/>
        </w:rPr>
      </w:pPr>
    </w:p>
    <w:p>
      <w:pPr>
        <w:ind w:left="300" w:hanging="297"/>
        <w:spacing w:after="0"/>
        <w:tabs>
          <w:tab w:leader="none" w:pos="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Interest on tax-exempt loans and securities available for sale is presented on a fully tax equivalent basis assuming a marginal tax rate of 21%.</w:t>
      </w:r>
    </w:p>
    <w:p>
      <w:pPr>
        <w:spacing w:after="0" w:line="21" w:lineRule="exact"/>
        <w:rPr>
          <w:rFonts w:ascii="Arial" w:cs="Arial" w:eastAsia="Arial" w:hAnsi="Arial"/>
          <w:sz w:val="17"/>
          <w:szCs w:val="17"/>
          <w:color w:val="auto"/>
        </w:rPr>
      </w:pPr>
    </w:p>
    <w:p>
      <w:pPr>
        <w:ind w:left="300" w:hanging="297"/>
        <w:spacing w:after="0"/>
        <w:tabs>
          <w:tab w:leader="none" w:pos="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Annualized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95"/>
        </w:trPr>
        <w:tc>
          <w:tcPr>
            <w:tcW w:w="1520" w:type="dxa"/>
            <w:vAlign w:val="bottom"/>
            <w:gridSpan w:val="2"/>
          </w:tcPr>
          <w:p>
            <w:pPr>
              <w:spacing w:after="0"/>
              <w:rPr>
                <w:sz w:val="20"/>
                <w:szCs w:val="20"/>
                <w:color w:val="auto"/>
              </w:rPr>
            </w:pPr>
            <w:r>
              <w:rPr>
                <w:rFonts w:ascii="Arial" w:cs="Arial" w:eastAsia="Arial" w:hAnsi="Arial"/>
                <w:sz w:val="17"/>
                <w:szCs w:val="17"/>
                <w:i w:val="1"/>
                <w:iCs w:val="1"/>
                <w:color w:val="0000FF"/>
              </w:rPr>
              <w:t>Index</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8"/>
        </w:trPr>
        <w:tc>
          <w:tcPr>
            <w:tcW w:w="3260" w:type="dxa"/>
            <w:vAlign w:val="bottom"/>
            <w:gridSpan w:val="6"/>
          </w:tcPr>
          <w:p>
            <w:pPr>
              <w:spacing w:after="0"/>
              <w:rPr>
                <w:sz w:val="20"/>
                <w:szCs w:val="20"/>
                <w:color w:val="auto"/>
              </w:rPr>
            </w:pPr>
            <w:r>
              <w:rPr>
                <w:rFonts w:ascii="Arial" w:cs="Arial" w:eastAsia="Arial" w:hAnsi="Arial"/>
                <w:sz w:val="17"/>
                <w:szCs w:val="17"/>
                <w:b w:val="1"/>
                <w:bCs w:val="1"/>
                <w:color w:val="auto"/>
                <w:w w:val="90"/>
              </w:rPr>
              <w:t>Average Balances and Tax Equivalent Rates</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80" w:type="dxa"/>
            <w:vAlign w:val="bottom"/>
            <w:gridSpan w:val="9"/>
          </w:tcPr>
          <w:p>
            <w:pPr>
              <w:jc w:val="center"/>
              <w:ind w:right="400"/>
              <w:spacing w:after="0"/>
              <w:rPr>
                <w:sz w:val="20"/>
                <w:szCs w:val="20"/>
                <w:color w:val="auto"/>
              </w:rPr>
            </w:pPr>
            <w:r>
              <w:rPr>
                <w:rFonts w:ascii="Arial" w:cs="Arial" w:eastAsia="Arial" w:hAnsi="Arial"/>
                <w:sz w:val="17"/>
                <w:szCs w:val="17"/>
                <w:color w:val="auto"/>
                <w:w w:val="91"/>
              </w:rPr>
              <w:t>Nine Months Ended September 30,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3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95"/>
              </w:rPr>
              <w:t>2023</w:t>
            </w:r>
          </w:p>
        </w:tc>
        <w:tc>
          <w:tcPr>
            <w:tcW w:w="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gridSpan w:val="2"/>
          </w:tcPr>
          <w:p>
            <w:pPr>
              <w:jc w:val="right"/>
              <w:ind w:right="274"/>
              <w:spacing w:after="0"/>
              <w:rPr>
                <w:sz w:val="20"/>
                <w:szCs w:val="20"/>
                <w:color w:val="auto"/>
              </w:rPr>
            </w:pPr>
            <w:r>
              <w:rPr>
                <w:rFonts w:ascii="Arial" w:cs="Arial" w:eastAsia="Arial" w:hAnsi="Arial"/>
                <w:sz w:val="17"/>
                <w:szCs w:val="17"/>
                <w:color w:val="auto"/>
                <w:w w:val="95"/>
              </w:rPr>
              <w:t>2022</w:t>
            </w:r>
          </w:p>
        </w:tc>
        <w:tc>
          <w:tcPr>
            <w:tcW w:w="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gridSpan w:val="2"/>
          </w:tcPr>
          <w:p>
            <w:pPr>
              <w:ind w:left="140"/>
              <w:spacing w:after="0"/>
              <w:rPr>
                <w:sz w:val="20"/>
                <w:szCs w:val="20"/>
                <w:color w:val="auto"/>
              </w:rPr>
            </w:pPr>
            <w:r>
              <w:rPr>
                <w:rFonts w:ascii="Arial" w:cs="Arial" w:eastAsia="Arial" w:hAnsi="Arial"/>
                <w:sz w:val="17"/>
                <w:szCs w:val="17"/>
                <w:color w:val="auto"/>
              </w:rPr>
              <w:t>Average</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ind w:left="160"/>
              <w:spacing w:after="0"/>
              <w:rPr>
                <w:sz w:val="20"/>
                <w:szCs w:val="20"/>
                <w:color w:val="auto"/>
              </w:rPr>
            </w:pPr>
            <w:r>
              <w:rPr>
                <w:rFonts w:ascii="Arial" w:cs="Arial" w:eastAsia="Arial" w:hAnsi="Arial"/>
                <w:sz w:val="17"/>
                <w:szCs w:val="17"/>
                <w:color w:val="auto"/>
              </w:rPr>
              <w:t>Average</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ind w:left="120"/>
              <w:spacing w:after="0"/>
              <w:rPr>
                <w:sz w:val="20"/>
                <w:szCs w:val="20"/>
                <w:color w:val="auto"/>
              </w:rPr>
            </w:pPr>
            <w:r>
              <w:rPr>
                <w:rFonts w:ascii="Arial" w:cs="Arial" w:eastAsia="Arial" w:hAnsi="Arial"/>
                <w:sz w:val="17"/>
                <w:szCs w:val="17"/>
                <w:color w:val="auto"/>
              </w:rPr>
              <w:t>Rate</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Borders>
              <w:bottom w:val="single" w:sz="8" w:color="auto"/>
            </w:tcBorders>
            <w:gridSpan w:val="2"/>
          </w:tcPr>
          <w:p>
            <w:pPr>
              <w:ind w:left="140"/>
              <w:spacing w:after="0"/>
              <w:rPr>
                <w:sz w:val="20"/>
                <w:szCs w:val="20"/>
                <w:color w:val="auto"/>
              </w:rPr>
            </w:pPr>
            <w:r>
              <w:rPr>
                <w:rFonts w:ascii="Arial" w:cs="Arial" w:eastAsia="Arial" w:hAnsi="Arial"/>
                <w:sz w:val="17"/>
                <w:szCs w:val="17"/>
                <w:color w:val="auto"/>
              </w:rPr>
              <w:t>Balance</w:t>
            </w: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Interest</w:t>
            </w:r>
          </w:p>
        </w:tc>
        <w:tc>
          <w:tcPr>
            <w:tcW w:w="5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Rate</w:t>
            </w: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color w:val="auto"/>
              </w:rPr>
              <w:t>Balance</w:t>
            </w: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Interest</w:t>
            </w:r>
          </w:p>
        </w:tc>
        <w:tc>
          <w:tcPr>
            <w:tcW w:w="56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60" w:type="dxa"/>
            <w:vAlign w:val="bottom"/>
            <w:gridSpan w:val="6"/>
          </w:tcPr>
          <w:p>
            <w:pPr>
              <w:jc w:val="center"/>
              <w:ind w:left="334"/>
              <w:spacing w:after="0"/>
              <w:rPr>
                <w:sz w:val="20"/>
                <w:szCs w:val="20"/>
                <w:color w:val="auto"/>
              </w:rPr>
            </w:pPr>
            <w:r>
              <w:rPr>
                <w:rFonts w:ascii="Arial" w:cs="Arial" w:eastAsia="Arial" w:hAnsi="Arial"/>
                <w:sz w:val="17"/>
                <w:szCs w:val="17"/>
                <w:color w:val="auto"/>
                <w:w w:val="93"/>
              </w:rPr>
              <w:t>(Dollars in thousands)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1520" w:type="dxa"/>
            <w:vAlign w:val="bottom"/>
            <w:gridSpan w:val="2"/>
          </w:tcPr>
          <w:p>
            <w:pPr>
              <w:ind w:left="20"/>
              <w:spacing w:after="0"/>
              <w:rPr>
                <w:sz w:val="20"/>
                <w:szCs w:val="20"/>
                <w:color w:val="auto"/>
              </w:rPr>
            </w:pPr>
            <w:r>
              <w:rPr>
                <w:rFonts w:ascii="Arial" w:cs="Arial" w:eastAsia="Arial" w:hAnsi="Arial"/>
                <w:sz w:val="17"/>
                <w:szCs w:val="17"/>
                <w:color w:val="auto"/>
              </w:rPr>
              <w:t>Assets</w:t>
            </w: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Taxable loans</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$3,579,569</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$143,203</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ind w:left="40"/>
              <w:spacing w:after="0"/>
              <w:rPr>
                <w:sz w:val="20"/>
                <w:szCs w:val="20"/>
                <w:color w:val="auto"/>
              </w:rPr>
            </w:pPr>
            <w:r>
              <w:rPr>
                <w:rFonts w:ascii="Arial" w:cs="Arial" w:eastAsia="Arial" w:hAnsi="Arial"/>
                <w:sz w:val="17"/>
                <w:szCs w:val="17"/>
                <w:color w:val="auto"/>
                <w:w w:val="90"/>
              </w:rPr>
              <w:t>5.34 %</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$3,155,410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96,742</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ind w:left="40"/>
              <w:spacing w:after="0"/>
              <w:rPr>
                <w:sz w:val="20"/>
                <w:szCs w:val="20"/>
                <w:color w:val="auto"/>
              </w:rPr>
            </w:pPr>
            <w:r>
              <w:rPr>
                <w:rFonts w:ascii="Arial" w:cs="Arial" w:eastAsia="Arial" w:hAnsi="Arial"/>
                <w:sz w:val="17"/>
                <w:szCs w:val="17"/>
                <w:color w:val="auto"/>
                <w:w w:val="94"/>
              </w:rPr>
              <w:t>4.09 %</w:t>
            </w:r>
          </w:p>
        </w:tc>
        <w:tc>
          <w:tcPr>
            <w:tcW w:w="0" w:type="dxa"/>
            <w:vAlign w:val="bottom"/>
          </w:tcPr>
          <w:p>
            <w:pPr>
              <w:spacing w:after="0"/>
              <w:rPr>
                <w:sz w:val="1"/>
                <w:szCs w:val="1"/>
                <w:color w:val="auto"/>
              </w:rPr>
            </w:pPr>
          </w:p>
        </w:tc>
      </w:tr>
      <w:tr>
        <w:trPr>
          <w:trHeight w:val="238"/>
        </w:trPr>
        <w:tc>
          <w:tcPr>
            <w:tcW w:w="1520" w:type="dxa"/>
            <w:vAlign w:val="bottom"/>
            <w:gridSpan w:val="2"/>
          </w:tcPr>
          <w:p>
            <w:pPr>
              <w:ind w:left="20"/>
              <w:spacing w:after="0"/>
              <w:rPr>
                <w:sz w:val="20"/>
                <w:szCs w:val="20"/>
                <w:color w:val="auto"/>
              </w:rPr>
            </w:pPr>
            <w:r>
              <w:rPr>
                <w:rFonts w:ascii="Arial" w:cs="Arial" w:eastAsia="Arial" w:hAnsi="Arial"/>
                <w:sz w:val="17"/>
                <w:szCs w:val="17"/>
                <w:color w:val="auto"/>
                <w:w w:val="92"/>
              </w:rPr>
              <w:t>Tax-exempt loans (1)</w:t>
            </w:r>
          </w:p>
        </w:tc>
        <w:tc>
          <w:tcPr>
            <w:tcW w:w="860" w:type="dxa"/>
            <w:vAlign w:val="bottom"/>
          </w:tcPr>
          <w:p>
            <w:pPr>
              <w:jc w:val="right"/>
              <w:spacing w:after="0"/>
              <w:rPr>
                <w:sz w:val="20"/>
                <w:szCs w:val="20"/>
                <w:color w:val="auto"/>
              </w:rPr>
            </w:pPr>
            <w:r>
              <w:rPr>
                <w:rFonts w:ascii="Arial" w:cs="Arial" w:eastAsia="Arial" w:hAnsi="Arial"/>
                <w:sz w:val="17"/>
                <w:szCs w:val="17"/>
                <w:color w:val="auto"/>
              </w:rPr>
              <w:t>6,705</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239</w:t>
            </w:r>
          </w:p>
        </w:tc>
        <w:tc>
          <w:tcPr>
            <w:tcW w:w="80" w:type="dxa"/>
            <w:vAlign w:val="bottom"/>
          </w:tcPr>
          <w:p>
            <w:pPr>
              <w:spacing w:after="0"/>
              <w:rPr>
                <w:sz w:val="20"/>
                <w:szCs w:val="20"/>
                <w:color w:val="auto"/>
              </w:rPr>
            </w:pPr>
          </w:p>
        </w:tc>
        <w:tc>
          <w:tcPr>
            <w:tcW w:w="540" w:type="dxa"/>
            <w:vAlign w:val="bottom"/>
          </w:tcPr>
          <w:p>
            <w:pPr>
              <w:ind w:left="40"/>
              <w:spacing w:after="0"/>
              <w:rPr>
                <w:sz w:val="20"/>
                <w:szCs w:val="20"/>
                <w:color w:val="auto"/>
              </w:rPr>
            </w:pPr>
            <w:r>
              <w:rPr>
                <w:rFonts w:ascii="Arial" w:cs="Arial" w:eastAsia="Arial" w:hAnsi="Arial"/>
                <w:sz w:val="17"/>
                <w:szCs w:val="17"/>
                <w:color w:val="auto"/>
              </w:rPr>
              <w:t>4.77</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7,922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281</w:t>
            </w:r>
          </w:p>
        </w:tc>
        <w:tc>
          <w:tcPr>
            <w:tcW w:w="80" w:type="dxa"/>
            <w:vAlign w:val="bottom"/>
          </w:tcPr>
          <w:p>
            <w:pPr>
              <w:spacing w:after="0"/>
              <w:rPr>
                <w:sz w:val="20"/>
                <w:szCs w:val="20"/>
                <w:color w:val="auto"/>
              </w:rPr>
            </w:pPr>
          </w:p>
        </w:tc>
        <w:tc>
          <w:tcPr>
            <w:tcW w:w="560" w:type="dxa"/>
            <w:vAlign w:val="bottom"/>
          </w:tcPr>
          <w:p>
            <w:pPr>
              <w:ind w:left="40"/>
              <w:spacing w:after="0"/>
              <w:rPr>
                <w:sz w:val="20"/>
                <w:szCs w:val="20"/>
                <w:color w:val="auto"/>
              </w:rPr>
            </w:pPr>
            <w:r>
              <w:rPr>
                <w:rFonts w:ascii="Arial" w:cs="Arial" w:eastAsia="Arial" w:hAnsi="Arial"/>
                <w:sz w:val="17"/>
                <w:szCs w:val="17"/>
                <w:color w:val="auto"/>
              </w:rPr>
              <w:t>4.74</w:t>
            </w:r>
          </w:p>
        </w:tc>
        <w:tc>
          <w:tcPr>
            <w:tcW w:w="0" w:type="dxa"/>
            <w:vAlign w:val="bottom"/>
          </w:tcPr>
          <w:p>
            <w:pPr>
              <w:spacing w:after="0"/>
              <w:rPr>
                <w:sz w:val="1"/>
                <w:szCs w:val="1"/>
                <w:color w:val="auto"/>
              </w:rPr>
            </w:pPr>
          </w:p>
        </w:tc>
      </w:tr>
      <w:tr>
        <w:trPr>
          <w:trHeight w:val="252"/>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Taxable securities</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788,654</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17,668</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ind w:left="40"/>
              <w:spacing w:after="0"/>
              <w:rPr>
                <w:sz w:val="20"/>
                <w:szCs w:val="20"/>
                <w:color w:val="auto"/>
              </w:rPr>
            </w:pPr>
            <w:r>
              <w:rPr>
                <w:rFonts w:ascii="Arial" w:cs="Arial" w:eastAsia="Arial" w:hAnsi="Arial"/>
                <w:sz w:val="17"/>
                <w:szCs w:val="17"/>
                <w:color w:val="auto"/>
              </w:rPr>
              <w:t>2.99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978,668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14,831</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2.02</w:t>
            </w:r>
          </w:p>
        </w:tc>
        <w:tc>
          <w:tcPr>
            <w:tcW w:w="0" w:type="dxa"/>
            <w:vAlign w:val="bottom"/>
          </w:tcPr>
          <w:p>
            <w:pPr>
              <w:spacing w:after="0"/>
              <w:rPr>
                <w:sz w:val="1"/>
                <w:szCs w:val="1"/>
                <w:color w:val="auto"/>
              </w:rPr>
            </w:pPr>
          </w:p>
        </w:tc>
      </w:tr>
      <w:tr>
        <w:trPr>
          <w:trHeight w:val="220"/>
        </w:trPr>
        <w:tc>
          <w:tcPr>
            <w:tcW w:w="1520" w:type="dxa"/>
            <w:vAlign w:val="bottom"/>
            <w:gridSpan w:val="2"/>
          </w:tcPr>
          <w:p>
            <w:pPr>
              <w:ind w:left="20"/>
              <w:spacing w:after="0"/>
              <w:rPr>
                <w:sz w:val="20"/>
                <w:szCs w:val="20"/>
                <w:color w:val="auto"/>
              </w:rPr>
            </w:pPr>
            <w:r>
              <w:rPr>
                <w:rFonts w:ascii="Arial" w:cs="Arial" w:eastAsia="Arial" w:hAnsi="Arial"/>
                <w:sz w:val="17"/>
                <w:szCs w:val="17"/>
                <w:color w:val="auto"/>
              </w:rPr>
              <w:t>Tax-exempt</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20" w:type="dxa"/>
            <w:vAlign w:val="bottom"/>
            <w:gridSpan w:val="2"/>
          </w:tcPr>
          <w:p>
            <w:pPr>
              <w:ind w:left="100"/>
              <w:spacing w:after="0"/>
              <w:rPr>
                <w:sz w:val="20"/>
                <w:szCs w:val="20"/>
                <w:color w:val="auto"/>
              </w:rPr>
            </w:pPr>
            <w:r>
              <w:rPr>
                <w:rFonts w:ascii="Arial" w:cs="Arial" w:eastAsia="Arial" w:hAnsi="Arial"/>
                <w:sz w:val="17"/>
                <w:szCs w:val="17"/>
                <w:color w:val="auto"/>
              </w:rPr>
              <w:t>securities (1)</w:t>
            </w:r>
          </w:p>
        </w:tc>
        <w:tc>
          <w:tcPr>
            <w:tcW w:w="860" w:type="dxa"/>
            <w:vAlign w:val="bottom"/>
          </w:tcPr>
          <w:p>
            <w:pPr>
              <w:jc w:val="right"/>
              <w:spacing w:after="0"/>
              <w:rPr>
                <w:sz w:val="20"/>
                <w:szCs w:val="20"/>
                <w:color w:val="auto"/>
              </w:rPr>
            </w:pPr>
            <w:r>
              <w:rPr>
                <w:rFonts w:ascii="Arial" w:cs="Arial" w:eastAsia="Arial" w:hAnsi="Arial"/>
                <w:sz w:val="17"/>
                <w:szCs w:val="17"/>
                <w:color w:val="auto"/>
              </w:rPr>
              <w:t>320,724</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11,009</w:t>
            </w:r>
          </w:p>
        </w:tc>
        <w:tc>
          <w:tcPr>
            <w:tcW w:w="80" w:type="dxa"/>
            <w:vAlign w:val="bottom"/>
          </w:tcPr>
          <w:p>
            <w:pPr>
              <w:spacing w:after="0"/>
              <w:rPr>
                <w:sz w:val="20"/>
                <w:szCs w:val="20"/>
                <w:color w:val="auto"/>
              </w:rPr>
            </w:pPr>
          </w:p>
        </w:tc>
        <w:tc>
          <w:tcPr>
            <w:tcW w:w="540" w:type="dxa"/>
            <w:vAlign w:val="bottom"/>
          </w:tcPr>
          <w:p>
            <w:pPr>
              <w:ind w:left="40"/>
              <w:spacing w:after="0"/>
              <w:rPr>
                <w:sz w:val="20"/>
                <w:szCs w:val="20"/>
                <w:color w:val="auto"/>
              </w:rPr>
            </w:pPr>
            <w:r>
              <w:rPr>
                <w:rFonts w:ascii="Arial" w:cs="Arial" w:eastAsia="Arial" w:hAnsi="Arial"/>
                <w:sz w:val="17"/>
                <w:szCs w:val="17"/>
                <w:color w:val="auto"/>
              </w:rPr>
              <w:t>4.58</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336,123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6,950</w:t>
            </w:r>
          </w:p>
        </w:tc>
        <w:tc>
          <w:tcPr>
            <w:tcW w:w="80" w:type="dxa"/>
            <w:vAlign w:val="bottom"/>
          </w:tcPr>
          <w:p>
            <w:pPr>
              <w:spacing w:after="0"/>
              <w:rPr>
                <w:sz w:val="20"/>
                <w:szCs w:val="20"/>
                <w:color w:val="auto"/>
              </w:rPr>
            </w:pPr>
          </w:p>
        </w:tc>
        <w:tc>
          <w:tcPr>
            <w:tcW w:w="560" w:type="dxa"/>
            <w:vAlign w:val="bottom"/>
          </w:tcPr>
          <w:p>
            <w:pPr>
              <w:ind w:left="40"/>
              <w:spacing w:after="0"/>
              <w:rPr>
                <w:sz w:val="20"/>
                <w:szCs w:val="20"/>
                <w:color w:val="auto"/>
              </w:rPr>
            </w:pPr>
            <w:r>
              <w:rPr>
                <w:rFonts w:ascii="Arial" w:cs="Arial" w:eastAsia="Arial" w:hAnsi="Arial"/>
                <w:sz w:val="17"/>
                <w:szCs w:val="17"/>
                <w:color w:val="auto"/>
              </w:rPr>
              <w:t>2.76</w:t>
            </w:r>
          </w:p>
        </w:tc>
        <w:tc>
          <w:tcPr>
            <w:tcW w:w="0" w:type="dxa"/>
            <w:vAlign w:val="bottom"/>
          </w:tcPr>
          <w:p>
            <w:pPr>
              <w:spacing w:after="0"/>
              <w:rPr>
                <w:sz w:val="1"/>
                <w:szCs w:val="1"/>
                <w:color w:val="auto"/>
              </w:rPr>
            </w:pPr>
          </w:p>
        </w:tc>
      </w:tr>
      <w:tr>
        <w:trPr>
          <w:trHeight w:val="252"/>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3"/>
              </w:rPr>
              <w:t>Interest bearing cash</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71,355</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2,769</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ind w:left="40"/>
              <w:spacing w:after="0"/>
              <w:rPr>
                <w:sz w:val="20"/>
                <w:szCs w:val="20"/>
                <w:color w:val="auto"/>
              </w:rPr>
            </w:pPr>
            <w:r>
              <w:rPr>
                <w:rFonts w:ascii="Arial" w:cs="Arial" w:eastAsia="Arial" w:hAnsi="Arial"/>
                <w:sz w:val="17"/>
                <w:szCs w:val="17"/>
                <w:color w:val="auto"/>
              </w:rPr>
              <w:t>5.19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36,761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0.34</w:t>
            </w:r>
          </w:p>
        </w:tc>
        <w:tc>
          <w:tcPr>
            <w:tcW w:w="0" w:type="dxa"/>
            <w:vAlign w:val="bottom"/>
          </w:tcPr>
          <w:p>
            <w:pPr>
              <w:spacing w:after="0"/>
              <w:rPr>
                <w:sz w:val="1"/>
                <w:szCs w:val="1"/>
                <w:color w:val="auto"/>
              </w:rPr>
            </w:pPr>
          </w:p>
        </w:tc>
      </w:tr>
      <w:tr>
        <w:trPr>
          <w:trHeight w:val="238"/>
        </w:trPr>
        <w:tc>
          <w:tcPr>
            <w:tcW w:w="1520" w:type="dxa"/>
            <w:vAlign w:val="bottom"/>
            <w:gridSpan w:val="2"/>
          </w:tcPr>
          <w:p>
            <w:pPr>
              <w:ind w:left="20"/>
              <w:spacing w:after="0"/>
              <w:rPr>
                <w:sz w:val="20"/>
                <w:szCs w:val="20"/>
                <w:color w:val="auto"/>
              </w:rPr>
            </w:pPr>
            <w:r>
              <w:rPr>
                <w:rFonts w:ascii="Arial" w:cs="Arial" w:eastAsia="Arial" w:hAnsi="Arial"/>
                <w:sz w:val="17"/>
                <w:szCs w:val="17"/>
                <w:color w:val="auto"/>
              </w:rPr>
              <w:t>Other investments</w:t>
            </w:r>
          </w:p>
        </w:tc>
        <w:tc>
          <w:tcPr>
            <w:tcW w:w="860" w:type="dxa"/>
            <w:vAlign w:val="bottom"/>
          </w:tcPr>
          <w:p>
            <w:pPr>
              <w:jc w:val="right"/>
              <w:spacing w:after="0"/>
              <w:rPr>
                <w:sz w:val="20"/>
                <w:szCs w:val="20"/>
                <w:color w:val="auto"/>
              </w:rPr>
            </w:pPr>
            <w:r>
              <w:rPr>
                <w:rFonts w:ascii="Arial" w:cs="Arial" w:eastAsia="Arial" w:hAnsi="Arial"/>
                <w:sz w:val="17"/>
                <w:szCs w:val="17"/>
                <w:color w:val="auto"/>
              </w:rPr>
              <w:t>17,805</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712</w:t>
            </w:r>
          </w:p>
        </w:tc>
        <w:tc>
          <w:tcPr>
            <w:tcW w:w="80" w:type="dxa"/>
            <w:vAlign w:val="bottom"/>
          </w:tcPr>
          <w:p>
            <w:pPr>
              <w:spacing w:after="0"/>
              <w:rPr>
                <w:sz w:val="20"/>
                <w:szCs w:val="20"/>
                <w:color w:val="auto"/>
              </w:rPr>
            </w:pPr>
          </w:p>
        </w:tc>
        <w:tc>
          <w:tcPr>
            <w:tcW w:w="540" w:type="dxa"/>
            <w:vAlign w:val="bottom"/>
          </w:tcPr>
          <w:p>
            <w:pPr>
              <w:ind w:left="40"/>
              <w:spacing w:after="0"/>
              <w:rPr>
                <w:sz w:val="20"/>
                <w:szCs w:val="20"/>
                <w:color w:val="auto"/>
              </w:rPr>
            </w:pPr>
            <w:r>
              <w:rPr>
                <w:rFonts w:ascii="Arial" w:cs="Arial" w:eastAsia="Arial" w:hAnsi="Arial"/>
                <w:sz w:val="17"/>
                <w:szCs w:val="17"/>
                <w:color w:val="auto"/>
              </w:rPr>
              <w:t>5.35</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17,806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557</w:t>
            </w:r>
          </w:p>
        </w:tc>
        <w:tc>
          <w:tcPr>
            <w:tcW w:w="80" w:type="dxa"/>
            <w:vAlign w:val="bottom"/>
          </w:tcPr>
          <w:p>
            <w:pPr>
              <w:spacing w:after="0"/>
              <w:rPr>
                <w:sz w:val="20"/>
                <w:szCs w:val="20"/>
                <w:color w:val="auto"/>
              </w:rPr>
            </w:pPr>
          </w:p>
        </w:tc>
        <w:tc>
          <w:tcPr>
            <w:tcW w:w="560" w:type="dxa"/>
            <w:vAlign w:val="bottom"/>
          </w:tcPr>
          <w:p>
            <w:pPr>
              <w:ind w:left="40"/>
              <w:spacing w:after="0"/>
              <w:rPr>
                <w:sz w:val="20"/>
                <w:szCs w:val="20"/>
                <w:color w:val="auto"/>
              </w:rPr>
            </w:pPr>
            <w:r>
              <w:rPr>
                <w:rFonts w:ascii="Arial" w:cs="Arial" w:eastAsia="Arial" w:hAnsi="Arial"/>
                <w:sz w:val="17"/>
                <w:szCs w:val="17"/>
                <w:color w:val="auto"/>
              </w:rPr>
              <w:t>4.18</w:t>
            </w:r>
          </w:p>
        </w:tc>
        <w:tc>
          <w:tcPr>
            <w:tcW w:w="0" w:type="dxa"/>
            <w:vAlign w:val="bottom"/>
          </w:tcPr>
          <w:p>
            <w:pPr>
              <w:spacing w:after="0"/>
              <w:rPr>
                <w:sz w:val="1"/>
                <w:szCs w:val="1"/>
                <w:color w:val="auto"/>
              </w:rPr>
            </w:pPr>
          </w:p>
        </w:tc>
      </w:tr>
      <w:tr>
        <w:trPr>
          <w:trHeight w:val="194"/>
        </w:trPr>
        <w:tc>
          <w:tcPr>
            <w:tcW w:w="1520" w:type="dxa"/>
            <w:vAlign w:val="bottom"/>
            <w:tcBorders>
              <w:top w:val="single" w:sz="8" w:color="CCEEFF"/>
            </w:tcBorders>
            <w:gridSpan w:val="2"/>
            <w:shd w:val="clear" w:color="auto" w:fill="CCEEFF"/>
          </w:tcPr>
          <w:p>
            <w:pPr>
              <w:ind w:left="320"/>
              <w:spacing w:after="0" w:line="194" w:lineRule="exact"/>
              <w:rPr>
                <w:sz w:val="20"/>
                <w:szCs w:val="20"/>
                <w:color w:val="auto"/>
              </w:rPr>
            </w:pPr>
            <w:r>
              <w:rPr>
                <w:rFonts w:ascii="Arial" w:cs="Arial" w:eastAsia="Arial" w:hAnsi="Arial"/>
                <w:sz w:val="17"/>
                <w:szCs w:val="17"/>
                <w:color w:val="auto"/>
                <w:w w:val="98"/>
              </w:rPr>
              <w:t>Interest Earning</w:t>
            </w: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5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Assets</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4,784,812</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175,600</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ind w:left="40"/>
              <w:spacing w:after="0"/>
              <w:rPr>
                <w:sz w:val="20"/>
                <w:szCs w:val="20"/>
                <w:color w:val="auto"/>
              </w:rPr>
            </w:pPr>
            <w:r>
              <w:rPr>
                <w:rFonts w:ascii="Arial" w:cs="Arial" w:eastAsia="Arial" w:hAnsi="Arial"/>
                <w:sz w:val="17"/>
                <w:szCs w:val="17"/>
                <w:color w:val="auto"/>
              </w:rPr>
              <w:t>4.90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4,532,690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119,455</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3.52</w:t>
            </w:r>
          </w:p>
        </w:tc>
        <w:tc>
          <w:tcPr>
            <w:tcW w:w="0" w:type="dxa"/>
            <w:vAlign w:val="bottom"/>
          </w:tcPr>
          <w:p>
            <w:pPr>
              <w:spacing w:after="0"/>
              <w:rPr>
                <w:sz w:val="1"/>
                <w:szCs w:val="1"/>
                <w:color w:val="auto"/>
              </w:rPr>
            </w:pPr>
          </w:p>
        </w:tc>
      </w:tr>
      <w:tr>
        <w:trPr>
          <w:trHeight w:val="207"/>
        </w:trPr>
        <w:tc>
          <w:tcPr>
            <w:tcW w:w="1520" w:type="dxa"/>
            <w:vAlign w:val="bottom"/>
            <w:gridSpan w:val="2"/>
          </w:tcPr>
          <w:p>
            <w:pPr>
              <w:ind w:left="20"/>
              <w:spacing w:after="0"/>
              <w:rPr>
                <w:sz w:val="20"/>
                <w:szCs w:val="20"/>
                <w:color w:val="auto"/>
              </w:rPr>
            </w:pPr>
            <w:r>
              <w:rPr>
                <w:rFonts w:ascii="Arial" w:cs="Arial" w:eastAsia="Arial" w:hAnsi="Arial"/>
                <w:sz w:val="17"/>
                <w:szCs w:val="17"/>
                <w:color w:val="auto"/>
              </w:rPr>
              <w:t>Cash and due from</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520" w:type="dxa"/>
            <w:vAlign w:val="bottom"/>
            <w:gridSpan w:val="2"/>
          </w:tcPr>
          <w:p>
            <w:pPr>
              <w:ind w:left="140"/>
              <w:spacing w:after="0"/>
              <w:rPr>
                <w:sz w:val="20"/>
                <w:szCs w:val="20"/>
                <w:color w:val="auto"/>
              </w:rPr>
            </w:pPr>
            <w:r>
              <w:rPr>
                <w:rFonts w:ascii="Arial" w:cs="Arial" w:eastAsia="Arial" w:hAnsi="Arial"/>
                <w:sz w:val="17"/>
                <w:szCs w:val="17"/>
                <w:color w:val="auto"/>
              </w:rPr>
              <w:t>banks</w:t>
            </w:r>
          </w:p>
        </w:tc>
        <w:tc>
          <w:tcPr>
            <w:tcW w:w="860" w:type="dxa"/>
            <w:vAlign w:val="bottom"/>
          </w:tcPr>
          <w:p>
            <w:pPr>
              <w:jc w:val="right"/>
              <w:spacing w:after="0"/>
              <w:rPr>
                <w:sz w:val="20"/>
                <w:szCs w:val="20"/>
                <w:color w:val="auto"/>
              </w:rPr>
            </w:pPr>
            <w:r>
              <w:rPr>
                <w:rFonts w:ascii="Arial" w:cs="Arial" w:eastAsia="Arial" w:hAnsi="Arial"/>
                <w:sz w:val="17"/>
                <w:szCs w:val="17"/>
                <w:color w:val="auto"/>
              </w:rPr>
              <w:t>59,163</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59,851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assets, net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231,872</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196,406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80" w:type="dxa"/>
            <w:vAlign w:val="bottom"/>
          </w:tcPr>
          <w:p>
            <w:pPr>
              <w:spacing w:after="0"/>
              <w:rPr>
                <w:sz w:val="21"/>
                <w:szCs w:val="21"/>
                <w:color w:val="auto"/>
              </w:rPr>
            </w:pPr>
          </w:p>
        </w:tc>
        <w:tc>
          <w:tcPr>
            <w:tcW w:w="1140" w:type="dxa"/>
            <w:vAlign w:val="bottom"/>
          </w:tcPr>
          <w:p>
            <w:pPr>
              <w:ind w:left="100"/>
              <w:spacing w:after="0"/>
              <w:rPr>
                <w:sz w:val="20"/>
                <w:szCs w:val="20"/>
                <w:color w:val="auto"/>
              </w:rPr>
            </w:pPr>
            <w:r>
              <w:rPr>
                <w:rFonts w:ascii="Arial" w:cs="Arial" w:eastAsia="Arial" w:hAnsi="Arial"/>
                <w:sz w:val="17"/>
                <w:szCs w:val="17"/>
                <w:color w:val="auto"/>
              </w:rPr>
              <w:t>Total Assets</w:t>
            </w:r>
          </w:p>
        </w:tc>
        <w:tc>
          <w:tcPr>
            <w:tcW w:w="860" w:type="dxa"/>
            <w:vAlign w:val="bottom"/>
          </w:tcPr>
          <w:p>
            <w:pPr>
              <w:jc w:val="right"/>
              <w:spacing w:after="0"/>
              <w:rPr>
                <w:sz w:val="20"/>
                <w:szCs w:val="20"/>
                <w:color w:val="auto"/>
              </w:rPr>
            </w:pPr>
            <w:r>
              <w:rPr>
                <w:rFonts w:ascii="Arial" w:cs="Arial" w:eastAsia="Arial" w:hAnsi="Arial"/>
                <w:sz w:val="17"/>
                <w:szCs w:val="17"/>
                <w:color w:val="auto"/>
                <w:w w:val="89"/>
              </w:rPr>
              <w:t>$5,075,847</w:t>
            </w: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$4,788,947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520" w:type="dxa"/>
            <w:vAlign w:val="bottom"/>
            <w:gridSpan w:val="2"/>
          </w:tcPr>
          <w:p>
            <w:pPr>
              <w:ind w:left="20"/>
              <w:spacing w:after="0"/>
              <w:rPr>
                <w:sz w:val="20"/>
                <w:szCs w:val="20"/>
                <w:color w:val="auto"/>
              </w:rPr>
            </w:pPr>
            <w:r>
              <w:rPr>
                <w:rFonts w:ascii="Arial" w:cs="Arial" w:eastAsia="Arial" w:hAnsi="Arial"/>
                <w:sz w:val="17"/>
                <w:szCs w:val="17"/>
                <w:color w:val="auto"/>
              </w:rPr>
              <w:t>Liabilities</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2"/>
              </w:rPr>
              <w:t>Savings and interest-</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5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bearing checking</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$2,550,973</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31,644</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ind w:left="40"/>
              <w:spacing w:after="0"/>
              <w:rPr>
                <w:sz w:val="20"/>
                <w:szCs w:val="20"/>
                <w:color w:val="auto"/>
              </w:rPr>
            </w:pPr>
            <w:r>
              <w:rPr>
                <w:rFonts w:ascii="Arial" w:cs="Arial" w:eastAsia="Arial" w:hAnsi="Arial"/>
                <w:sz w:val="17"/>
                <w:szCs w:val="17"/>
                <w:color w:val="auto"/>
              </w:rPr>
              <w:t>1.66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$2,528,655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4,232</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0.22</w:t>
            </w:r>
          </w:p>
        </w:tc>
        <w:tc>
          <w:tcPr>
            <w:tcW w:w="0" w:type="dxa"/>
            <w:vAlign w:val="bottom"/>
          </w:tcPr>
          <w:p>
            <w:pPr>
              <w:spacing w:after="0"/>
              <w:rPr>
                <w:sz w:val="1"/>
                <w:szCs w:val="1"/>
                <w:color w:val="auto"/>
              </w:rPr>
            </w:pPr>
          </w:p>
        </w:tc>
      </w:tr>
      <w:tr>
        <w:trPr>
          <w:trHeight w:val="238"/>
        </w:trPr>
        <w:tc>
          <w:tcPr>
            <w:tcW w:w="1520" w:type="dxa"/>
            <w:vAlign w:val="bottom"/>
            <w:gridSpan w:val="2"/>
          </w:tcPr>
          <w:p>
            <w:pPr>
              <w:ind w:left="20"/>
              <w:spacing w:after="0"/>
              <w:rPr>
                <w:sz w:val="20"/>
                <w:szCs w:val="20"/>
                <w:color w:val="auto"/>
              </w:rPr>
            </w:pPr>
            <w:r>
              <w:rPr>
                <w:rFonts w:ascii="Arial" w:cs="Arial" w:eastAsia="Arial" w:hAnsi="Arial"/>
                <w:sz w:val="17"/>
                <w:szCs w:val="17"/>
                <w:color w:val="auto"/>
              </w:rPr>
              <w:t>Time deposits</w:t>
            </w:r>
          </w:p>
        </w:tc>
        <w:tc>
          <w:tcPr>
            <w:tcW w:w="860" w:type="dxa"/>
            <w:vAlign w:val="bottom"/>
          </w:tcPr>
          <w:p>
            <w:pPr>
              <w:jc w:val="right"/>
              <w:spacing w:after="0"/>
              <w:rPr>
                <w:sz w:val="20"/>
                <w:szCs w:val="20"/>
                <w:color w:val="auto"/>
              </w:rPr>
            </w:pPr>
            <w:r>
              <w:rPr>
                <w:rFonts w:ascii="Arial" w:cs="Arial" w:eastAsia="Arial" w:hAnsi="Arial"/>
                <w:sz w:val="17"/>
                <w:szCs w:val="17"/>
                <w:color w:val="auto"/>
              </w:rPr>
              <w:t>745,983</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20,320</w:t>
            </w:r>
          </w:p>
        </w:tc>
        <w:tc>
          <w:tcPr>
            <w:tcW w:w="80" w:type="dxa"/>
            <w:vAlign w:val="bottom"/>
          </w:tcPr>
          <w:p>
            <w:pPr>
              <w:spacing w:after="0"/>
              <w:rPr>
                <w:sz w:val="20"/>
                <w:szCs w:val="20"/>
                <w:color w:val="auto"/>
              </w:rPr>
            </w:pPr>
          </w:p>
        </w:tc>
        <w:tc>
          <w:tcPr>
            <w:tcW w:w="540" w:type="dxa"/>
            <w:vAlign w:val="bottom"/>
          </w:tcPr>
          <w:p>
            <w:pPr>
              <w:ind w:left="40"/>
              <w:spacing w:after="0"/>
              <w:rPr>
                <w:sz w:val="20"/>
                <w:szCs w:val="20"/>
                <w:color w:val="auto"/>
              </w:rPr>
            </w:pPr>
            <w:r>
              <w:rPr>
                <w:rFonts w:ascii="Arial" w:cs="Arial" w:eastAsia="Arial" w:hAnsi="Arial"/>
                <w:sz w:val="17"/>
                <w:szCs w:val="17"/>
                <w:color w:val="auto"/>
              </w:rPr>
              <w:t>3.64</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365,245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1,376</w:t>
            </w:r>
          </w:p>
        </w:tc>
        <w:tc>
          <w:tcPr>
            <w:tcW w:w="80" w:type="dxa"/>
            <w:vAlign w:val="bottom"/>
          </w:tcPr>
          <w:p>
            <w:pPr>
              <w:spacing w:after="0"/>
              <w:rPr>
                <w:sz w:val="20"/>
                <w:szCs w:val="20"/>
                <w:color w:val="auto"/>
              </w:rPr>
            </w:pPr>
          </w:p>
        </w:tc>
        <w:tc>
          <w:tcPr>
            <w:tcW w:w="560" w:type="dxa"/>
            <w:vAlign w:val="bottom"/>
          </w:tcPr>
          <w:p>
            <w:pPr>
              <w:ind w:left="40"/>
              <w:spacing w:after="0"/>
              <w:rPr>
                <w:sz w:val="20"/>
                <w:szCs w:val="20"/>
                <w:color w:val="auto"/>
              </w:rPr>
            </w:pPr>
            <w:r>
              <w:rPr>
                <w:rFonts w:ascii="Arial" w:cs="Arial" w:eastAsia="Arial" w:hAnsi="Arial"/>
                <w:sz w:val="17"/>
                <w:szCs w:val="17"/>
                <w:color w:val="auto"/>
              </w:rPr>
              <w:t>0.50</w:t>
            </w:r>
          </w:p>
        </w:tc>
        <w:tc>
          <w:tcPr>
            <w:tcW w:w="0" w:type="dxa"/>
            <w:vAlign w:val="bottom"/>
          </w:tcPr>
          <w:p>
            <w:pPr>
              <w:spacing w:after="0"/>
              <w:rPr>
                <w:sz w:val="1"/>
                <w:szCs w:val="1"/>
                <w:color w:val="auto"/>
              </w:rPr>
            </w:pPr>
          </w:p>
        </w:tc>
      </w:tr>
      <w:tr>
        <w:trPr>
          <w:trHeight w:val="252"/>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borrowings</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128,846</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6,134</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ind w:left="40"/>
              <w:spacing w:after="0"/>
              <w:rPr>
                <w:sz w:val="20"/>
                <w:szCs w:val="20"/>
                <w:color w:val="auto"/>
              </w:rPr>
            </w:pPr>
            <w:r>
              <w:rPr>
                <w:rFonts w:ascii="Arial" w:cs="Arial" w:eastAsia="Arial" w:hAnsi="Arial"/>
                <w:sz w:val="17"/>
                <w:szCs w:val="17"/>
                <w:color w:val="auto"/>
              </w:rPr>
              <w:t>6.37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116,774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3,463</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3.96</w:t>
            </w:r>
          </w:p>
        </w:tc>
        <w:tc>
          <w:tcPr>
            <w:tcW w:w="0" w:type="dxa"/>
            <w:vAlign w:val="bottom"/>
          </w:tcPr>
          <w:p>
            <w:pPr>
              <w:spacing w:after="0"/>
              <w:rPr>
                <w:sz w:val="1"/>
                <w:szCs w:val="1"/>
                <w:color w:val="auto"/>
              </w:rPr>
            </w:pPr>
          </w:p>
        </w:tc>
      </w:tr>
      <w:tr>
        <w:trPr>
          <w:trHeight w:val="187"/>
        </w:trPr>
        <w:tc>
          <w:tcPr>
            <w:tcW w:w="1520" w:type="dxa"/>
            <w:vAlign w:val="bottom"/>
            <w:gridSpan w:val="2"/>
          </w:tcPr>
          <w:p>
            <w:pPr>
              <w:ind w:left="320"/>
              <w:spacing w:after="0" w:line="187" w:lineRule="exact"/>
              <w:rPr>
                <w:sz w:val="20"/>
                <w:szCs w:val="20"/>
                <w:color w:val="auto"/>
              </w:rPr>
            </w:pPr>
            <w:r>
              <w:rPr>
                <w:rFonts w:ascii="Arial" w:cs="Arial" w:eastAsia="Arial" w:hAnsi="Arial"/>
                <w:sz w:val="17"/>
                <w:szCs w:val="17"/>
                <w:color w:val="auto"/>
                <w:w w:val="98"/>
              </w:rPr>
              <w:t>Interest Bearing</w:t>
            </w: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8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auto"/>
              </w:rPr>
              <w:t>Liabilities</w:t>
            </w:r>
          </w:p>
        </w:tc>
        <w:tc>
          <w:tcPr>
            <w:tcW w:w="860" w:type="dxa"/>
            <w:vAlign w:val="bottom"/>
          </w:tcPr>
          <w:p>
            <w:pPr>
              <w:jc w:val="right"/>
              <w:spacing w:after="0"/>
              <w:rPr>
                <w:sz w:val="20"/>
                <w:szCs w:val="20"/>
                <w:color w:val="auto"/>
              </w:rPr>
            </w:pPr>
            <w:r>
              <w:rPr>
                <w:rFonts w:ascii="Arial" w:cs="Arial" w:eastAsia="Arial" w:hAnsi="Arial"/>
                <w:sz w:val="17"/>
                <w:szCs w:val="17"/>
                <w:color w:val="auto"/>
              </w:rPr>
              <w:t>3,425,802</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58,098</w:t>
            </w:r>
          </w:p>
        </w:tc>
        <w:tc>
          <w:tcPr>
            <w:tcW w:w="8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Arial" w:cs="Arial" w:eastAsia="Arial" w:hAnsi="Arial"/>
                <w:sz w:val="17"/>
                <w:szCs w:val="17"/>
                <w:color w:val="auto"/>
              </w:rPr>
              <w:t>2.27</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3,010,674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9,071</w:t>
            </w:r>
          </w:p>
        </w:tc>
        <w:tc>
          <w:tcPr>
            <w:tcW w:w="8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Arial" w:cs="Arial" w:eastAsia="Arial" w:hAnsi="Arial"/>
                <w:sz w:val="17"/>
                <w:szCs w:val="17"/>
                <w:color w:val="auto"/>
              </w:rPr>
              <w:t>0.40</w:t>
            </w:r>
          </w:p>
        </w:tc>
        <w:tc>
          <w:tcPr>
            <w:tcW w:w="0" w:type="dxa"/>
            <w:vAlign w:val="bottom"/>
          </w:tcPr>
          <w:p>
            <w:pPr>
              <w:spacing w:after="0"/>
              <w:rPr>
                <w:sz w:val="1"/>
                <w:szCs w:val="1"/>
                <w:color w:val="auto"/>
              </w:rPr>
            </w:pPr>
          </w:p>
        </w:tc>
      </w:tr>
      <w:tr>
        <w:trPr>
          <w:trHeight w:val="214"/>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6"/>
              </w:rPr>
              <w:t>Non-interest bearing</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5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deposits</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1,184,548</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1,342,228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520" w:type="dxa"/>
            <w:vAlign w:val="bottom"/>
            <w:gridSpan w:val="2"/>
          </w:tcPr>
          <w:p>
            <w:pPr>
              <w:ind w:left="20"/>
              <w:spacing w:after="0"/>
              <w:rPr>
                <w:sz w:val="20"/>
                <w:szCs w:val="20"/>
                <w:color w:val="auto"/>
              </w:rPr>
            </w:pPr>
            <w:r>
              <w:rPr>
                <w:rFonts w:ascii="Arial" w:cs="Arial" w:eastAsia="Arial" w:hAnsi="Arial"/>
                <w:sz w:val="17"/>
                <w:szCs w:val="17"/>
                <w:color w:val="auto"/>
              </w:rPr>
              <w:t>Other liabilities</w:t>
            </w:r>
          </w:p>
        </w:tc>
        <w:tc>
          <w:tcPr>
            <w:tcW w:w="860" w:type="dxa"/>
            <w:vAlign w:val="bottom"/>
          </w:tcPr>
          <w:p>
            <w:pPr>
              <w:jc w:val="right"/>
              <w:spacing w:after="0"/>
              <w:rPr>
                <w:sz w:val="20"/>
                <w:szCs w:val="20"/>
                <w:color w:val="auto"/>
              </w:rPr>
            </w:pPr>
            <w:r>
              <w:rPr>
                <w:rFonts w:ascii="Arial" w:cs="Arial" w:eastAsia="Arial" w:hAnsi="Arial"/>
                <w:sz w:val="17"/>
                <w:szCs w:val="17"/>
                <w:color w:val="auto"/>
              </w:rPr>
              <w:t>100,929</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88,281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5"/>
              </w:rPr>
              <w:t>Shareholders’ equity</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364,568</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347,764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Total</w:t>
            </w: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6"/>
              </w:rPr>
              <w:t>liabilities and</w:t>
            </w: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2"/>
              </w:rPr>
              <w:t>shareholders’</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9"/>
              </w:rPr>
              <w:t>$5,075,847</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$4,788,947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80" w:type="dxa"/>
            <w:vAlign w:val="bottom"/>
            <w:shd w:val="clear" w:color="auto" w:fill="CCEEFF"/>
          </w:tcPr>
          <w:p>
            <w:pPr>
              <w:spacing w:after="0"/>
              <w:rPr>
                <w:sz w:val="20"/>
                <w:szCs w:val="20"/>
                <w:color w:val="auto"/>
              </w:rPr>
            </w:pPr>
          </w:p>
        </w:tc>
        <w:tc>
          <w:tcPr>
            <w:tcW w:w="1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equity</w:t>
            </w:r>
          </w:p>
        </w:tc>
        <w:tc>
          <w:tcPr>
            <w:tcW w:w="8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Net Interest</w:t>
            </w: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0"/>
              </w:rPr>
              <w:t>$117,502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7"/>
              </w:rPr>
              <w:t>110,384</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Income</w:t>
            </w: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5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94"/>
              </w:rPr>
              <w:t>Net Interest Income</w:t>
            </w: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as a Percent of</w:t>
            </w: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Average Interest</w:t>
            </w: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ind w:left="40"/>
              <w:spacing w:after="0"/>
              <w:rPr>
                <w:sz w:val="20"/>
                <w:szCs w:val="20"/>
                <w:color w:val="auto"/>
              </w:rPr>
            </w:pPr>
            <w:r>
              <w:rPr>
                <w:rFonts w:ascii="Arial" w:cs="Arial" w:eastAsia="Arial" w:hAnsi="Arial"/>
                <w:sz w:val="17"/>
                <w:szCs w:val="17"/>
                <w:color w:val="auto"/>
                <w:w w:val="90"/>
              </w:rPr>
              <w:t>3.28 %</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ind w:left="40"/>
              <w:spacing w:after="0"/>
              <w:rPr>
                <w:sz w:val="20"/>
                <w:szCs w:val="20"/>
                <w:color w:val="auto"/>
              </w:rPr>
            </w:pPr>
            <w:r>
              <w:rPr>
                <w:rFonts w:ascii="Arial" w:cs="Arial" w:eastAsia="Arial" w:hAnsi="Arial"/>
                <w:sz w:val="17"/>
                <w:szCs w:val="17"/>
                <w:color w:val="auto"/>
                <w:w w:val="94"/>
              </w:rPr>
              <w:t>3.25 %</w:t>
            </w:r>
          </w:p>
        </w:tc>
        <w:tc>
          <w:tcPr>
            <w:tcW w:w="0" w:type="dxa"/>
            <w:vAlign w:val="bottom"/>
          </w:tcPr>
          <w:p>
            <w:pPr>
              <w:spacing w:after="0"/>
              <w:rPr>
                <w:sz w:val="1"/>
                <w:szCs w:val="1"/>
                <w:color w:val="auto"/>
              </w:rPr>
            </w:pPr>
          </w:p>
        </w:tc>
      </w:tr>
      <w:tr>
        <w:trPr>
          <w:trHeight w:val="238"/>
        </w:trPr>
        <w:tc>
          <w:tcPr>
            <w:tcW w:w="1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Earning Assets</w:t>
            </w: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w:t>
      </w:r>
    </w:p>
    <w:p>
      <w:pPr>
        <w:spacing w:after="0" w:line="191" w:lineRule="exact"/>
        <w:rPr>
          <w:sz w:val="20"/>
          <w:szCs w:val="20"/>
          <w:color w:val="auto"/>
        </w:rPr>
      </w:pPr>
    </w:p>
    <w:p>
      <w:pPr>
        <w:ind w:left="300" w:hanging="297"/>
        <w:spacing w:after="0"/>
        <w:tabs>
          <w:tab w:leader="none" w:pos="3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Interest on tax-exempt loans and securities available for sale is presented on a fully tax equivalent basis assuming a marginal tax rate of 21%.</w:t>
      </w:r>
    </w:p>
    <w:p>
      <w:pPr>
        <w:spacing w:after="0" w:line="44" w:lineRule="exact"/>
        <w:rPr>
          <w:rFonts w:ascii="Arial" w:cs="Arial" w:eastAsia="Arial" w:hAnsi="Arial"/>
          <w:sz w:val="15"/>
          <w:szCs w:val="15"/>
          <w:color w:val="auto"/>
        </w:rPr>
      </w:pPr>
    </w:p>
    <w:p>
      <w:pPr>
        <w:ind w:left="300" w:hanging="297"/>
        <w:spacing w:after="0"/>
        <w:tabs>
          <w:tab w:leader="none" w:pos="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Annualized</w:t>
      </w:r>
    </w:p>
    <w:p>
      <w:pPr>
        <w:sectPr>
          <w:pgSz w:w="11900" w:h="16838" w:orient="portrait"/>
          <w:cols w:equalWidth="0" w:num="1">
            <w:col w:w="10139"/>
          </w:cols>
          <w:pgMar w:left="320" w:top="112"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12" w:right="1440" w:bottom="144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195"/>
        </w:trPr>
        <w:tc>
          <w:tcPr>
            <w:tcW w:w="4740" w:type="dxa"/>
            <w:vAlign w:val="bottom"/>
            <w:gridSpan w:val="2"/>
          </w:tcPr>
          <w:p>
            <w:pPr>
              <w:spacing w:after="0"/>
              <w:rPr>
                <w:sz w:val="20"/>
                <w:szCs w:val="20"/>
                <w:color w:val="auto"/>
              </w:rPr>
            </w:pPr>
            <w:r>
              <w:rPr>
                <w:rFonts w:ascii="Arial" w:cs="Arial" w:eastAsia="Arial" w:hAnsi="Arial"/>
                <w:sz w:val="17"/>
                <w:szCs w:val="17"/>
                <w:i w:val="1"/>
                <w:iCs w:val="1"/>
                <w:color w:val="0000FF"/>
              </w:rPr>
              <w:t>Index</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958"/>
        </w:trPr>
        <w:tc>
          <w:tcPr>
            <w:tcW w:w="4740" w:type="dxa"/>
            <w:vAlign w:val="bottom"/>
            <w:gridSpan w:val="2"/>
          </w:tcPr>
          <w:p>
            <w:pPr>
              <w:spacing w:after="0"/>
              <w:rPr>
                <w:sz w:val="20"/>
                <w:szCs w:val="20"/>
                <w:color w:val="auto"/>
              </w:rPr>
            </w:pPr>
            <w:r>
              <w:rPr>
                <w:rFonts w:ascii="Arial" w:cs="Arial" w:eastAsia="Arial" w:hAnsi="Arial"/>
                <w:sz w:val="17"/>
                <w:szCs w:val="17"/>
                <w:b w:val="1"/>
                <w:bCs w:val="1"/>
                <w:color w:val="auto"/>
              </w:rPr>
              <w:t>Reconciliation of Non-GAAP Financial Measures</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25"/>
        </w:trPr>
        <w:tc>
          <w:tcPr>
            <w:tcW w:w="3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gridSpan w:val="5"/>
          </w:tcPr>
          <w:p>
            <w:pPr>
              <w:ind w:left="140"/>
              <w:spacing w:after="0"/>
              <w:rPr>
                <w:sz w:val="20"/>
                <w:szCs w:val="20"/>
                <w:color w:val="auto"/>
              </w:rPr>
            </w:pPr>
            <w:r>
              <w:rPr>
                <w:rFonts w:ascii="Arial" w:cs="Arial" w:eastAsia="Arial" w:hAnsi="Arial"/>
                <w:sz w:val="17"/>
                <w:szCs w:val="17"/>
                <w:color w:val="auto"/>
              </w:rPr>
              <w:t>Three Months Ended September 30,</w:t>
            </w:r>
          </w:p>
        </w:tc>
        <w:tc>
          <w:tcPr>
            <w:tcW w:w="240" w:type="dxa"/>
            <w:vAlign w:val="bottom"/>
          </w:tcPr>
          <w:p>
            <w:pPr>
              <w:spacing w:after="0"/>
              <w:rPr>
                <w:sz w:val="24"/>
                <w:szCs w:val="24"/>
                <w:color w:val="auto"/>
              </w:rPr>
            </w:pPr>
          </w:p>
        </w:tc>
        <w:tc>
          <w:tcPr>
            <w:tcW w:w="2960" w:type="dxa"/>
            <w:vAlign w:val="bottom"/>
            <w:gridSpan w:val="4"/>
          </w:tcPr>
          <w:p>
            <w:pPr>
              <w:jc w:val="right"/>
              <w:ind w:right="314"/>
              <w:spacing w:after="0"/>
              <w:rPr>
                <w:sz w:val="20"/>
                <w:szCs w:val="20"/>
                <w:color w:val="auto"/>
              </w:rPr>
            </w:pPr>
            <w:r>
              <w:rPr>
                <w:rFonts w:ascii="Arial" w:cs="Arial" w:eastAsia="Arial" w:hAnsi="Arial"/>
                <w:sz w:val="17"/>
                <w:szCs w:val="17"/>
                <w:color w:val="auto"/>
                <w:w w:val="95"/>
              </w:rPr>
              <w:t>Nine Months Ended September 30,</w:t>
            </w:r>
          </w:p>
        </w:tc>
      </w:tr>
      <w:tr>
        <w:trPr>
          <w:trHeight w:val="252"/>
        </w:trPr>
        <w:tc>
          <w:tcPr>
            <w:tcW w:w="38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2023</w:t>
            </w:r>
          </w:p>
        </w:tc>
        <w:tc>
          <w:tcPr>
            <w:tcW w:w="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2022</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2023</w:t>
            </w:r>
          </w:p>
        </w:tc>
        <w:tc>
          <w:tcPr>
            <w:tcW w:w="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2022</w:t>
            </w:r>
          </w:p>
        </w:tc>
      </w:tr>
      <w:tr>
        <w:trPr>
          <w:trHeight w:val="230"/>
        </w:trPr>
        <w:tc>
          <w:tcPr>
            <w:tcW w:w="3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40" w:type="dxa"/>
            <w:vAlign w:val="bottom"/>
            <w:gridSpan w:val="5"/>
          </w:tcPr>
          <w:p>
            <w:pPr>
              <w:ind w:left="480"/>
              <w:spacing w:after="0"/>
              <w:rPr>
                <w:sz w:val="20"/>
                <w:szCs w:val="20"/>
                <w:color w:val="auto"/>
              </w:rPr>
            </w:pPr>
            <w:r>
              <w:rPr>
                <w:rFonts w:ascii="Arial" w:cs="Arial" w:eastAsia="Arial" w:hAnsi="Arial"/>
                <w:sz w:val="17"/>
                <w:szCs w:val="17"/>
                <w:color w:val="auto"/>
              </w:rPr>
              <w:t>(Dollars in thousands)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5"/>
        </w:trPr>
        <w:tc>
          <w:tcPr>
            <w:tcW w:w="4740" w:type="dxa"/>
            <w:vAlign w:val="bottom"/>
            <w:gridSpan w:val="2"/>
          </w:tcPr>
          <w:p>
            <w:pPr>
              <w:ind w:left="20"/>
              <w:spacing w:after="0"/>
              <w:rPr>
                <w:sz w:val="20"/>
                <w:szCs w:val="20"/>
                <w:color w:val="auto"/>
              </w:rPr>
            </w:pPr>
            <w:r>
              <w:rPr>
                <w:rFonts w:ascii="Arial" w:cs="Arial" w:eastAsia="Arial" w:hAnsi="Arial"/>
                <w:sz w:val="17"/>
                <w:szCs w:val="17"/>
                <w:b w:val="1"/>
                <w:bCs w:val="1"/>
                <w:color w:val="auto"/>
              </w:rPr>
              <w:t>Net Interest Margin, Fully Taxable Equivalent ("FTE")</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2"/>
        </w:trPr>
        <w:tc>
          <w:tcPr>
            <w:tcW w:w="474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5"/>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interest income</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39,427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39,897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116,218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108,959</w:t>
            </w:r>
          </w:p>
        </w:tc>
      </w:tr>
      <w:tr>
        <w:trPr>
          <w:trHeight w:val="251"/>
        </w:trPr>
        <w:tc>
          <w:tcPr>
            <w:tcW w:w="474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Add: taxable equivalent adjustment</w:t>
            </w: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422</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462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1,284</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1,425</w:t>
            </w:r>
          </w:p>
        </w:tc>
      </w:tr>
      <w:tr>
        <w:trPr>
          <w:trHeight w:val="270"/>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interest income - taxable equivalent</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39,849</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40,359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117,502</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110,384</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40" w:type="dxa"/>
            <w:vAlign w:val="bottom"/>
          </w:tcPr>
          <w:p>
            <w:pPr>
              <w:ind w:left="20"/>
              <w:spacing w:after="0"/>
              <w:rPr>
                <w:sz w:val="20"/>
                <w:szCs w:val="20"/>
                <w:color w:val="auto"/>
              </w:rPr>
            </w:pPr>
            <w:r>
              <w:rPr>
                <w:rFonts w:ascii="Arial" w:cs="Arial" w:eastAsia="Arial" w:hAnsi="Arial"/>
                <w:sz w:val="17"/>
                <w:szCs w:val="17"/>
                <w:color w:val="auto"/>
              </w:rPr>
              <w:t>Net interest margin (GAAP) (1)</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3.21 %</w:t>
            </w:r>
          </w:p>
        </w:tc>
        <w:tc>
          <w:tcPr>
            <w:tcW w:w="8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3.45 %</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3.25 %</w:t>
            </w:r>
          </w:p>
        </w:tc>
        <w:tc>
          <w:tcPr>
            <w:tcW w:w="8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3.21 %</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6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interest margin (FTE) (1)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3.25 %</w:t>
            </w:r>
          </w:p>
        </w:tc>
        <w:tc>
          <w:tcPr>
            <w:tcW w:w="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3.49 %</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3.28 %</w:t>
            </w:r>
          </w:p>
        </w:tc>
        <w:tc>
          <w:tcPr>
            <w:tcW w:w="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3.25 %</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(1) Annualized.</w:t>
      </w:r>
    </w:p>
    <w:p>
      <w:pPr>
        <w:spacing w:after="0" w:line="172" w:lineRule="exact"/>
        <w:rPr>
          <w:sz w:val="20"/>
          <w:szCs w:val="20"/>
          <w:color w:val="auto"/>
        </w:rPr>
      </w:pPr>
    </w:p>
    <w:p>
      <w:pPr>
        <w:jc w:val="both"/>
        <w:spacing w:after="0" w:line="297" w:lineRule="auto"/>
        <w:rPr>
          <w:sz w:val="20"/>
          <w:szCs w:val="20"/>
          <w:color w:val="auto"/>
        </w:rPr>
      </w:pPr>
      <w:r>
        <w:rPr>
          <w:rFonts w:ascii="Arial" w:cs="Arial" w:eastAsia="Arial" w:hAnsi="Arial"/>
          <w:sz w:val="15"/>
          <w:szCs w:val="15"/>
          <w:b w:val="1"/>
          <w:bCs w:val="1"/>
          <w:color w:val="auto"/>
        </w:rPr>
        <w:t xml:space="preserve">Provision for credit losses. </w:t>
      </w:r>
      <w:r>
        <w:rPr>
          <w:rFonts w:ascii="Arial" w:cs="Arial" w:eastAsia="Arial" w:hAnsi="Arial"/>
          <w:sz w:val="15"/>
          <w:szCs w:val="15"/>
          <w:color w:val="auto"/>
        </w:rPr>
        <w:t>The provision for credit losses was an expense of $1.4 million and an expense of $3.1 million for the three months ended</w:t>
      </w:r>
      <w:r>
        <w:rPr>
          <w:rFonts w:ascii="Arial" w:cs="Arial" w:eastAsia="Arial" w:hAnsi="Arial"/>
          <w:sz w:val="15"/>
          <w:szCs w:val="15"/>
          <w:b w:val="1"/>
          <w:bCs w:val="1"/>
          <w:color w:val="auto"/>
        </w:rPr>
        <w:t xml:space="preserve"> </w:t>
      </w:r>
      <w:r>
        <w:rPr>
          <w:rFonts w:ascii="Arial" w:cs="Arial" w:eastAsia="Arial" w:hAnsi="Arial"/>
          <w:sz w:val="15"/>
          <w:szCs w:val="15"/>
          <w:color w:val="auto"/>
        </w:rPr>
        <w:t>September 30, 2023 and 2022, respectively. During the nine-month periods ended September 30, 2023 and 2022, the provision for credit losses was an expense of $6.8 million and an expense of $4.0 million, respectively. The provision on loans reflects our assessment of the allowance for credit losses (the “ACL”) on loans taking into consideration factors such as loan growth, loan mix, levels of non-performing and classified loans, economic conditions and loan net charge-offs. While we use relevant information to recognize losses on loans, additional provisions for related losses may be necessary based on changes in economic conditions, customer circumstances and other credit risk factors. See “Portfolio Loans and asset quality” for a discussion of the various components of the ACL on loans and their impact on the provision for credit losses on loans in 2023. The decrease in the provision for credit losses on loans from the prior year quarter to date period is primarily due to a decrease in the change in expected loss rates in our mortgage loan segment as well as a decline in loan growth rate.</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year-to-date provision for credit losses in 2023 compared to 2022, was relatively unchanged. The provision for credit losses on securities HTM in 2023 was an expense of $2.99 million as the result of a loss incurred on a $3.0 million corporate security (Signature Bank) that defaulted during the first quarter. This security was fully charged off during the first quarter of 2023.</w:t>
      </w:r>
    </w:p>
    <w:p>
      <w:pPr>
        <w:spacing w:after="0" w:line="14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Non-interest income. </w:t>
      </w:r>
      <w:r>
        <w:rPr>
          <w:rFonts w:ascii="Arial" w:cs="Arial" w:eastAsia="Arial" w:hAnsi="Arial"/>
          <w:sz w:val="17"/>
          <w:szCs w:val="17"/>
          <w:color w:val="auto"/>
        </w:rPr>
        <w:t>Non-interest income is a significant element in assessing our results of operations. Non-interest income totaled $15.6 million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third quarter of 2023 compared to $16.9 million in the third quarter of 2022. For the first nine months of 2023, non-interest income totaled $41.6 million compared to $50.4 million for the first nine months of 2022.</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95"/>
        </w:trPr>
        <w:tc>
          <w:tcPr>
            <w:tcW w:w="5040" w:type="dxa"/>
            <w:vAlign w:val="bottom"/>
            <w:gridSpan w:val="2"/>
          </w:tcPr>
          <w:p>
            <w:pPr>
              <w:spacing w:after="0"/>
              <w:rPr>
                <w:sz w:val="20"/>
                <w:szCs w:val="20"/>
                <w:color w:val="auto"/>
              </w:rPr>
            </w:pPr>
            <w:r>
              <w:rPr>
                <w:rFonts w:ascii="Arial" w:cs="Arial" w:eastAsia="Arial" w:hAnsi="Arial"/>
                <w:sz w:val="17"/>
                <w:szCs w:val="17"/>
                <w:i w:val="1"/>
                <w:iCs w:val="1"/>
                <w:color w:val="0000FF"/>
              </w:rPr>
              <w:t>Index</w:t>
            </w: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958"/>
        </w:trPr>
        <w:tc>
          <w:tcPr>
            <w:tcW w:w="5040" w:type="dxa"/>
            <w:vAlign w:val="bottom"/>
            <w:gridSpan w:val="2"/>
          </w:tcPr>
          <w:p>
            <w:pPr>
              <w:spacing w:after="0"/>
              <w:rPr>
                <w:sz w:val="20"/>
                <w:szCs w:val="20"/>
                <w:color w:val="auto"/>
              </w:rPr>
            </w:pPr>
            <w:r>
              <w:rPr>
                <w:rFonts w:ascii="Arial" w:cs="Arial" w:eastAsia="Arial" w:hAnsi="Arial"/>
                <w:sz w:val="17"/>
                <w:szCs w:val="17"/>
                <w:color w:val="auto"/>
              </w:rPr>
              <w:t>The components of non-interest income are as follows:</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7"/>
        </w:trPr>
        <w:tc>
          <w:tcPr>
            <w:tcW w:w="5040" w:type="dxa"/>
            <w:vAlign w:val="bottom"/>
            <w:gridSpan w:val="2"/>
          </w:tcPr>
          <w:p>
            <w:pPr>
              <w:spacing w:after="0"/>
              <w:rPr>
                <w:sz w:val="20"/>
                <w:szCs w:val="20"/>
                <w:color w:val="auto"/>
              </w:rPr>
            </w:pPr>
            <w:r>
              <w:rPr>
                <w:rFonts w:ascii="Arial" w:cs="Arial" w:eastAsia="Arial" w:hAnsi="Arial"/>
                <w:sz w:val="17"/>
                <w:szCs w:val="17"/>
                <w:b w:val="1"/>
                <w:bCs w:val="1"/>
                <w:color w:val="auto"/>
              </w:rPr>
              <w:t>Non-Interest Income</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3"/>
        </w:trPr>
        <w:tc>
          <w:tcPr>
            <w:tcW w:w="3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140" w:type="dxa"/>
            <w:vAlign w:val="bottom"/>
            <w:gridSpan w:val="6"/>
          </w:tcPr>
          <w:p>
            <w:pPr>
              <w:ind w:left="280"/>
              <w:spacing w:after="0"/>
              <w:rPr>
                <w:sz w:val="20"/>
                <w:szCs w:val="20"/>
                <w:color w:val="auto"/>
              </w:rPr>
            </w:pPr>
            <w:r>
              <w:rPr>
                <w:rFonts w:ascii="Arial" w:cs="Arial" w:eastAsia="Arial" w:hAnsi="Arial"/>
                <w:sz w:val="17"/>
                <w:szCs w:val="17"/>
                <w:color w:val="auto"/>
              </w:rPr>
              <w:t>Three Months Ended September 30,</w:t>
            </w:r>
          </w:p>
        </w:tc>
        <w:tc>
          <w:tcPr>
            <w:tcW w:w="220" w:type="dxa"/>
            <w:vAlign w:val="bottom"/>
          </w:tcPr>
          <w:p>
            <w:pPr>
              <w:spacing w:after="0"/>
              <w:rPr>
                <w:sz w:val="24"/>
                <w:szCs w:val="24"/>
                <w:color w:val="auto"/>
              </w:rPr>
            </w:pPr>
          </w:p>
        </w:tc>
        <w:tc>
          <w:tcPr>
            <w:tcW w:w="2840" w:type="dxa"/>
            <w:vAlign w:val="bottom"/>
            <w:gridSpan w:val="4"/>
          </w:tcPr>
          <w:p>
            <w:pPr>
              <w:jc w:val="right"/>
              <w:ind w:right="234"/>
              <w:spacing w:after="0"/>
              <w:rPr>
                <w:sz w:val="20"/>
                <w:szCs w:val="20"/>
                <w:color w:val="auto"/>
              </w:rPr>
            </w:pPr>
            <w:r>
              <w:rPr>
                <w:rFonts w:ascii="Arial" w:cs="Arial" w:eastAsia="Arial" w:hAnsi="Arial"/>
                <w:sz w:val="17"/>
                <w:szCs w:val="17"/>
                <w:color w:val="auto"/>
                <w:w w:val="94"/>
              </w:rPr>
              <w:t>Nine Months Ended September 30,</w:t>
            </w:r>
          </w:p>
        </w:tc>
      </w:tr>
      <w:tr>
        <w:trPr>
          <w:trHeight w:val="239"/>
        </w:trPr>
        <w:tc>
          <w:tcPr>
            <w:tcW w:w="3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2022</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2023</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2022</w:t>
            </w:r>
          </w:p>
        </w:tc>
      </w:tr>
      <w:tr>
        <w:trPr>
          <w:trHeight w:val="238"/>
        </w:trPr>
        <w:tc>
          <w:tcPr>
            <w:tcW w:w="3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0" w:type="dxa"/>
            <w:vAlign w:val="bottom"/>
            <w:gridSpan w:val="5"/>
          </w:tcPr>
          <w:p>
            <w:pPr>
              <w:ind w:left="700"/>
              <w:spacing w:after="0"/>
              <w:rPr>
                <w:sz w:val="20"/>
                <w:szCs w:val="20"/>
                <w:color w:val="auto"/>
              </w:rPr>
            </w:pPr>
            <w:r>
              <w:rPr>
                <w:rFonts w:ascii="Arial" w:cs="Arial" w:eastAsia="Arial" w:hAnsi="Arial"/>
                <w:sz w:val="17"/>
                <w:szCs w:val="17"/>
                <w:color w:val="auto"/>
              </w:rPr>
              <w:t>(In thousands)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2"/>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Interchange income</w:t>
            </w:r>
          </w:p>
        </w:tc>
        <w:tc>
          <w:tcPr>
            <w:tcW w:w="940" w:type="dxa"/>
            <w:vAlign w:val="bottom"/>
            <w:shd w:val="clear" w:color="auto" w:fill="CCEEFF"/>
          </w:tcPr>
          <w:p>
            <w:pPr>
              <w:jc w:val="right"/>
              <w:ind w:right="754"/>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10,660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10,553</w:t>
            </w:r>
          </w:p>
        </w:tc>
      </w:tr>
      <w:tr>
        <w:trPr>
          <w:trHeight w:val="238"/>
        </w:trPr>
        <w:tc>
          <w:tcPr>
            <w:tcW w:w="5040" w:type="dxa"/>
            <w:vAlign w:val="bottom"/>
            <w:gridSpan w:val="2"/>
          </w:tcPr>
          <w:p>
            <w:pPr>
              <w:ind w:left="20"/>
              <w:spacing w:after="0"/>
              <w:rPr>
                <w:sz w:val="20"/>
                <w:szCs w:val="20"/>
                <w:color w:val="auto"/>
              </w:rPr>
            </w:pPr>
            <w:r>
              <w:rPr>
                <w:rFonts w:ascii="Arial" w:cs="Arial" w:eastAsia="Arial" w:hAnsi="Arial"/>
                <w:sz w:val="17"/>
                <w:szCs w:val="17"/>
                <w:color w:val="auto"/>
              </w:rPr>
              <w:t>Service charges on deposit accounts</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3,309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3,082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9,300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9,135</w:t>
            </w:r>
          </w:p>
        </w:tc>
      </w:tr>
      <w:tr>
        <w:trPr>
          <w:trHeight w:val="252"/>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gains on assets</w:t>
            </w: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8"/>
        </w:trPr>
        <w:tc>
          <w:tcPr>
            <w:tcW w:w="5040" w:type="dxa"/>
            <w:vAlign w:val="bottom"/>
            <w:gridSpan w:val="2"/>
          </w:tcPr>
          <w:p>
            <w:pPr>
              <w:ind w:left="180"/>
              <w:spacing w:after="0"/>
              <w:rPr>
                <w:sz w:val="20"/>
                <w:szCs w:val="20"/>
                <w:color w:val="auto"/>
              </w:rPr>
            </w:pPr>
            <w:r>
              <w:rPr>
                <w:rFonts w:ascii="Arial" w:cs="Arial" w:eastAsia="Arial" w:hAnsi="Arial"/>
                <w:sz w:val="17"/>
                <w:szCs w:val="17"/>
                <w:color w:val="auto"/>
              </w:rPr>
              <w:t>Mortgage loans</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2,099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2,857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5,475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4,945</w:t>
            </w:r>
          </w:p>
        </w:tc>
      </w:tr>
      <w:tr>
        <w:trPr>
          <w:trHeight w:val="252"/>
        </w:trPr>
        <w:tc>
          <w:tcPr>
            <w:tcW w:w="50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Securities</w:t>
            </w:r>
          </w:p>
        </w:tc>
        <w:tc>
          <w:tcPr>
            <w:tcW w:w="9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w:t>
            </w:r>
          </w:p>
        </w:tc>
      </w:tr>
      <w:tr>
        <w:trPr>
          <w:trHeight w:val="238"/>
        </w:trPr>
        <w:tc>
          <w:tcPr>
            <w:tcW w:w="5040" w:type="dxa"/>
            <w:vAlign w:val="bottom"/>
            <w:gridSpan w:val="2"/>
          </w:tcPr>
          <w:p>
            <w:pPr>
              <w:ind w:left="20"/>
              <w:spacing w:after="0"/>
              <w:rPr>
                <w:sz w:val="20"/>
                <w:szCs w:val="20"/>
                <w:color w:val="auto"/>
              </w:rPr>
            </w:pPr>
            <w:r>
              <w:rPr>
                <w:rFonts w:ascii="Arial" w:cs="Arial" w:eastAsia="Arial" w:hAnsi="Arial"/>
                <w:sz w:val="17"/>
                <w:szCs w:val="17"/>
                <w:color w:val="auto"/>
              </w:rPr>
              <w:t>Mortgage loan servicing, net</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2,668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4,283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7,068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18,086</w:t>
            </w:r>
          </w:p>
        </w:tc>
      </w:tr>
      <w:tr>
        <w:trPr>
          <w:trHeight w:val="252"/>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Investment and insurance commissions</w:t>
            </w: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2,170</w:t>
            </w:r>
          </w:p>
        </w:tc>
      </w:tr>
      <w:tr>
        <w:trPr>
          <w:trHeight w:val="238"/>
        </w:trPr>
        <w:tc>
          <w:tcPr>
            <w:tcW w:w="5040" w:type="dxa"/>
            <w:vAlign w:val="bottom"/>
            <w:gridSpan w:val="2"/>
          </w:tcPr>
          <w:p>
            <w:pPr>
              <w:ind w:left="20"/>
              <w:spacing w:after="0"/>
              <w:rPr>
                <w:sz w:val="20"/>
                <w:szCs w:val="20"/>
                <w:color w:val="auto"/>
              </w:rPr>
            </w:pPr>
            <w:r>
              <w:rPr>
                <w:rFonts w:ascii="Arial" w:cs="Arial" w:eastAsia="Arial" w:hAnsi="Arial"/>
                <w:sz w:val="17"/>
                <w:szCs w:val="17"/>
                <w:color w:val="auto"/>
              </w:rPr>
              <w:t>Bank owned life insurance</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333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302</w:t>
            </w:r>
          </w:p>
        </w:tc>
      </w:tr>
      <w:tr>
        <w:trPr>
          <w:trHeight w:val="252"/>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9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1,781</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6,519</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5,525</w:t>
            </w:r>
          </w:p>
        </w:tc>
      </w:tr>
      <w:tr>
        <w:trPr>
          <w:trHeight w:val="231"/>
        </w:trPr>
        <w:tc>
          <w:tcPr>
            <w:tcW w:w="5040" w:type="dxa"/>
            <w:vAlign w:val="bottom"/>
            <w:gridSpan w:val="2"/>
          </w:tcPr>
          <w:p>
            <w:pPr>
              <w:ind w:left="180"/>
              <w:spacing w:after="0"/>
              <w:rPr>
                <w:sz w:val="20"/>
                <w:szCs w:val="20"/>
                <w:color w:val="auto"/>
              </w:rPr>
            </w:pPr>
            <w:r>
              <w:rPr>
                <w:rFonts w:ascii="Arial" w:cs="Arial" w:eastAsia="Arial" w:hAnsi="Arial"/>
                <w:sz w:val="17"/>
                <w:szCs w:val="17"/>
                <w:color w:val="auto"/>
              </w:rPr>
              <w:t>Total non-interest income</w:t>
            </w:r>
          </w:p>
        </w:tc>
        <w:tc>
          <w:tcPr>
            <w:tcW w:w="940" w:type="dxa"/>
            <w:vAlign w:val="bottom"/>
            <w:tcBorders>
              <w:bottom w:val="single" w:sz="8" w:color="auto"/>
            </w:tcBorders>
          </w:tcPr>
          <w:p>
            <w:pPr>
              <w:jc w:val="right"/>
              <w:ind w:right="754"/>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15,611</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16,861</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41,579</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50,441</w:t>
            </w:r>
          </w:p>
        </w:tc>
      </w:tr>
      <w:tr>
        <w:trPr>
          <w:trHeight w:val="26"/>
        </w:trPr>
        <w:tc>
          <w:tcPr>
            <w:tcW w:w="3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4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reflected in the table below, the sale of mortgage loans dropped significantly on a quarterly and year to date basis in 2023 compared to 2022. Mortgage loan activity is summarized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40" w:type="dxa"/>
            <w:vAlign w:val="bottom"/>
          </w:tcPr>
          <w:p>
            <w:pPr>
              <w:spacing w:after="0"/>
              <w:rPr>
                <w:sz w:val="20"/>
                <w:szCs w:val="20"/>
                <w:color w:val="auto"/>
              </w:rPr>
            </w:pPr>
            <w:r>
              <w:rPr>
                <w:rFonts w:ascii="Arial" w:cs="Arial" w:eastAsia="Arial" w:hAnsi="Arial"/>
                <w:sz w:val="17"/>
                <w:szCs w:val="17"/>
                <w:b w:val="1"/>
                <w:bCs w:val="1"/>
                <w:color w:val="auto"/>
              </w:rPr>
              <w:t>Mortgage Loan Activity</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8"/>
        </w:trPr>
        <w:tc>
          <w:tcPr>
            <w:tcW w:w="4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3"/>
          </w:tcPr>
          <w:p>
            <w:pPr>
              <w:jc w:val="right"/>
              <w:ind w:right="314"/>
              <w:spacing w:after="0"/>
              <w:rPr>
                <w:sz w:val="20"/>
                <w:szCs w:val="20"/>
                <w:color w:val="auto"/>
              </w:rPr>
            </w:pPr>
            <w:r>
              <w:rPr>
                <w:rFonts w:ascii="Arial" w:cs="Arial" w:eastAsia="Arial" w:hAnsi="Arial"/>
                <w:sz w:val="17"/>
                <w:szCs w:val="17"/>
                <w:color w:val="auto"/>
                <w:w w:val="94"/>
              </w:rPr>
              <w:t>Three Months Ended September 30,</w:t>
            </w:r>
          </w:p>
        </w:tc>
        <w:tc>
          <w:tcPr>
            <w:tcW w:w="300" w:type="dxa"/>
            <w:vAlign w:val="bottom"/>
          </w:tcPr>
          <w:p>
            <w:pPr>
              <w:spacing w:after="0"/>
              <w:rPr>
                <w:sz w:val="24"/>
                <w:szCs w:val="24"/>
                <w:color w:val="auto"/>
              </w:rPr>
            </w:pPr>
          </w:p>
        </w:tc>
        <w:tc>
          <w:tcPr>
            <w:tcW w:w="2960" w:type="dxa"/>
            <w:vAlign w:val="bottom"/>
            <w:gridSpan w:val="3"/>
          </w:tcPr>
          <w:p>
            <w:pPr>
              <w:jc w:val="right"/>
              <w:ind w:right="314"/>
              <w:spacing w:after="0"/>
              <w:rPr>
                <w:sz w:val="20"/>
                <w:szCs w:val="20"/>
                <w:color w:val="auto"/>
              </w:rPr>
            </w:pPr>
            <w:r>
              <w:rPr>
                <w:rFonts w:ascii="Arial" w:cs="Arial" w:eastAsia="Arial" w:hAnsi="Arial"/>
                <w:sz w:val="17"/>
                <w:szCs w:val="17"/>
                <w:color w:val="auto"/>
                <w:w w:val="95"/>
              </w:rPr>
              <w:t>Nine Months Ended September 30,</w:t>
            </w:r>
          </w:p>
        </w:tc>
      </w:tr>
      <w:tr>
        <w:trPr>
          <w:trHeight w:val="265"/>
        </w:trPr>
        <w:tc>
          <w:tcPr>
            <w:tcW w:w="47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color w:val="auto"/>
              </w:rPr>
              <w:t>2023</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rPr>
              <w:t>2022</w:t>
            </w:r>
          </w:p>
        </w:tc>
        <w:tc>
          <w:tcPr>
            <w:tcW w:w="3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color w:val="auto"/>
              </w:rPr>
              <w:t>2023</w:t>
            </w: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2022</w:t>
            </w:r>
          </w:p>
        </w:tc>
      </w:tr>
      <w:tr>
        <w:trPr>
          <w:trHeight w:val="238"/>
        </w:trPr>
        <w:tc>
          <w:tcPr>
            <w:tcW w:w="4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900" w:type="dxa"/>
            <w:vAlign w:val="bottom"/>
            <w:gridSpan w:val="3"/>
          </w:tcPr>
          <w:p>
            <w:pPr>
              <w:jc w:val="right"/>
              <w:ind w:right="794"/>
              <w:spacing w:after="0"/>
              <w:rPr>
                <w:sz w:val="20"/>
                <w:szCs w:val="20"/>
                <w:color w:val="auto"/>
              </w:rPr>
            </w:pPr>
            <w:r>
              <w:rPr>
                <w:rFonts w:ascii="Arial" w:cs="Arial" w:eastAsia="Arial" w:hAnsi="Arial"/>
                <w:sz w:val="17"/>
                <w:szCs w:val="17"/>
                <w:color w:val="auto"/>
              </w:rPr>
              <w:t>(Dollars in thousands)</w:t>
            </w: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2"/>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Mortgage loans originated</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172,914</w:t>
            </w:r>
          </w:p>
        </w:tc>
        <w:tc>
          <w:tcPr>
            <w:tcW w:w="40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209,041</w:t>
            </w:r>
          </w:p>
        </w:tc>
        <w:tc>
          <w:tcPr>
            <w:tcW w:w="3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446,450</w:t>
            </w:r>
          </w:p>
        </w:tc>
        <w:tc>
          <w:tcPr>
            <w:tcW w:w="40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796,918</w:t>
            </w:r>
          </w:p>
        </w:tc>
      </w:tr>
      <w:tr>
        <w:trPr>
          <w:trHeight w:val="238"/>
        </w:trPr>
        <w:tc>
          <w:tcPr>
            <w:tcW w:w="4740" w:type="dxa"/>
            <w:vAlign w:val="bottom"/>
          </w:tcPr>
          <w:p>
            <w:pPr>
              <w:ind w:left="20"/>
              <w:spacing w:after="0"/>
              <w:rPr>
                <w:sz w:val="20"/>
                <w:szCs w:val="20"/>
                <w:color w:val="auto"/>
              </w:rPr>
            </w:pPr>
            <w:r>
              <w:rPr>
                <w:rFonts w:ascii="Arial" w:cs="Arial" w:eastAsia="Arial" w:hAnsi="Arial"/>
                <w:sz w:val="17"/>
                <w:szCs w:val="17"/>
                <w:color w:val="auto"/>
              </w:rPr>
              <w:t>Mortgage loans sold</w:t>
            </w:r>
          </w:p>
        </w:tc>
        <w:tc>
          <w:tcPr>
            <w:tcW w:w="220" w:type="dxa"/>
            <w:vAlign w:val="bottom"/>
          </w:tcPr>
          <w:p>
            <w:pPr>
              <w:spacing w:after="0"/>
              <w:rPr>
                <w:sz w:val="20"/>
                <w:szCs w:val="20"/>
                <w:color w:val="auto"/>
              </w:rPr>
            </w:pPr>
          </w:p>
        </w:tc>
        <w:tc>
          <w:tcPr>
            <w:tcW w:w="1380" w:type="dxa"/>
            <w:vAlign w:val="bottom"/>
          </w:tcPr>
          <w:p>
            <w:pPr>
              <w:jc w:val="right"/>
              <w:ind w:right="174"/>
              <w:spacing w:after="0"/>
              <w:rPr>
                <w:sz w:val="20"/>
                <w:szCs w:val="20"/>
                <w:color w:val="auto"/>
              </w:rPr>
            </w:pPr>
            <w:r>
              <w:rPr>
                <w:rFonts w:ascii="Arial" w:cs="Arial" w:eastAsia="Arial" w:hAnsi="Arial"/>
                <w:sz w:val="17"/>
                <w:szCs w:val="17"/>
                <w:color w:val="auto"/>
              </w:rPr>
              <w:t>115,269</w:t>
            </w:r>
          </w:p>
        </w:tc>
        <w:tc>
          <w:tcPr>
            <w:tcW w:w="400" w:type="dxa"/>
            <w:vAlign w:val="bottom"/>
          </w:tcPr>
          <w:p>
            <w:pPr>
              <w:spacing w:after="0"/>
              <w:rPr>
                <w:sz w:val="20"/>
                <w:szCs w:val="20"/>
                <w:color w:val="auto"/>
              </w:rPr>
            </w:pPr>
          </w:p>
        </w:tc>
        <w:tc>
          <w:tcPr>
            <w:tcW w:w="1240" w:type="dxa"/>
            <w:vAlign w:val="bottom"/>
          </w:tcPr>
          <w:p>
            <w:pPr>
              <w:jc w:val="right"/>
              <w:ind w:right="154"/>
              <w:spacing w:after="0"/>
              <w:rPr>
                <w:sz w:val="20"/>
                <w:szCs w:val="20"/>
                <w:color w:val="auto"/>
              </w:rPr>
            </w:pPr>
            <w:r>
              <w:rPr>
                <w:rFonts w:ascii="Arial" w:cs="Arial" w:eastAsia="Arial" w:hAnsi="Arial"/>
                <w:sz w:val="17"/>
                <w:szCs w:val="17"/>
                <w:color w:val="auto"/>
              </w:rPr>
              <w:t>157,511</w:t>
            </w:r>
          </w:p>
        </w:tc>
        <w:tc>
          <w:tcPr>
            <w:tcW w:w="300" w:type="dxa"/>
            <w:vAlign w:val="bottom"/>
          </w:tcPr>
          <w:p>
            <w:pPr>
              <w:spacing w:after="0"/>
              <w:rPr>
                <w:sz w:val="20"/>
                <w:szCs w:val="20"/>
                <w:color w:val="auto"/>
              </w:rPr>
            </w:pPr>
          </w:p>
        </w:tc>
        <w:tc>
          <w:tcPr>
            <w:tcW w:w="1360" w:type="dxa"/>
            <w:vAlign w:val="bottom"/>
          </w:tcPr>
          <w:p>
            <w:pPr>
              <w:jc w:val="right"/>
              <w:ind w:right="174"/>
              <w:spacing w:after="0"/>
              <w:rPr>
                <w:sz w:val="20"/>
                <w:szCs w:val="20"/>
                <w:color w:val="auto"/>
              </w:rPr>
            </w:pPr>
            <w:r>
              <w:rPr>
                <w:rFonts w:ascii="Arial" w:cs="Arial" w:eastAsia="Arial" w:hAnsi="Arial"/>
                <w:sz w:val="17"/>
                <w:szCs w:val="17"/>
                <w:color w:val="auto"/>
              </w:rPr>
              <w:t>321,140</w:t>
            </w:r>
          </w:p>
        </w:tc>
        <w:tc>
          <w:tcPr>
            <w:tcW w:w="40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Arial" w:cs="Arial" w:eastAsia="Arial" w:hAnsi="Arial"/>
                <w:sz w:val="17"/>
                <w:szCs w:val="17"/>
                <w:color w:val="auto"/>
              </w:rPr>
              <w:t>522,213</w:t>
            </w:r>
          </w:p>
        </w:tc>
      </w:tr>
      <w:tr>
        <w:trPr>
          <w:trHeight w:val="252"/>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gains on mortgage loans</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2,099</w:t>
            </w: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2,857</w:t>
            </w: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5,475</w:t>
            </w: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4,945</w:t>
            </w:r>
          </w:p>
        </w:tc>
      </w:tr>
      <w:tr>
        <w:trPr>
          <w:trHeight w:val="220"/>
        </w:trPr>
        <w:tc>
          <w:tcPr>
            <w:tcW w:w="4740" w:type="dxa"/>
            <w:vAlign w:val="bottom"/>
          </w:tcPr>
          <w:p>
            <w:pPr>
              <w:ind w:left="20"/>
              <w:spacing w:after="0"/>
              <w:rPr>
                <w:sz w:val="20"/>
                <w:szCs w:val="20"/>
                <w:color w:val="auto"/>
              </w:rPr>
            </w:pPr>
            <w:r>
              <w:rPr>
                <w:rFonts w:ascii="Arial" w:cs="Arial" w:eastAsia="Arial" w:hAnsi="Arial"/>
                <w:sz w:val="17"/>
                <w:szCs w:val="17"/>
                <w:color w:val="auto"/>
              </w:rPr>
              <w:t>Net gains as a percent of mortgage loans sold ("Loan Sales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7"/>
        </w:trPr>
        <w:tc>
          <w:tcPr>
            <w:tcW w:w="4740" w:type="dxa"/>
            <w:vAlign w:val="bottom"/>
          </w:tcPr>
          <w:p>
            <w:pPr>
              <w:ind w:left="100"/>
              <w:spacing w:after="0"/>
              <w:rPr>
                <w:sz w:val="20"/>
                <w:szCs w:val="20"/>
                <w:color w:val="auto"/>
              </w:rPr>
            </w:pPr>
            <w:r>
              <w:rPr>
                <w:rFonts w:ascii="Arial" w:cs="Arial" w:eastAsia="Arial" w:hAnsi="Arial"/>
                <w:sz w:val="17"/>
                <w:szCs w:val="17"/>
                <w:color w:val="auto"/>
              </w:rPr>
              <w:t>Margin")</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1.82 %</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1.81 %</w:t>
            </w: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1.70 %</w:t>
            </w: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0.95 %</w:t>
            </w:r>
          </w:p>
        </w:tc>
      </w:tr>
      <w:tr>
        <w:trPr>
          <w:trHeight w:val="265"/>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adjustments included in the Loan Sales Margin</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(0.32)</w:t>
            </w: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0.25</w:t>
            </w: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0.60</w:t>
            </w: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(0.54)</w:t>
            </w:r>
          </w:p>
        </w:tc>
      </w:tr>
    </w:tbl>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Mortgage loans originated decreased in 2023 as compared to 2022 due primarily to a decrease in mortgage loan refinance volumes. Mortgage loan refinance volumes declined in 2023 as compared to 2022 as higher mortgage loan interest rates in 2023 reduced this activity. Mortgage loans sold decreased in 2023 as compared to 2022 due primarily to lower loan origination volume.</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volume of loans sold is dependent upon our ability to originate mortgage loans as well as the demand for fixed-rate obligations and other loans that we choose to not put into portfolio because of our established interest-rate risk parameters. (See “Portfolio Loans and asset quality.”) Net gains on mortgage loans are also dependent upon economic and competitive factors as well as our ability to effectively manage exposure to changes in interest rates and thus can often be a volatile part of our overall revenues.</w:t>
      </w:r>
    </w:p>
    <w:p>
      <w:pPr>
        <w:spacing w:after="0" w:line="13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Net gains on mortgage loans totaled $2.1 million and $2.9 million during the third quarters of 2023 and 2022, respectively. For the first nine months of 2023 and 2022, net gains on mortgage loans totaled $5.5 million and $4.9 million, respectively. The decrease from the prior year quarter was primarily due to a decrease in mortgage loans sold. The increase from the prior year to date period, despite decrease in mortgage loans sold, was primarily due to the impact of fair value adjustments on certain unhedged construction loans during the first three quarters of 2022 as a result of the significant increase in interest rates during that period. During the the first three quarters of 2023, interest rates were less volatile and these construction loans were fully hedged.</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recorded a net loss of $0.2 million and a net loss $0.3 million on securities AFS for the first nine months of 2023 and 2022, respectively. We recorded no credit related charges in either 2023 or 2022 on securities AFS. See “Securities” below and note #3 to the Condensed Consolidated Financial Statements.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Mortgage loan servicing, net, generated income of $2.7 million and $4.3 million in the third quarters of 2023 and 2022, respectively. For the first nine months of 2023 and 2022, mortgage loan servicing, net, generated income of $7.1 million and $18.1 million, respectively. The significant variances in mortgage loan servicing, net are primarily due to changes in the fair value of capitalized mortgage loan servicing rights associated with changes in interest rates and the associated expected future prepayment levels and expected float rates.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Mortgage loan servicing, net activity is summarized in the following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80" w:type="dxa"/>
            <w:vAlign w:val="bottom"/>
          </w:tcPr>
          <w:p>
            <w:pPr>
              <w:spacing w:after="0"/>
              <w:rPr>
                <w:sz w:val="20"/>
                <w:szCs w:val="20"/>
                <w:color w:val="auto"/>
              </w:rPr>
            </w:pPr>
            <w:r>
              <w:rPr>
                <w:rFonts w:ascii="Arial" w:cs="Arial" w:eastAsia="Arial" w:hAnsi="Arial"/>
                <w:sz w:val="17"/>
                <w:szCs w:val="17"/>
                <w:b w:val="1"/>
                <w:bCs w:val="1"/>
                <w:color w:val="auto"/>
              </w:rPr>
              <w:t>Mortgage Servicing Revenue</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38"/>
        </w:trPr>
        <w:tc>
          <w:tcPr>
            <w:tcW w:w="4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00" w:type="dxa"/>
            <w:vAlign w:val="bottom"/>
            <w:gridSpan w:val="5"/>
          </w:tcPr>
          <w:p>
            <w:pPr>
              <w:ind w:left="100"/>
              <w:spacing w:after="0"/>
              <w:rPr>
                <w:sz w:val="20"/>
                <w:szCs w:val="20"/>
                <w:color w:val="auto"/>
              </w:rPr>
            </w:pPr>
            <w:r>
              <w:rPr>
                <w:rFonts w:ascii="Arial" w:cs="Arial" w:eastAsia="Arial" w:hAnsi="Arial"/>
                <w:sz w:val="17"/>
                <w:szCs w:val="17"/>
                <w:color w:val="auto"/>
              </w:rPr>
              <w:t>Three Months Ended September 30,</w:t>
            </w:r>
          </w:p>
        </w:tc>
        <w:tc>
          <w:tcPr>
            <w:tcW w:w="220" w:type="dxa"/>
            <w:vAlign w:val="bottom"/>
          </w:tcPr>
          <w:p>
            <w:pPr>
              <w:spacing w:after="0"/>
              <w:rPr>
                <w:sz w:val="24"/>
                <w:szCs w:val="24"/>
                <w:color w:val="auto"/>
              </w:rPr>
            </w:pPr>
          </w:p>
        </w:tc>
        <w:tc>
          <w:tcPr>
            <w:tcW w:w="2840" w:type="dxa"/>
            <w:vAlign w:val="bottom"/>
            <w:gridSpan w:val="4"/>
          </w:tcPr>
          <w:p>
            <w:pPr>
              <w:jc w:val="right"/>
              <w:ind w:right="234"/>
              <w:spacing w:after="0"/>
              <w:rPr>
                <w:sz w:val="20"/>
                <w:szCs w:val="20"/>
                <w:color w:val="auto"/>
              </w:rPr>
            </w:pPr>
            <w:r>
              <w:rPr>
                <w:rFonts w:ascii="Arial" w:cs="Arial" w:eastAsia="Arial" w:hAnsi="Arial"/>
                <w:sz w:val="17"/>
                <w:szCs w:val="17"/>
                <w:color w:val="auto"/>
                <w:w w:val="94"/>
              </w:rPr>
              <w:t>Nine Months Ended September 30,</w:t>
            </w:r>
          </w:p>
        </w:tc>
      </w:tr>
      <w:tr>
        <w:trPr>
          <w:trHeight w:val="265"/>
        </w:trPr>
        <w:tc>
          <w:tcPr>
            <w:tcW w:w="48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2023</w:t>
            </w: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2022</w:t>
            </w:r>
          </w:p>
        </w:tc>
        <w:tc>
          <w:tcPr>
            <w:tcW w:w="2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2023</w:t>
            </w:r>
          </w:p>
        </w:tc>
        <w:tc>
          <w:tcPr>
            <w:tcW w:w="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color w:val="auto"/>
              </w:rPr>
              <w:t>2022</w:t>
            </w:r>
          </w:p>
        </w:tc>
      </w:tr>
      <w:tr>
        <w:trPr>
          <w:trHeight w:val="238"/>
        </w:trPr>
        <w:tc>
          <w:tcPr>
            <w:tcW w:w="4880" w:type="dxa"/>
            <w:vAlign w:val="bottom"/>
          </w:tcPr>
          <w:p>
            <w:pPr>
              <w:ind w:left="20"/>
              <w:spacing w:after="0"/>
              <w:rPr>
                <w:sz w:val="20"/>
                <w:szCs w:val="20"/>
                <w:color w:val="auto"/>
              </w:rPr>
            </w:pPr>
            <w:r>
              <w:rPr>
                <w:rFonts w:ascii="Arial" w:cs="Arial" w:eastAsia="Arial" w:hAnsi="Arial"/>
                <w:sz w:val="17"/>
                <w:szCs w:val="17"/>
                <w:color w:val="auto"/>
              </w:rPr>
              <w:t>Mortgage loan servicing, net:</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20" w:type="dxa"/>
            <w:vAlign w:val="bottom"/>
            <w:gridSpan w:val="5"/>
          </w:tcPr>
          <w:p>
            <w:pPr>
              <w:ind w:left="780"/>
              <w:spacing w:after="0"/>
              <w:rPr>
                <w:sz w:val="20"/>
                <w:szCs w:val="20"/>
                <w:color w:val="auto"/>
              </w:rPr>
            </w:pPr>
            <w:r>
              <w:rPr>
                <w:rFonts w:ascii="Arial" w:cs="Arial" w:eastAsia="Arial" w:hAnsi="Arial"/>
                <w:sz w:val="17"/>
                <w:szCs w:val="17"/>
                <w:color w:val="auto"/>
              </w:rPr>
              <w:t>(In thousands)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2"/>
        </w:trPr>
        <w:tc>
          <w:tcPr>
            <w:tcW w:w="48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Revenue, net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center"/>
              <w:ind w:left="674"/>
              <w:spacing w:after="0"/>
              <w:rPr>
                <w:sz w:val="20"/>
                <w:szCs w:val="20"/>
                <w:color w:val="auto"/>
              </w:rPr>
            </w:pPr>
            <w:r>
              <w:rPr>
                <w:rFonts w:ascii="Arial" w:cs="Arial" w:eastAsia="Arial" w:hAnsi="Arial"/>
                <w:sz w:val="17"/>
                <w:szCs w:val="17"/>
                <w:color w:val="auto"/>
                <w:w w:val="89"/>
              </w:rPr>
              <w:t>2,197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center"/>
              <w:ind w:left="534"/>
              <w:spacing w:after="0"/>
              <w:rPr>
                <w:sz w:val="20"/>
                <w:szCs w:val="20"/>
                <w:color w:val="auto"/>
              </w:rPr>
            </w:pPr>
            <w:r>
              <w:rPr>
                <w:rFonts w:ascii="Arial" w:cs="Arial" w:eastAsia="Arial" w:hAnsi="Arial"/>
                <w:sz w:val="17"/>
                <w:szCs w:val="17"/>
                <w:color w:val="auto"/>
                <w:w w:val="93"/>
              </w:rPr>
              <w:t>2,190</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center"/>
              <w:ind w:left="714"/>
              <w:spacing w:after="0"/>
              <w:rPr>
                <w:sz w:val="20"/>
                <w:szCs w:val="20"/>
                <w:color w:val="auto"/>
              </w:rPr>
            </w:pPr>
            <w:r>
              <w:rPr>
                <w:rFonts w:ascii="Arial" w:cs="Arial" w:eastAsia="Arial" w:hAnsi="Arial"/>
                <w:sz w:val="17"/>
                <w:szCs w:val="17"/>
                <w:color w:val="auto"/>
                <w:w w:val="89"/>
              </w:rPr>
              <w:t>6,612</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6,397</w:t>
            </w:r>
          </w:p>
        </w:tc>
      </w:tr>
      <w:tr>
        <w:trPr>
          <w:trHeight w:val="238"/>
        </w:trPr>
        <w:tc>
          <w:tcPr>
            <w:tcW w:w="4880" w:type="dxa"/>
            <w:vAlign w:val="bottom"/>
          </w:tcPr>
          <w:p>
            <w:pPr>
              <w:ind w:left="180"/>
              <w:spacing w:after="0"/>
              <w:rPr>
                <w:sz w:val="20"/>
                <w:szCs w:val="20"/>
                <w:color w:val="auto"/>
              </w:rPr>
            </w:pPr>
            <w:r>
              <w:rPr>
                <w:rFonts w:ascii="Arial" w:cs="Arial" w:eastAsia="Arial" w:hAnsi="Arial"/>
                <w:sz w:val="17"/>
                <w:szCs w:val="17"/>
                <w:color w:val="auto"/>
              </w:rPr>
              <w:t>Fair value change due to price</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center"/>
              <w:ind w:left="674"/>
              <w:spacing w:after="0"/>
              <w:rPr>
                <w:sz w:val="20"/>
                <w:szCs w:val="20"/>
                <w:color w:val="auto"/>
              </w:rPr>
            </w:pPr>
            <w:r>
              <w:rPr>
                <w:rFonts w:ascii="Arial" w:cs="Arial" w:eastAsia="Arial" w:hAnsi="Arial"/>
                <w:sz w:val="17"/>
                <w:szCs w:val="17"/>
                <w:color w:val="auto"/>
                <w:w w:val="89"/>
              </w:rPr>
              <w:t>1,556</w:t>
            </w:r>
          </w:p>
        </w:tc>
        <w:tc>
          <w:tcPr>
            <w:tcW w:w="80" w:type="dxa"/>
            <w:vAlign w:val="bottom"/>
          </w:tcPr>
          <w:p>
            <w:pPr>
              <w:spacing w:after="0"/>
              <w:rPr>
                <w:sz w:val="20"/>
                <w:szCs w:val="20"/>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center"/>
              <w:ind w:left="534"/>
              <w:spacing w:after="0"/>
              <w:rPr>
                <w:sz w:val="20"/>
                <w:szCs w:val="20"/>
                <w:color w:val="auto"/>
              </w:rPr>
            </w:pPr>
            <w:r>
              <w:rPr>
                <w:rFonts w:ascii="Arial" w:cs="Arial" w:eastAsia="Arial" w:hAnsi="Arial"/>
                <w:sz w:val="17"/>
                <w:szCs w:val="17"/>
                <w:color w:val="auto"/>
                <w:w w:val="93"/>
              </w:rPr>
              <w:t>3,203</w:t>
            </w:r>
          </w:p>
        </w:tc>
        <w:tc>
          <w:tcPr>
            <w:tcW w:w="240" w:type="dxa"/>
            <w:vAlign w:val="bottom"/>
          </w:tcPr>
          <w:p>
            <w:pPr>
              <w:spacing w:after="0"/>
              <w:rPr>
                <w:sz w:val="20"/>
                <w:szCs w:val="20"/>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340" w:type="dxa"/>
            <w:vAlign w:val="bottom"/>
          </w:tcPr>
          <w:p>
            <w:pPr>
              <w:jc w:val="center"/>
              <w:ind w:left="714"/>
              <w:spacing w:after="0"/>
              <w:rPr>
                <w:sz w:val="20"/>
                <w:szCs w:val="20"/>
                <w:color w:val="auto"/>
              </w:rPr>
            </w:pPr>
            <w:r>
              <w:rPr>
                <w:rFonts w:ascii="Arial" w:cs="Arial" w:eastAsia="Arial" w:hAnsi="Arial"/>
                <w:sz w:val="17"/>
                <w:szCs w:val="17"/>
                <w:color w:val="auto"/>
                <w:w w:val="89"/>
              </w:rPr>
              <w:t>3,364</w:t>
            </w:r>
          </w:p>
        </w:tc>
        <w:tc>
          <w:tcPr>
            <w:tcW w:w="80" w:type="dxa"/>
            <w:vAlign w:val="bottom"/>
          </w:tcPr>
          <w:p>
            <w:pPr>
              <w:spacing w:after="0"/>
              <w:rPr>
                <w:sz w:val="20"/>
                <w:szCs w:val="20"/>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14,775</w:t>
            </w:r>
          </w:p>
        </w:tc>
      </w:tr>
      <w:tr>
        <w:trPr>
          <w:trHeight w:val="245"/>
        </w:trPr>
        <w:tc>
          <w:tcPr>
            <w:tcW w:w="48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Fair value change due to pay-downs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center"/>
              <w:ind w:left="634"/>
              <w:spacing w:after="0"/>
              <w:rPr>
                <w:sz w:val="20"/>
                <w:szCs w:val="20"/>
                <w:color w:val="auto"/>
              </w:rPr>
            </w:pPr>
            <w:r>
              <w:rPr>
                <w:rFonts w:ascii="Arial" w:cs="Arial" w:eastAsia="Arial" w:hAnsi="Arial"/>
                <w:sz w:val="17"/>
                <w:szCs w:val="17"/>
                <w:color w:val="auto"/>
                <w:w w:val="92"/>
              </w:rPr>
              <w:t>(1,085)</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center"/>
              <w:ind w:left="514"/>
              <w:spacing w:after="0"/>
              <w:rPr>
                <w:sz w:val="20"/>
                <w:szCs w:val="20"/>
                <w:color w:val="auto"/>
              </w:rPr>
            </w:pPr>
            <w:r>
              <w:rPr>
                <w:rFonts w:ascii="Arial" w:cs="Arial" w:eastAsia="Arial" w:hAnsi="Arial"/>
                <w:sz w:val="17"/>
                <w:szCs w:val="17"/>
                <w:color w:val="auto"/>
                <w:w w:val="92"/>
              </w:rPr>
              <w:t>(1,110)</w:t>
            </w:r>
          </w:p>
        </w:tc>
        <w:tc>
          <w:tcPr>
            <w:tcW w:w="2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center"/>
              <w:ind w:left="694"/>
              <w:spacing w:after="0"/>
              <w:rPr>
                <w:sz w:val="20"/>
                <w:szCs w:val="20"/>
                <w:color w:val="auto"/>
              </w:rPr>
            </w:pPr>
            <w:r>
              <w:rPr>
                <w:rFonts w:ascii="Arial" w:cs="Arial" w:eastAsia="Arial" w:hAnsi="Arial"/>
                <w:sz w:val="17"/>
                <w:szCs w:val="17"/>
                <w:color w:val="auto"/>
                <w:w w:val="96"/>
              </w:rPr>
              <w:t>(2,908)</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(3,086)</w:t>
            </w:r>
          </w:p>
        </w:tc>
      </w:tr>
      <w:tr>
        <w:trPr>
          <w:trHeight w:val="245"/>
        </w:trPr>
        <w:tc>
          <w:tcPr>
            <w:tcW w:w="4880" w:type="dxa"/>
            <w:vAlign w:val="bottom"/>
          </w:tcPr>
          <w:p>
            <w:pPr>
              <w:ind w:left="20"/>
              <w:spacing w:after="0"/>
              <w:rPr>
                <w:sz w:val="20"/>
                <w:szCs w:val="20"/>
                <w:color w:val="auto"/>
              </w:rPr>
            </w:pPr>
            <w:r>
              <w:rPr>
                <w:rFonts w:ascii="Arial" w:cs="Arial" w:eastAsia="Arial" w:hAnsi="Arial"/>
                <w:sz w:val="17"/>
                <w:szCs w:val="17"/>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center"/>
              <w:ind w:left="674"/>
              <w:spacing w:after="0"/>
              <w:rPr>
                <w:sz w:val="20"/>
                <w:szCs w:val="20"/>
                <w:color w:val="auto"/>
              </w:rPr>
            </w:pPr>
            <w:r>
              <w:rPr>
                <w:rFonts w:ascii="Arial" w:cs="Arial" w:eastAsia="Arial" w:hAnsi="Arial"/>
                <w:sz w:val="17"/>
                <w:szCs w:val="17"/>
                <w:color w:val="auto"/>
                <w:w w:val="89"/>
              </w:rPr>
              <w:t>2,668</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center"/>
              <w:ind w:left="534"/>
              <w:spacing w:after="0"/>
              <w:rPr>
                <w:sz w:val="20"/>
                <w:szCs w:val="20"/>
                <w:color w:val="auto"/>
              </w:rPr>
            </w:pPr>
            <w:r>
              <w:rPr>
                <w:rFonts w:ascii="Arial" w:cs="Arial" w:eastAsia="Arial" w:hAnsi="Arial"/>
                <w:sz w:val="17"/>
                <w:szCs w:val="17"/>
                <w:color w:val="auto"/>
                <w:w w:val="93"/>
              </w:rPr>
              <w:t>4,283</w:t>
            </w:r>
          </w:p>
        </w:tc>
        <w:tc>
          <w:tcPr>
            <w:tcW w:w="240" w:type="dxa"/>
            <w:vAlign w:val="bottom"/>
          </w:tcPr>
          <w:p>
            <w:pPr>
              <w:spacing w:after="0"/>
              <w:rPr>
                <w:sz w:val="21"/>
                <w:szCs w:val="21"/>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center"/>
              <w:ind w:left="714"/>
              <w:spacing w:after="0"/>
              <w:rPr>
                <w:sz w:val="20"/>
                <w:szCs w:val="20"/>
                <w:color w:val="auto"/>
              </w:rPr>
            </w:pPr>
            <w:r>
              <w:rPr>
                <w:rFonts w:ascii="Arial" w:cs="Arial" w:eastAsia="Arial" w:hAnsi="Arial"/>
                <w:sz w:val="17"/>
                <w:szCs w:val="17"/>
                <w:color w:val="auto"/>
                <w:w w:val="89"/>
              </w:rPr>
              <w:t>7,068</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18,086</w:t>
            </w:r>
          </w:p>
        </w:tc>
      </w:tr>
      <w:tr>
        <w:trPr>
          <w:trHeight w:val="20"/>
        </w:trPr>
        <w:tc>
          <w:tcPr>
            <w:tcW w:w="4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Activity related to capitalized mortgage loan servicing rights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80" w:type="dxa"/>
            <w:vAlign w:val="bottom"/>
          </w:tcPr>
          <w:p>
            <w:pPr>
              <w:spacing w:after="0"/>
              <w:rPr>
                <w:sz w:val="20"/>
                <w:szCs w:val="20"/>
                <w:color w:val="auto"/>
              </w:rPr>
            </w:pPr>
            <w:r>
              <w:rPr>
                <w:rFonts w:ascii="Arial" w:cs="Arial" w:eastAsia="Arial" w:hAnsi="Arial"/>
                <w:sz w:val="17"/>
                <w:szCs w:val="17"/>
                <w:b w:val="1"/>
                <w:bCs w:val="1"/>
                <w:color w:val="auto"/>
              </w:rPr>
              <w:t>Capitalized Mortgage Loan Servicing Rights</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8"/>
        </w:trPr>
        <w:tc>
          <w:tcPr>
            <w:tcW w:w="4880" w:type="dxa"/>
            <w:vAlign w:val="bottom"/>
          </w:tcPr>
          <w:p>
            <w:pPr>
              <w:spacing w:after="0"/>
              <w:rPr>
                <w:sz w:val="24"/>
                <w:szCs w:val="24"/>
                <w:color w:val="auto"/>
              </w:rPr>
            </w:pPr>
          </w:p>
        </w:tc>
        <w:tc>
          <w:tcPr>
            <w:tcW w:w="3160" w:type="dxa"/>
            <w:vAlign w:val="bottom"/>
            <w:gridSpan w:val="6"/>
          </w:tcPr>
          <w:p>
            <w:pPr>
              <w:ind w:left="320"/>
              <w:spacing w:after="0"/>
              <w:rPr>
                <w:sz w:val="20"/>
                <w:szCs w:val="20"/>
                <w:color w:val="auto"/>
              </w:rPr>
            </w:pPr>
            <w:r>
              <w:rPr>
                <w:rFonts w:ascii="Arial" w:cs="Arial" w:eastAsia="Arial" w:hAnsi="Arial"/>
                <w:sz w:val="17"/>
                <w:szCs w:val="17"/>
                <w:color w:val="auto"/>
              </w:rPr>
              <w:t>Three months ended September 30,</w:t>
            </w:r>
          </w:p>
        </w:tc>
        <w:tc>
          <w:tcPr>
            <w:tcW w:w="260" w:type="dxa"/>
            <w:vAlign w:val="bottom"/>
          </w:tcPr>
          <w:p>
            <w:pPr>
              <w:spacing w:after="0"/>
              <w:rPr>
                <w:sz w:val="24"/>
                <w:szCs w:val="24"/>
                <w:color w:val="auto"/>
              </w:rPr>
            </w:pPr>
          </w:p>
        </w:tc>
        <w:tc>
          <w:tcPr>
            <w:tcW w:w="2940" w:type="dxa"/>
            <w:vAlign w:val="bottom"/>
            <w:gridSpan w:val="4"/>
          </w:tcPr>
          <w:p>
            <w:pPr>
              <w:jc w:val="right"/>
              <w:ind w:right="334"/>
              <w:spacing w:after="0"/>
              <w:rPr>
                <w:sz w:val="20"/>
                <w:szCs w:val="20"/>
                <w:color w:val="auto"/>
              </w:rPr>
            </w:pPr>
            <w:r>
              <w:rPr>
                <w:rFonts w:ascii="Arial" w:cs="Arial" w:eastAsia="Arial" w:hAnsi="Arial"/>
                <w:sz w:val="17"/>
                <w:szCs w:val="17"/>
                <w:color w:val="auto"/>
                <w:w w:val="94"/>
              </w:rPr>
              <w:t>Nine months ended September 30,</w:t>
            </w:r>
          </w:p>
        </w:tc>
      </w:tr>
      <w:tr>
        <w:trPr>
          <w:trHeight w:val="265"/>
        </w:trPr>
        <w:tc>
          <w:tcPr>
            <w:tcW w:w="4880" w:type="dxa"/>
            <w:vAlign w:val="bottom"/>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5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2022</w:t>
            </w: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2023</w:t>
            </w:r>
          </w:p>
        </w:tc>
        <w:tc>
          <w:tcPr>
            <w:tcW w:w="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2022</w:t>
            </w:r>
          </w:p>
        </w:tc>
      </w:tr>
      <w:tr>
        <w:trPr>
          <w:trHeight w:val="238"/>
        </w:trPr>
        <w:tc>
          <w:tcPr>
            <w:tcW w:w="4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80" w:type="dxa"/>
            <w:vAlign w:val="bottom"/>
            <w:gridSpan w:val="5"/>
          </w:tcPr>
          <w:p>
            <w:pPr>
              <w:ind w:left="780"/>
              <w:spacing w:after="0"/>
              <w:rPr>
                <w:sz w:val="20"/>
                <w:szCs w:val="20"/>
                <w:color w:val="auto"/>
              </w:rPr>
            </w:pPr>
            <w:r>
              <w:rPr>
                <w:rFonts w:ascii="Arial" w:cs="Arial" w:eastAsia="Arial" w:hAnsi="Arial"/>
                <w:sz w:val="17"/>
                <w:szCs w:val="17"/>
                <w:color w:val="auto"/>
              </w:rPr>
              <w:t>(In thousands)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2"/>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beginning of period</w:t>
            </w:r>
          </w:p>
        </w:tc>
        <w:tc>
          <w:tcPr>
            <w:tcW w:w="940" w:type="dxa"/>
            <w:vAlign w:val="bottom"/>
            <w:shd w:val="clear" w:color="auto" w:fill="CCEEFF"/>
          </w:tcPr>
          <w:p>
            <w:pPr>
              <w:jc w:val="right"/>
              <w:ind w:right="734"/>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44,427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39,477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42,489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26,232</w:t>
            </w:r>
          </w:p>
        </w:tc>
      </w:tr>
      <w:tr>
        <w:trPr>
          <w:trHeight w:val="238"/>
        </w:trPr>
        <w:tc>
          <w:tcPr>
            <w:tcW w:w="4880" w:type="dxa"/>
            <w:vAlign w:val="bottom"/>
          </w:tcPr>
          <w:p>
            <w:pPr>
              <w:ind w:left="100"/>
              <w:spacing w:after="0"/>
              <w:rPr>
                <w:sz w:val="20"/>
                <w:szCs w:val="20"/>
                <w:color w:val="auto"/>
              </w:rPr>
            </w:pPr>
            <w:r>
              <w:rPr>
                <w:rFonts w:ascii="Arial" w:cs="Arial" w:eastAsia="Arial" w:hAnsi="Arial"/>
                <w:sz w:val="17"/>
                <w:szCs w:val="17"/>
                <w:color w:val="auto"/>
              </w:rPr>
              <w:t>Originated servicing rights capitalized</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1,159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1,588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3,112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5,237</w:t>
            </w:r>
          </w:p>
        </w:tc>
      </w:tr>
      <w:tr>
        <w:trPr>
          <w:trHeight w:val="252"/>
        </w:trPr>
        <w:tc>
          <w:tcPr>
            <w:tcW w:w="48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Change in fair value</w:t>
            </w:r>
          </w:p>
        </w:tc>
        <w:tc>
          <w:tcPr>
            <w:tcW w:w="9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471</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2,093</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456</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11,689</w:t>
            </w:r>
          </w:p>
        </w:tc>
      </w:tr>
      <w:tr>
        <w:trPr>
          <w:trHeight w:val="231"/>
        </w:trPr>
        <w:tc>
          <w:tcPr>
            <w:tcW w:w="4880" w:type="dxa"/>
            <w:vAlign w:val="bottom"/>
          </w:tcPr>
          <w:p>
            <w:pPr>
              <w:ind w:left="20"/>
              <w:spacing w:after="0"/>
              <w:rPr>
                <w:sz w:val="20"/>
                <w:szCs w:val="20"/>
                <w:color w:val="auto"/>
              </w:rPr>
            </w:pPr>
            <w:r>
              <w:rPr>
                <w:rFonts w:ascii="Arial" w:cs="Arial" w:eastAsia="Arial" w:hAnsi="Arial"/>
                <w:sz w:val="17"/>
                <w:szCs w:val="17"/>
                <w:color w:val="auto"/>
              </w:rPr>
              <w:t>Balance at end of period</w:t>
            </w:r>
          </w:p>
        </w:tc>
        <w:tc>
          <w:tcPr>
            <w:tcW w:w="940" w:type="dxa"/>
            <w:vAlign w:val="bottom"/>
            <w:tcBorders>
              <w:bottom w:val="single" w:sz="8" w:color="auto"/>
            </w:tcBorders>
          </w:tcPr>
          <w:p>
            <w:pPr>
              <w:jc w:val="right"/>
              <w:ind w:right="734"/>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46,057</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43,158</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46,057</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43,158</w:t>
            </w:r>
          </w:p>
        </w:tc>
      </w:tr>
      <w:tr>
        <w:trPr>
          <w:trHeight w:val="26"/>
        </w:trPr>
        <w:tc>
          <w:tcPr>
            <w:tcW w:w="48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45"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At September 30, 2023 we were servicing approximately $3.55 billion in mortgage loans for others on which servicing rights have been capitalized. This servicing portfolio had a weighted average coupon rate of 3.82% and a weighted average service fee of approximately 25.6 basis points. Capitalized mortgage loan servicing rights at September 30, 2023 totaled $46.1 million, representing approximately 129.9 basis points on the related amount of mortgage loans serviced for others.</w:t>
      </w:r>
    </w:p>
    <w:p>
      <w:pPr>
        <w:spacing w:after="0" w:line="10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Investment and insurance commissions represent revenues generated on the sale or management of investments and insurance for our customers. These increased on both a quarterly and year-to-date basis in 2023 as compared to 2022, primarily due to growth in assets under management and in annuity sales (reflecting customers seeking alternatives to traditional fixed income products such as time deposits given the prolonged low interest rate environment).</w:t>
      </w:r>
    </w:p>
    <w:p>
      <w:pPr>
        <w:spacing w:after="0" w:line="1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Other non-interest income increased on a comparative quarterly and year to date basis in 2023 as compared to 2022 due primarily to a gain on the sale of a vacant building (quarter to date only) as well as increases in swap fee income (year to date only), title insurance income (quarter to date only), ATM related income and bank owned life insurance income.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Non-interest expense. </w:t>
      </w:r>
      <w:r>
        <w:rPr>
          <w:rFonts w:ascii="Arial" w:cs="Arial" w:eastAsia="Arial" w:hAnsi="Arial"/>
          <w:sz w:val="16"/>
          <w:szCs w:val="16"/>
          <w:color w:val="auto"/>
        </w:rPr>
        <w:t>Non-interest expense is an important component of our results of operations. We strive to efficiently manage our cost structure.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1" w:name="page72"/>
    <w:bookmarkEnd w:id="71"/>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Non-interest expense decreased by $0.3 million to $32.0 million and decreased by $1.0 million to $95.2 million during the three- and nine-month periods ended September 30, 2023, respectively, compared to the same periods in 2022.</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00" w:type="dxa"/>
            <w:vAlign w:val="bottom"/>
          </w:tcPr>
          <w:p>
            <w:pPr>
              <w:spacing w:after="0"/>
              <w:rPr>
                <w:sz w:val="20"/>
                <w:szCs w:val="20"/>
                <w:color w:val="auto"/>
              </w:rPr>
            </w:pPr>
            <w:r>
              <w:rPr>
                <w:rFonts w:ascii="Arial" w:cs="Arial" w:eastAsia="Arial" w:hAnsi="Arial"/>
                <w:sz w:val="17"/>
                <w:szCs w:val="17"/>
                <w:color w:val="auto"/>
              </w:rPr>
              <w:t>The components of non-interest expense are as follows: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74"/>
        </w:trPr>
        <w:tc>
          <w:tcPr>
            <w:tcW w:w="5000" w:type="dxa"/>
            <w:vAlign w:val="bottom"/>
          </w:tcPr>
          <w:p>
            <w:pPr>
              <w:spacing w:after="0"/>
              <w:rPr>
                <w:sz w:val="20"/>
                <w:szCs w:val="20"/>
                <w:color w:val="auto"/>
              </w:rPr>
            </w:pPr>
            <w:r>
              <w:rPr>
                <w:rFonts w:ascii="Arial" w:cs="Arial" w:eastAsia="Arial" w:hAnsi="Arial"/>
                <w:sz w:val="17"/>
                <w:szCs w:val="17"/>
                <w:b w:val="1"/>
                <w:bCs w:val="1"/>
                <w:color w:val="auto"/>
              </w:rPr>
              <w:t>Non-Interest Expense</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25"/>
        </w:trPr>
        <w:tc>
          <w:tcPr>
            <w:tcW w:w="5000" w:type="dxa"/>
            <w:vAlign w:val="bottom"/>
          </w:tcPr>
          <w:p>
            <w:pPr>
              <w:spacing w:after="0"/>
              <w:rPr>
                <w:sz w:val="24"/>
                <w:szCs w:val="24"/>
                <w:color w:val="auto"/>
              </w:rPr>
            </w:pPr>
          </w:p>
        </w:tc>
        <w:tc>
          <w:tcPr>
            <w:tcW w:w="3160" w:type="dxa"/>
            <w:vAlign w:val="bottom"/>
            <w:gridSpan w:val="6"/>
          </w:tcPr>
          <w:p>
            <w:pPr>
              <w:ind w:left="280"/>
              <w:spacing w:after="0"/>
              <w:rPr>
                <w:sz w:val="20"/>
                <w:szCs w:val="20"/>
                <w:color w:val="auto"/>
              </w:rPr>
            </w:pPr>
            <w:r>
              <w:rPr>
                <w:rFonts w:ascii="Arial" w:cs="Arial" w:eastAsia="Arial" w:hAnsi="Arial"/>
                <w:sz w:val="17"/>
                <w:szCs w:val="17"/>
                <w:color w:val="auto"/>
              </w:rPr>
              <w:t>Three Months Ended September 30,</w:t>
            </w:r>
          </w:p>
        </w:tc>
        <w:tc>
          <w:tcPr>
            <w:tcW w:w="220" w:type="dxa"/>
            <w:vAlign w:val="bottom"/>
          </w:tcPr>
          <w:p>
            <w:pPr>
              <w:spacing w:after="0"/>
              <w:rPr>
                <w:sz w:val="24"/>
                <w:szCs w:val="24"/>
                <w:color w:val="auto"/>
              </w:rPr>
            </w:pPr>
          </w:p>
        </w:tc>
        <w:tc>
          <w:tcPr>
            <w:tcW w:w="2860" w:type="dxa"/>
            <w:vAlign w:val="bottom"/>
            <w:gridSpan w:val="4"/>
          </w:tcPr>
          <w:p>
            <w:pPr>
              <w:jc w:val="right"/>
              <w:ind w:right="234"/>
              <w:spacing w:after="0"/>
              <w:rPr>
                <w:sz w:val="20"/>
                <w:szCs w:val="20"/>
                <w:color w:val="auto"/>
              </w:rPr>
            </w:pPr>
            <w:r>
              <w:rPr>
                <w:rFonts w:ascii="Arial" w:cs="Arial" w:eastAsia="Arial" w:hAnsi="Arial"/>
                <w:sz w:val="17"/>
                <w:szCs w:val="17"/>
                <w:color w:val="auto"/>
                <w:w w:val="94"/>
              </w:rPr>
              <w:t>Nine Months Ended September 30,</w:t>
            </w:r>
          </w:p>
        </w:tc>
      </w:tr>
      <w:tr>
        <w:trPr>
          <w:trHeight w:val="265"/>
        </w:trPr>
        <w:tc>
          <w:tcPr>
            <w:tcW w:w="5000" w:type="dxa"/>
            <w:vAlign w:val="bottom"/>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5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2022</w:t>
            </w:r>
          </w:p>
        </w:tc>
        <w:tc>
          <w:tcPr>
            <w:tcW w:w="8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2023</w:t>
            </w: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2022</w:t>
            </w:r>
          </w:p>
        </w:tc>
      </w:tr>
      <w:tr>
        <w:trPr>
          <w:trHeight w:val="238"/>
        </w:trPr>
        <w:tc>
          <w:tcPr>
            <w:tcW w:w="5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20" w:type="dxa"/>
            <w:vAlign w:val="bottom"/>
            <w:gridSpan w:val="5"/>
          </w:tcPr>
          <w:p>
            <w:pPr>
              <w:ind w:left="700"/>
              <w:spacing w:after="0"/>
              <w:rPr>
                <w:sz w:val="20"/>
                <w:szCs w:val="20"/>
                <w:color w:val="auto"/>
              </w:rPr>
            </w:pPr>
            <w:r>
              <w:rPr>
                <w:rFonts w:ascii="Arial" w:cs="Arial" w:eastAsia="Arial" w:hAnsi="Arial"/>
                <w:sz w:val="17"/>
                <w:szCs w:val="17"/>
                <w:color w:val="auto"/>
              </w:rPr>
              <w:t>(In thousands)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2"/>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Compensation</w:t>
            </w:r>
          </w:p>
        </w:tc>
        <w:tc>
          <w:tcPr>
            <w:tcW w:w="920" w:type="dxa"/>
            <w:vAlign w:val="bottom"/>
            <w:shd w:val="clear" w:color="auto" w:fill="CCEEFF"/>
          </w:tcPr>
          <w:p>
            <w:pPr>
              <w:jc w:val="right"/>
              <w:ind w:right="73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13,054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12,839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39,846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37,807</w:t>
            </w:r>
          </w:p>
        </w:tc>
      </w:tr>
      <w:tr>
        <w:trPr>
          <w:trHeight w:val="238"/>
        </w:trPr>
        <w:tc>
          <w:tcPr>
            <w:tcW w:w="5000" w:type="dxa"/>
            <w:vAlign w:val="bottom"/>
          </w:tcPr>
          <w:p>
            <w:pPr>
              <w:ind w:left="20"/>
              <w:spacing w:after="0"/>
              <w:rPr>
                <w:sz w:val="20"/>
                <w:szCs w:val="20"/>
                <w:color w:val="auto"/>
              </w:rPr>
            </w:pPr>
            <w:r>
              <w:rPr>
                <w:rFonts w:ascii="Arial" w:cs="Arial" w:eastAsia="Arial" w:hAnsi="Arial"/>
                <w:sz w:val="17"/>
                <w:szCs w:val="17"/>
                <w:color w:val="auto"/>
              </w:rPr>
              <w:t>Performance-based compensation</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2,955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4,290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8,420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11,728</w:t>
            </w:r>
          </w:p>
        </w:tc>
      </w:tr>
      <w:tr>
        <w:trPr>
          <w:trHeight w:val="252"/>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Payroll taxes and employee benefits</w:t>
            </w:r>
          </w:p>
        </w:tc>
        <w:tc>
          <w:tcPr>
            <w:tcW w:w="9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3,966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3,472</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11,650</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11,078</w:t>
            </w:r>
          </w:p>
        </w:tc>
      </w:tr>
      <w:tr>
        <w:trPr>
          <w:trHeight w:val="231"/>
        </w:trPr>
        <w:tc>
          <w:tcPr>
            <w:tcW w:w="5000" w:type="dxa"/>
            <w:vAlign w:val="bottom"/>
          </w:tcPr>
          <w:p>
            <w:pPr>
              <w:ind w:left="180"/>
              <w:spacing w:after="0"/>
              <w:rPr>
                <w:sz w:val="20"/>
                <w:szCs w:val="20"/>
                <w:color w:val="auto"/>
              </w:rPr>
            </w:pPr>
            <w:r>
              <w:rPr>
                <w:rFonts w:ascii="Arial" w:cs="Arial" w:eastAsia="Arial" w:hAnsi="Arial"/>
                <w:sz w:val="17"/>
                <w:szCs w:val="17"/>
                <w:color w:val="auto"/>
              </w:rPr>
              <w:t>Compensation and employee benefits</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2"/>
              </w:rPr>
              <w:t>19,975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20,601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59,916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60,613</w:t>
            </w:r>
          </w:p>
        </w:tc>
      </w:tr>
      <w:tr>
        <w:trPr>
          <w:trHeight w:val="252"/>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Data processing</w:t>
            </w: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8,953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7,513</w:t>
            </w:r>
          </w:p>
        </w:tc>
      </w:tr>
      <w:tr>
        <w:trPr>
          <w:trHeight w:val="238"/>
        </w:trPr>
        <w:tc>
          <w:tcPr>
            <w:tcW w:w="5000" w:type="dxa"/>
            <w:vAlign w:val="bottom"/>
          </w:tcPr>
          <w:p>
            <w:pPr>
              <w:ind w:left="20"/>
              <w:spacing w:after="0"/>
              <w:rPr>
                <w:sz w:val="20"/>
                <w:szCs w:val="20"/>
                <w:color w:val="auto"/>
              </w:rPr>
            </w:pPr>
            <w:r>
              <w:rPr>
                <w:rFonts w:ascii="Arial" w:cs="Arial" w:eastAsia="Arial" w:hAnsi="Arial"/>
                <w:sz w:val="17"/>
                <w:szCs w:val="17"/>
                <w:color w:val="auto"/>
              </w:rPr>
              <w:t>Occupancy, net</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1,971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2,062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5,975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6,682</w:t>
            </w:r>
          </w:p>
        </w:tc>
      </w:tr>
      <w:tr>
        <w:trPr>
          <w:trHeight w:val="252"/>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Interchange expense</w:t>
            </w: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3,200</w:t>
            </w:r>
          </w:p>
        </w:tc>
      </w:tr>
      <w:tr>
        <w:trPr>
          <w:trHeight w:val="238"/>
        </w:trPr>
        <w:tc>
          <w:tcPr>
            <w:tcW w:w="5000" w:type="dxa"/>
            <w:vAlign w:val="bottom"/>
          </w:tcPr>
          <w:p>
            <w:pPr>
              <w:ind w:left="20"/>
              <w:spacing w:after="0"/>
              <w:rPr>
                <w:sz w:val="20"/>
                <w:szCs w:val="20"/>
                <w:color w:val="auto"/>
              </w:rPr>
            </w:pPr>
            <w:r>
              <w:rPr>
                <w:rFonts w:ascii="Arial" w:cs="Arial" w:eastAsia="Arial" w:hAnsi="Arial"/>
                <w:sz w:val="17"/>
                <w:szCs w:val="17"/>
                <w:color w:val="auto"/>
              </w:rPr>
              <w:t>Furniture, fixtures and equipment</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927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987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2,782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3,074</w:t>
            </w:r>
          </w:p>
        </w:tc>
      </w:tr>
      <w:tr>
        <w:trPr>
          <w:trHeight w:val="252"/>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FDIC deposit insurance</w:t>
            </w: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1,570</w:t>
            </w:r>
          </w:p>
        </w:tc>
      </w:tr>
      <w:tr>
        <w:trPr>
          <w:trHeight w:val="238"/>
        </w:trPr>
        <w:tc>
          <w:tcPr>
            <w:tcW w:w="5000" w:type="dxa"/>
            <w:vAlign w:val="bottom"/>
          </w:tcPr>
          <w:p>
            <w:pPr>
              <w:ind w:left="20"/>
              <w:spacing w:after="0"/>
              <w:rPr>
                <w:sz w:val="20"/>
                <w:szCs w:val="20"/>
                <w:color w:val="auto"/>
              </w:rPr>
            </w:pPr>
            <w:r>
              <w:rPr>
                <w:rFonts w:ascii="Arial" w:cs="Arial" w:eastAsia="Arial" w:hAnsi="Arial"/>
                <w:sz w:val="17"/>
                <w:szCs w:val="17"/>
                <w:color w:val="auto"/>
              </w:rPr>
              <w:t>Communications</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568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723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1,871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2,242</w:t>
            </w:r>
          </w:p>
        </w:tc>
      </w:tr>
      <w:tr>
        <w:trPr>
          <w:trHeight w:val="252"/>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Loan and collection</w:t>
            </w: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1,978</w:t>
            </w:r>
          </w:p>
        </w:tc>
      </w:tr>
      <w:tr>
        <w:trPr>
          <w:trHeight w:val="238"/>
        </w:trPr>
        <w:tc>
          <w:tcPr>
            <w:tcW w:w="5000" w:type="dxa"/>
            <w:vAlign w:val="bottom"/>
          </w:tcPr>
          <w:p>
            <w:pPr>
              <w:ind w:left="20"/>
              <w:spacing w:after="0"/>
              <w:rPr>
                <w:sz w:val="20"/>
                <w:szCs w:val="20"/>
                <w:color w:val="auto"/>
              </w:rPr>
            </w:pPr>
            <w:r>
              <w:rPr>
                <w:rFonts w:ascii="Arial" w:cs="Arial" w:eastAsia="Arial" w:hAnsi="Arial"/>
                <w:sz w:val="17"/>
                <w:szCs w:val="17"/>
                <w:color w:val="auto"/>
              </w:rPr>
              <w:t>Legal and professional</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573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1,623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1,545</w:t>
            </w:r>
          </w:p>
        </w:tc>
      </w:tr>
      <w:tr>
        <w:trPr>
          <w:trHeight w:val="252"/>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Advertising</w:t>
            </w: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1,585</w:t>
            </w:r>
          </w:p>
        </w:tc>
      </w:tr>
      <w:tr>
        <w:trPr>
          <w:trHeight w:val="238"/>
        </w:trPr>
        <w:tc>
          <w:tcPr>
            <w:tcW w:w="5000" w:type="dxa"/>
            <w:vAlign w:val="bottom"/>
          </w:tcPr>
          <w:p>
            <w:pPr>
              <w:ind w:left="20"/>
              <w:spacing w:after="0"/>
              <w:rPr>
                <w:sz w:val="20"/>
                <w:szCs w:val="20"/>
                <w:color w:val="auto"/>
              </w:rPr>
            </w:pPr>
            <w:r>
              <w:rPr>
                <w:rFonts w:ascii="Arial" w:cs="Arial" w:eastAsia="Arial" w:hAnsi="Arial"/>
                <w:sz w:val="17"/>
                <w:szCs w:val="17"/>
                <w:color w:val="auto"/>
              </w:rPr>
              <w:t>Amortization of intangible assets</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136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174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410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639</w:t>
            </w:r>
          </w:p>
        </w:tc>
      </w:tr>
      <w:tr>
        <w:trPr>
          <w:trHeight w:val="252"/>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Supplies</w:t>
            </w: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w:t>
            </w:r>
          </w:p>
        </w:tc>
      </w:tr>
      <w:tr>
        <w:trPr>
          <w:trHeight w:val="238"/>
        </w:trPr>
        <w:tc>
          <w:tcPr>
            <w:tcW w:w="5000" w:type="dxa"/>
            <w:vAlign w:val="bottom"/>
          </w:tcPr>
          <w:p>
            <w:pPr>
              <w:ind w:left="20"/>
              <w:spacing w:after="0"/>
              <w:rPr>
                <w:sz w:val="20"/>
                <w:szCs w:val="20"/>
                <w:color w:val="auto"/>
              </w:rPr>
            </w:pPr>
            <w:r>
              <w:rPr>
                <w:rFonts w:ascii="Arial" w:cs="Arial" w:eastAsia="Arial" w:hAnsi="Arial"/>
                <w:sz w:val="17"/>
                <w:szCs w:val="17"/>
                <w:color w:val="auto"/>
              </w:rPr>
              <w:t>Correspondent bank service fees</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178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232</w:t>
            </w:r>
          </w:p>
        </w:tc>
      </w:tr>
      <w:tr>
        <w:trPr>
          <w:trHeight w:val="252"/>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gains on other real estate and repossessed assets</w:t>
            </w: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w:t>
            </w:r>
          </w:p>
        </w:tc>
      </w:tr>
      <w:tr>
        <w:trPr>
          <w:trHeight w:val="238"/>
        </w:trPr>
        <w:tc>
          <w:tcPr>
            <w:tcW w:w="5000" w:type="dxa"/>
            <w:vAlign w:val="bottom"/>
          </w:tcPr>
          <w:p>
            <w:pPr>
              <w:ind w:left="20"/>
              <w:spacing w:after="0"/>
              <w:rPr>
                <w:sz w:val="20"/>
                <w:szCs w:val="20"/>
                <w:color w:val="auto"/>
              </w:rPr>
            </w:pPr>
            <w:r>
              <w:rPr>
                <w:rFonts w:ascii="Arial" w:cs="Arial" w:eastAsia="Arial" w:hAnsi="Arial"/>
                <w:sz w:val="17"/>
                <w:szCs w:val="17"/>
                <w:color w:val="auto"/>
              </w:rPr>
              <w:t>Provision for loss reimbursement on sold loans</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65"/>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Costs related to unfunded lending commitments</w:t>
            </w: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w:t>
            </w:r>
          </w:p>
        </w:tc>
      </w:tr>
      <w:tr>
        <w:trPr>
          <w:trHeight w:val="238"/>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9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1,519</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1,360</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4,620</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4,427</w:t>
            </w:r>
          </w:p>
        </w:tc>
      </w:tr>
      <w:tr>
        <w:trPr>
          <w:trHeight w:val="263"/>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non-interest expense</w:t>
            </w:r>
          </w:p>
        </w:tc>
        <w:tc>
          <w:tcPr>
            <w:tcW w:w="92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32,036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32,366</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95,241</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96,250</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Compensation and employee benefits expenses, in total, decreased $0.6 million on a quarterly comparative basis and decreased $0.7 million for the first nine months of 2023 compared to the same periods in 2022.</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Compensation expense increased by $0.2 million and $2.0 million in the third quarter and first nine months of 2023, respectively, compared to the same periods in 2022. These comparative increases in 2023 were primarily due to salary increases that were predominantly effective on January 1, 2023, and a decreased level of compensation that was deferred as direct origination costs due to lower mortgage loan origination volume.</w:t>
      </w:r>
    </w:p>
    <w:p>
      <w:pPr>
        <w:spacing w:after="0" w:line="13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Performance-based compensation decreased by $1.3 million and $3.3 million in the third quarter and first nine months of 2023, respectively, compared to the same periods in 2022. The decrease is primarily due to lower expected incentive compensation payout for salaried and hourly employees and a decrease in mortgage lending related incentives attributed to the decline in mortgage lending</w:t>
      </w:r>
    </w:p>
    <w:p>
      <w:pPr>
        <w:spacing w:after="0" w:line="13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Data processing expense increased by $0.4 million and $1.4 million in the third quarter and first nine months of 2023, respectively, compared to the same prior year periods due in part to core data processor annual asset growth and CPI related cost increases as well as the prior year to date period including a credit from our core data processor related to certain expenses that had been previously paid and expensed.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Loan and collection expense decreased by $0.3 million in both the third quarter and first nine months of 2023, respectively, compared to the same prior year periods due primarily to lower mortgage lending volume as well as to generally low level of problem credits.</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Costs (recoveries) related to unfunded lending commitments increased (decreased) by $0.1 million and ($0.6) million in the third quarter and first nine months of 2023, respectively, compared to the same prior year periods. The decrease in the first nine months of 2023 is due primarily to a decrease in loss rates applied to lending commitments.</w:t>
      </w:r>
    </w:p>
    <w:p>
      <w:pPr>
        <w:spacing w:after="0" w:line="13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Income tax expense. </w:t>
      </w:r>
      <w:r>
        <w:rPr>
          <w:rFonts w:ascii="Arial" w:cs="Arial" w:eastAsia="Arial" w:hAnsi="Arial"/>
          <w:sz w:val="16"/>
          <w:szCs w:val="16"/>
          <w:color w:val="auto"/>
        </w:rPr>
        <w:t>We recorded an income tax expense of $4.1 million and $10.4 million in the third quarter and the first nine months of 2023, respectively.</w:t>
      </w:r>
      <w:r>
        <w:rPr>
          <w:rFonts w:ascii="Arial" w:cs="Arial" w:eastAsia="Arial" w:hAnsi="Arial"/>
          <w:sz w:val="16"/>
          <w:szCs w:val="16"/>
          <w:b w:val="1"/>
          <w:bCs w:val="1"/>
          <w:color w:val="auto"/>
        </w:rPr>
        <w:t xml:space="preserve"> </w:t>
      </w:r>
      <w:r>
        <w:rPr>
          <w:rFonts w:ascii="Arial" w:cs="Arial" w:eastAsia="Arial" w:hAnsi="Arial"/>
          <w:sz w:val="16"/>
          <w:szCs w:val="16"/>
          <w:color w:val="auto"/>
        </w:rPr>
        <w:t>This compares to an income tax expense of $4.0 million and $10.9 million in the third quarter and the first nine months of 2022, respectively. The changes in expense for the first nine months of 2023 compared to the same period in 2022 is primarily due to changes in pretax income.</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actual income tax expense is different than the amount computed by applying our statutory income tax rate to our income before income tax primarily due to tax-exempt interest income, tax-exempt income from the increase in the cash surrender value on life insurance, and differences in the value of stock awards that vest and stock options that are exercised as compared to the initial fair values that were expensed.</w:t>
      </w:r>
    </w:p>
    <w:p>
      <w:pPr>
        <w:spacing w:after="0" w:line="14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September 30, 2023 and 2022 and at December 31, 2022, that the realization of substantially all of our deferred tax assets continues to be more likely than not.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w:t>
      </w:r>
      <w:r>
        <w:rPr>
          <w:rFonts w:ascii="Arial" w:cs="Arial" w:eastAsia="Arial" w:hAnsi="Arial"/>
          <w:sz w:val="13"/>
          <w:szCs w:val="13"/>
          <w:b w:val="1"/>
          <w:bCs w:val="1"/>
          <w:color w:val="auto"/>
        </w:rPr>
        <w:t>INANCIAL</w:t>
      </w:r>
      <w:r>
        <w:rPr>
          <w:rFonts w:ascii="Arial" w:cs="Arial" w:eastAsia="Arial" w:hAnsi="Arial"/>
          <w:sz w:val="17"/>
          <w:szCs w:val="17"/>
          <w:b w:val="1"/>
          <w:bCs w:val="1"/>
          <w:color w:val="auto"/>
        </w:rPr>
        <w:t xml:space="preserve"> C</w:t>
      </w:r>
      <w:r>
        <w:rPr>
          <w:rFonts w:ascii="Arial" w:cs="Arial" w:eastAsia="Arial" w:hAnsi="Arial"/>
          <w:sz w:val="13"/>
          <w:szCs w:val="13"/>
          <w:b w:val="1"/>
          <w:bCs w:val="1"/>
          <w:color w:val="auto"/>
        </w:rPr>
        <w:t>ONDITION</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Summary. </w:t>
      </w:r>
      <w:r>
        <w:rPr>
          <w:rFonts w:ascii="Arial" w:cs="Arial" w:eastAsia="Arial" w:hAnsi="Arial"/>
          <w:sz w:val="17"/>
          <w:szCs w:val="17"/>
          <w:color w:val="auto"/>
        </w:rPr>
        <w:t>Our total assets increased by $200.2 million during the first nine months of 2023. Loans, excluding loans held for sale, were $3.74 billion at</w:t>
      </w:r>
      <w:r>
        <w:rPr>
          <w:rFonts w:ascii="Arial" w:cs="Arial" w:eastAsia="Arial" w:hAnsi="Arial"/>
          <w:sz w:val="17"/>
          <w:szCs w:val="17"/>
          <w:b w:val="1"/>
          <w:bCs w:val="1"/>
          <w:color w:val="auto"/>
        </w:rPr>
        <w:t xml:space="preserve"> </w:t>
      </w:r>
      <w:r>
        <w:rPr>
          <w:rFonts w:ascii="Arial" w:cs="Arial" w:eastAsia="Arial" w:hAnsi="Arial"/>
          <w:sz w:val="17"/>
          <w:szCs w:val="17"/>
          <w:color w:val="auto"/>
        </w:rPr>
        <w:t>September 30, 2023, compared to $3.47 billion at December 31, 2022. Commercial loans, mortgage loans and installment loans each increased during the first nine months of 2023. (See “Portfolio Loans and asset quality.”)</w:t>
      </w:r>
    </w:p>
    <w:p>
      <w:pPr>
        <w:spacing w:after="0" w:line="146" w:lineRule="exact"/>
        <w:rPr>
          <w:sz w:val="20"/>
          <w:szCs w:val="20"/>
          <w:color w:val="auto"/>
        </w:rPr>
      </w:pPr>
    </w:p>
    <w:p>
      <w:pPr>
        <w:jc w:val="both"/>
        <w:spacing w:after="0" w:line="349" w:lineRule="auto"/>
        <w:rPr>
          <w:sz w:val="20"/>
          <w:szCs w:val="20"/>
          <w:color w:val="auto"/>
        </w:rPr>
      </w:pPr>
      <w:r>
        <w:rPr>
          <w:rFonts w:ascii="Arial" w:cs="Arial" w:eastAsia="Arial" w:hAnsi="Arial"/>
          <w:sz w:val="15"/>
          <w:szCs w:val="15"/>
          <w:color w:val="auto"/>
        </w:rPr>
        <w:t>Deposits totaled $4.59 billion at September 30, 2023, an increase of $206.5 million from December 31, 2022. The increase in deposits from December 31, 2022, is due in part to the seasonal cash management needs of our business and municipal customers, new business customers and our increased use of brokered deposits.</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color w:val="auto"/>
        </w:rPr>
        <w:t xml:space="preserve">Securities. </w:t>
      </w:r>
      <w:r>
        <w:rPr>
          <w:rFonts w:ascii="Arial" w:cs="Arial" w:eastAsia="Arial" w:hAnsi="Arial"/>
          <w:sz w:val="17"/>
          <w:szCs w:val="17"/>
          <w:color w:val="auto"/>
        </w:rPr>
        <w:t>We maintain diversified securities portfolios, which include obligations of U.S. government-sponsored agencies, securities issued by states and</w:t>
      </w:r>
      <w:r>
        <w:rPr>
          <w:rFonts w:ascii="Arial" w:cs="Arial" w:eastAsia="Arial" w:hAnsi="Arial"/>
          <w:sz w:val="17"/>
          <w:szCs w:val="17"/>
          <w:b w:val="1"/>
          <w:bCs w:val="1"/>
          <w:color w:val="auto"/>
        </w:rPr>
        <w:t xml:space="preserve"> </w:t>
      </w:r>
      <w:r>
        <w:rPr>
          <w:rFonts w:ascii="Arial" w:cs="Arial" w:eastAsia="Arial" w:hAnsi="Arial"/>
          <w:sz w:val="17"/>
          <w:szCs w:val="17"/>
          <w:color w:val="auto"/>
        </w:rPr>
        <w:t>political subdivisions, residential and commercial mortgage-backed securities, asset-backed securities, corporate securities, trust preferred securities and foreign government securities (that are denominated in U.S. dollars). We regularly evaluate asset/liability management needs and attempt to maintain a portfolio structure that provides sufficient liquidity and cash flow.</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believe that the unrealized losses on securities AFS are temporary in nature and are expected to be recovered within a reasonable time period. Based upon our liquidity and capital resources (as explained in more detail below under "Liquidity and capital resources"), we believe that we have the ability to hold securities with unrealized losses to maturity or until such time as the unrealized losses reverse.(See “Asset/liability management.”)</w:t>
      </w:r>
    </w:p>
    <w:p>
      <w:pPr>
        <w:spacing w:after="0" w:line="149"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On April 1, 2022, we transferred certain securities AFS with an amortized cost and unrealized loss at the date of transfer of $418.1 million and $26.5 million, respectively to securities HTM. The transfer was made at fair value, with the unrealized loss becoming part of the purchase discount which will be accreted over the remaining life of the securities. The other comprehensive loss component is separated from the remaining available for sale securities and is accreted over the remaining life of the securities transferred. Based upon our liquidity and capital resources (as explained in more detail below under "Liquidity and capital resources"), we believe that we have the ability and intent to hold these securities until they mature, at which time we would receive full value for these securities.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95"/>
        </w:trPr>
        <w:tc>
          <w:tcPr>
            <w:tcW w:w="2180" w:type="dxa"/>
            <w:vAlign w:val="bottom"/>
            <w:gridSpan w:val="2"/>
          </w:tcPr>
          <w:p>
            <w:pPr>
              <w:spacing w:after="0"/>
              <w:rPr>
                <w:sz w:val="20"/>
                <w:szCs w:val="20"/>
                <w:color w:val="auto"/>
              </w:rPr>
            </w:pPr>
            <w:r>
              <w:rPr>
                <w:rFonts w:ascii="Arial" w:cs="Arial" w:eastAsia="Arial" w:hAnsi="Arial"/>
                <w:sz w:val="17"/>
                <w:szCs w:val="17"/>
                <w:i w:val="1"/>
                <w:iCs w:val="1"/>
                <w:color w:val="0000FF"/>
              </w:rPr>
              <w:t>Index</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8"/>
        </w:trPr>
        <w:tc>
          <w:tcPr>
            <w:tcW w:w="2180" w:type="dxa"/>
            <w:vAlign w:val="bottom"/>
            <w:gridSpan w:val="2"/>
          </w:tcPr>
          <w:p>
            <w:pPr>
              <w:spacing w:after="0"/>
              <w:rPr>
                <w:sz w:val="20"/>
                <w:szCs w:val="20"/>
                <w:color w:val="auto"/>
              </w:rPr>
            </w:pPr>
            <w:r>
              <w:rPr>
                <w:rFonts w:ascii="Arial" w:cs="Arial" w:eastAsia="Arial" w:hAnsi="Arial"/>
                <w:sz w:val="17"/>
                <w:szCs w:val="17"/>
                <w:b w:val="1"/>
                <w:bCs w:val="1"/>
                <w:color w:val="auto"/>
                <w:w w:val="94"/>
              </w:rPr>
              <w:t>Securities Available for Sale</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gridSpan w:val="2"/>
          </w:tcPr>
          <w:p>
            <w:pPr>
              <w:ind w:left="380"/>
              <w:spacing w:after="0"/>
              <w:rPr>
                <w:sz w:val="20"/>
                <w:szCs w:val="20"/>
                <w:color w:val="auto"/>
              </w:rPr>
            </w:pPr>
            <w:r>
              <w:rPr>
                <w:rFonts w:ascii="Arial" w:cs="Arial" w:eastAsia="Arial" w:hAnsi="Arial"/>
                <w:sz w:val="17"/>
                <w:szCs w:val="17"/>
                <w:color w:val="auto"/>
              </w:rPr>
              <w:t>Amortized</w:t>
            </w:r>
          </w:p>
        </w:tc>
        <w:tc>
          <w:tcPr>
            <w:tcW w:w="14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color w:val="auto"/>
              </w:rPr>
              <w:t>Unrealized</w:t>
            </w: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514"/>
              <w:spacing w:after="0"/>
              <w:rPr>
                <w:sz w:val="20"/>
                <w:szCs w:val="20"/>
                <w:color w:val="auto"/>
              </w:rPr>
            </w:pPr>
            <w:r>
              <w:rPr>
                <w:rFonts w:ascii="Arial" w:cs="Arial" w:eastAsia="Arial" w:hAnsi="Arial"/>
                <w:sz w:val="17"/>
                <w:szCs w:val="17"/>
                <w:color w:val="auto"/>
              </w:rPr>
              <w:t>Fair</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Borders>
              <w:bottom w:val="single" w:sz="8" w:color="auto"/>
            </w:tcBorders>
            <w:gridSpan w:val="2"/>
          </w:tcPr>
          <w:p>
            <w:pPr>
              <w:ind w:left="580"/>
              <w:spacing w:after="0"/>
              <w:rPr>
                <w:sz w:val="20"/>
                <w:szCs w:val="20"/>
                <w:color w:val="auto"/>
              </w:rPr>
            </w:pPr>
            <w:r>
              <w:rPr>
                <w:rFonts w:ascii="Arial" w:cs="Arial" w:eastAsia="Arial" w:hAnsi="Arial"/>
                <w:sz w:val="17"/>
                <w:szCs w:val="17"/>
                <w:color w:val="auto"/>
              </w:rPr>
              <w:t>Cost</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Gains</w:t>
            </w:r>
          </w:p>
        </w:tc>
        <w:tc>
          <w:tcPr>
            <w:tcW w:w="6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Losses</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color w:val="auto"/>
              </w:rPr>
              <w:t>Value</w:t>
            </w:r>
          </w:p>
        </w:tc>
        <w:tc>
          <w:tcPr>
            <w:tcW w:w="0" w:type="dxa"/>
            <w:vAlign w:val="bottom"/>
          </w:tcPr>
          <w:p>
            <w:pPr>
              <w:spacing w:after="0"/>
              <w:rPr>
                <w:sz w:val="1"/>
                <w:szCs w:val="1"/>
                <w:color w:val="auto"/>
              </w:rPr>
            </w:pPr>
          </w:p>
        </w:tc>
      </w:tr>
      <w:tr>
        <w:trPr>
          <w:trHeight w:val="213"/>
        </w:trPr>
        <w:tc>
          <w:tcPr>
            <w:tcW w:w="2180" w:type="dxa"/>
            <w:vAlign w:val="bottom"/>
            <w:gridSpan w:val="2"/>
          </w:tcPr>
          <w:p>
            <w:pPr>
              <w:ind w:left="20"/>
              <w:spacing w:after="0"/>
              <w:rPr>
                <w:sz w:val="20"/>
                <w:szCs w:val="20"/>
                <w:color w:val="auto"/>
              </w:rPr>
            </w:pPr>
            <w:r>
              <w:rPr>
                <w:rFonts w:ascii="Arial" w:cs="Arial" w:eastAsia="Arial" w:hAnsi="Arial"/>
                <w:sz w:val="17"/>
                <w:szCs w:val="17"/>
                <w:color w:val="auto"/>
              </w:rPr>
              <w:t>Securities available for sale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7"/>
                <w:szCs w:val="17"/>
                <w:color w:val="auto"/>
                <w:w w:val="91"/>
              </w:rPr>
              <w:t>(In thousands)</w:t>
            </w: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September 30, 2023</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773,027</w:t>
            </w:r>
          </w:p>
        </w:tc>
        <w:tc>
          <w:tcPr>
            <w:tcW w:w="880" w:type="dxa"/>
            <w:vAlign w:val="bottom"/>
            <w:gridSpan w:val="2"/>
            <w:shd w:val="clear" w:color="auto" w:fill="CCEEFF"/>
          </w:tcPr>
          <w:p>
            <w:pPr>
              <w:jc w:val="center"/>
              <w:ind w:right="394"/>
              <w:spacing w:after="0"/>
              <w:rPr>
                <w:sz w:val="20"/>
                <w:szCs w:val="20"/>
                <w:color w:val="auto"/>
              </w:rPr>
            </w:pPr>
            <w:r>
              <w:rPr>
                <w:rFonts w:ascii="Arial" w:cs="Arial" w:eastAsia="Arial" w:hAnsi="Arial"/>
                <w:sz w:val="17"/>
                <w:szCs w:val="17"/>
                <w:color w:val="auto"/>
                <w:w w:val="84"/>
              </w:rPr>
              <w:t>$</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263</w:t>
            </w: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88,649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684,641</w:t>
            </w:r>
          </w:p>
        </w:tc>
        <w:tc>
          <w:tcPr>
            <w:tcW w:w="0" w:type="dxa"/>
            <w:vAlign w:val="bottom"/>
          </w:tcPr>
          <w:p>
            <w:pPr>
              <w:spacing w:after="0"/>
              <w:rPr>
                <w:sz w:val="1"/>
                <w:szCs w:val="1"/>
                <w:color w:val="auto"/>
              </w:rPr>
            </w:pPr>
          </w:p>
        </w:tc>
      </w:tr>
      <w:tr>
        <w:trPr>
          <w:trHeight w:val="218"/>
        </w:trPr>
        <w:tc>
          <w:tcPr>
            <w:tcW w:w="2180" w:type="dxa"/>
            <w:vAlign w:val="bottom"/>
            <w:gridSpan w:val="2"/>
          </w:tcPr>
          <w:p>
            <w:pPr>
              <w:ind w:left="180"/>
              <w:spacing w:after="0"/>
              <w:rPr>
                <w:sz w:val="20"/>
                <w:szCs w:val="20"/>
                <w:color w:val="auto"/>
              </w:rPr>
            </w:pPr>
            <w:r>
              <w:rPr>
                <w:rFonts w:ascii="Arial" w:cs="Arial" w:eastAsia="Arial" w:hAnsi="Arial"/>
                <w:sz w:val="17"/>
                <w:szCs w:val="17"/>
                <w:color w:val="auto"/>
              </w:rPr>
              <w:t>December 31, 2022</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1"/>
              </w:rPr>
              <w:t>866,363</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ind w:left="180"/>
              <w:spacing w:after="0"/>
              <w:rPr>
                <w:sz w:val="20"/>
                <w:szCs w:val="20"/>
                <w:color w:val="auto"/>
              </w:rPr>
            </w:pPr>
            <w:r>
              <w:rPr>
                <w:rFonts w:ascii="Arial" w:cs="Arial" w:eastAsia="Arial" w:hAnsi="Arial"/>
                <w:sz w:val="17"/>
                <w:szCs w:val="17"/>
                <w:color w:val="auto"/>
              </w:rPr>
              <w:t>329</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87,345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779,347</w:t>
            </w:r>
          </w:p>
        </w:tc>
        <w:tc>
          <w:tcPr>
            <w:tcW w:w="0" w:type="dxa"/>
            <w:vAlign w:val="bottom"/>
          </w:tcPr>
          <w:p>
            <w:pPr>
              <w:spacing w:after="0"/>
              <w:rPr>
                <w:sz w:val="1"/>
                <w:szCs w:val="1"/>
                <w:color w:val="auto"/>
              </w:rPr>
            </w:pPr>
          </w:p>
        </w:tc>
      </w:tr>
      <w:tr>
        <w:trPr>
          <w:trHeight w:val="464"/>
        </w:trPr>
        <w:tc>
          <w:tcPr>
            <w:tcW w:w="2180" w:type="dxa"/>
            <w:vAlign w:val="bottom"/>
            <w:gridSpan w:val="2"/>
          </w:tcPr>
          <w:p>
            <w:pPr>
              <w:spacing w:after="0"/>
              <w:rPr>
                <w:sz w:val="20"/>
                <w:szCs w:val="20"/>
                <w:color w:val="auto"/>
              </w:rPr>
            </w:pPr>
            <w:r>
              <w:rPr>
                <w:rFonts w:ascii="Arial" w:cs="Arial" w:eastAsia="Arial" w:hAnsi="Arial"/>
                <w:sz w:val="17"/>
                <w:szCs w:val="17"/>
                <w:b w:val="1"/>
                <w:bCs w:val="1"/>
                <w:color w:val="auto"/>
              </w:rPr>
              <w:t>Securities Held to Maturity</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center"/>
              <w:ind w:right="94"/>
              <w:spacing w:after="0"/>
              <w:rPr>
                <w:sz w:val="20"/>
                <w:szCs w:val="20"/>
                <w:color w:val="auto"/>
              </w:rPr>
            </w:pPr>
            <w:r>
              <w:rPr>
                <w:rFonts w:ascii="Arial" w:cs="Arial" w:eastAsia="Arial" w:hAnsi="Arial"/>
                <w:sz w:val="17"/>
                <w:szCs w:val="17"/>
                <w:color w:val="auto"/>
                <w:w w:val="91"/>
              </w:rPr>
              <w:t>Transferred</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7"/>
                <w:szCs w:val="17"/>
                <w:color w:val="auto"/>
                <w:w w:val="93"/>
              </w:rPr>
              <w:t>Unrealized</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94"/>
              <w:spacing w:after="0" w:line="186" w:lineRule="exact"/>
              <w:rPr>
                <w:sz w:val="20"/>
                <w:szCs w:val="20"/>
                <w:color w:val="auto"/>
              </w:rPr>
            </w:pPr>
            <w:r>
              <w:rPr>
                <w:rFonts w:ascii="Arial" w:cs="Arial" w:eastAsia="Arial" w:hAnsi="Arial"/>
                <w:sz w:val="17"/>
                <w:szCs w:val="17"/>
                <w:color w:val="auto"/>
              </w:rPr>
              <w:t>Carrying</w:t>
            </w:r>
          </w:p>
        </w:tc>
        <w:tc>
          <w:tcPr>
            <w:tcW w:w="240" w:type="dxa"/>
            <w:vAlign w:val="bottom"/>
          </w:tcPr>
          <w:p>
            <w:pPr>
              <w:spacing w:after="0"/>
              <w:rPr>
                <w:sz w:val="16"/>
                <w:szCs w:val="16"/>
                <w:color w:val="auto"/>
              </w:rPr>
            </w:pPr>
          </w:p>
        </w:tc>
        <w:tc>
          <w:tcPr>
            <w:tcW w:w="1100" w:type="dxa"/>
            <w:vAlign w:val="bottom"/>
          </w:tcPr>
          <w:p>
            <w:pPr>
              <w:jc w:val="center"/>
              <w:ind w:right="114"/>
              <w:spacing w:after="0" w:line="186" w:lineRule="exact"/>
              <w:rPr>
                <w:sz w:val="20"/>
                <w:szCs w:val="20"/>
                <w:color w:val="auto"/>
              </w:rPr>
            </w:pPr>
            <w:r>
              <w:rPr>
                <w:rFonts w:ascii="Arial" w:cs="Arial" w:eastAsia="Arial" w:hAnsi="Arial"/>
                <w:sz w:val="17"/>
                <w:szCs w:val="17"/>
                <w:color w:val="auto"/>
                <w:w w:val="91"/>
              </w:rPr>
              <w:t>Unrealized</w:t>
            </w: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80" w:type="dxa"/>
            <w:vAlign w:val="bottom"/>
            <w:gridSpan w:val="3"/>
          </w:tcPr>
          <w:p>
            <w:pPr>
              <w:jc w:val="center"/>
              <w:spacing w:after="0" w:line="186" w:lineRule="exact"/>
              <w:rPr>
                <w:sz w:val="20"/>
                <w:szCs w:val="20"/>
                <w:color w:val="auto"/>
              </w:rPr>
            </w:pPr>
            <w:r>
              <w:rPr>
                <w:rFonts w:ascii="Arial" w:cs="Arial" w:eastAsia="Arial" w:hAnsi="Arial"/>
                <w:sz w:val="17"/>
                <w:szCs w:val="17"/>
                <w:color w:val="auto"/>
                <w:w w:val="96"/>
              </w:rPr>
              <w:t>Amortized</w:t>
            </w: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Value</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14"/>
              <w:spacing w:after="0"/>
              <w:rPr>
                <w:sz w:val="20"/>
                <w:szCs w:val="20"/>
                <w:color w:val="auto"/>
              </w:rPr>
            </w:pPr>
            <w:r>
              <w:rPr>
                <w:rFonts w:ascii="Arial" w:cs="Arial" w:eastAsia="Arial" w:hAnsi="Arial"/>
                <w:sz w:val="17"/>
                <w:szCs w:val="17"/>
                <w:color w:val="auto"/>
                <w:w w:val="94"/>
              </w:rPr>
              <w:t>Loss (1)</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ACL</w:t>
            </w:r>
          </w:p>
        </w:tc>
        <w:tc>
          <w:tcPr>
            <w:tcW w:w="6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center"/>
              <w:ind w:right="434"/>
              <w:spacing w:after="0"/>
              <w:rPr>
                <w:sz w:val="20"/>
                <w:szCs w:val="20"/>
                <w:color w:val="auto"/>
              </w:rPr>
            </w:pPr>
            <w:r>
              <w:rPr>
                <w:rFonts w:ascii="Arial" w:cs="Arial" w:eastAsia="Arial" w:hAnsi="Arial"/>
                <w:sz w:val="17"/>
                <w:szCs w:val="17"/>
                <w:color w:val="auto"/>
                <w:w w:val="91"/>
              </w:rPr>
              <w:t>Cost</w:t>
            </w: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w w:val="89"/>
              </w:rPr>
              <w:t>Gains</w:t>
            </w:r>
          </w:p>
        </w:tc>
        <w:tc>
          <w:tcPr>
            <w:tcW w:w="4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9"/>
              </w:rPr>
              <w:t>Losses</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98"/>
              </w:rPr>
              <w:t>Fair Value</w:t>
            </w:r>
          </w:p>
        </w:tc>
        <w:tc>
          <w:tcPr>
            <w:tcW w:w="0" w:type="dxa"/>
            <w:vAlign w:val="bottom"/>
          </w:tcPr>
          <w:p>
            <w:pPr>
              <w:spacing w:after="0"/>
              <w:rPr>
                <w:sz w:val="1"/>
                <w:szCs w:val="1"/>
                <w:color w:val="auto"/>
              </w:rPr>
            </w:pPr>
          </w:p>
        </w:tc>
      </w:tr>
      <w:tr>
        <w:trPr>
          <w:trHeight w:val="211"/>
        </w:trPr>
        <w:tc>
          <w:tcPr>
            <w:tcW w:w="3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gridSpan w:val="3"/>
          </w:tcPr>
          <w:p>
            <w:pPr>
              <w:jc w:val="right"/>
              <w:ind w:right="74"/>
              <w:spacing w:after="0"/>
              <w:rPr>
                <w:sz w:val="20"/>
                <w:szCs w:val="20"/>
                <w:color w:val="auto"/>
              </w:rPr>
            </w:pPr>
            <w:r>
              <w:rPr>
                <w:rFonts w:ascii="Arial" w:cs="Arial" w:eastAsia="Arial" w:hAnsi="Arial"/>
                <w:sz w:val="17"/>
                <w:szCs w:val="17"/>
                <w:color w:val="auto"/>
              </w:rPr>
              <w:t>(In thousands)</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180" w:type="dxa"/>
            <w:vAlign w:val="bottom"/>
            <w:gridSpan w:val="2"/>
          </w:tcPr>
          <w:p>
            <w:pPr>
              <w:ind w:left="20"/>
              <w:spacing w:after="0"/>
              <w:rPr>
                <w:sz w:val="20"/>
                <w:szCs w:val="20"/>
                <w:color w:val="auto"/>
              </w:rPr>
            </w:pPr>
            <w:r>
              <w:rPr>
                <w:rFonts w:ascii="Arial" w:cs="Arial" w:eastAsia="Arial" w:hAnsi="Arial"/>
                <w:sz w:val="17"/>
                <w:szCs w:val="17"/>
                <w:color w:val="auto"/>
              </w:rPr>
              <w:t>Securities held to maturity</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September 30, 2023</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358,899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20,399</w:t>
            </w:r>
          </w:p>
        </w:tc>
        <w:tc>
          <w:tcPr>
            <w:tcW w:w="3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7"/>
                <w:szCs w:val="17"/>
                <w:color w:val="auto"/>
                <w:w w:val="84"/>
              </w:rPr>
              <w:t>155</w:t>
            </w:r>
          </w:p>
        </w:tc>
        <w:tc>
          <w:tcPr>
            <w:tcW w:w="60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379,453</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41</w:t>
            </w:r>
          </w:p>
        </w:tc>
        <w:tc>
          <w:tcPr>
            <w:tcW w:w="360" w:type="dxa"/>
            <w:vAlign w:val="bottom"/>
            <w:shd w:val="clear" w:color="auto" w:fill="BFE4FF"/>
          </w:tcPr>
          <w:p>
            <w:pPr>
              <w:ind w:left="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BFE4FF"/>
          </w:tcPr>
          <w:p>
            <w:pPr>
              <w:jc w:val="right"/>
              <w:spacing w:after="0"/>
              <w:rPr>
                <w:sz w:val="20"/>
                <w:szCs w:val="20"/>
                <w:color w:val="auto"/>
              </w:rPr>
            </w:pPr>
            <w:r>
              <w:rPr>
                <w:rFonts w:ascii="Arial" w:cs="Arial" w:eastAsia="Arial" w:hAnsi="Arial"/>
                <w:sz w:val="17"/>
                <w:szCs w:val="17"/>
                <w:color w:val="auto"/>
              </w:rPr>
              <w:t>70,295</w:t>
            </w:r>
          </w:p>
        </w:tc>
        <w:tc>
          <w:tcPr>
            <w:tcW w:w="80" w:type="dxa"/>
            <w:vAlign w:val="bottom"/>
            <w:shd w:val="clear" w:color="auto" w:fill="CCEEFF"/>
          </w:tcPr>
          <w:p>
            <w:pPr>
              <w:spacing w:after="0"/>
              <w:rPr>
                <w:sz w:val="19"/>
                <w:szCs w:val="19"/>
                <w:color w:val="auto"/>
              </w:rPr>
            </w:pPr>
          </w:p>
        </w:tc>
        <w:tc>
          <w:tcPr>
            <w:tcW w:w="200" w:type="dxa"/>
            <w:vAlign w:val="bottom"/>
            <w:shd w:val="clear" w:color="auto" w:fill="BFE4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BFE4FF"/>
          </w:tcPr>
          <w:p>
            <w:pPr>
              <w:jc w:val="right"/>
              <w:spacing w:after="0"/>
              <w:rPr>
                <w:sz w:val="20"/>
                <w:szCs w:val="20"/>
                <w:color w:val="auto"/>
              </w:rPr>
            </w:pPr>
            <w:r>
              <w:rPr>
                <w:rFonts w:ascii="Arial" w:cs="Arial" w:eastAsia="Arial" w:hAnsi="Arial"/>
                <w:sz w:val="17"/>
                <w:szCs w:val="17"/>
                <w:color w:val="auto"/>
              </w:rPr>
              <w:t>309,199</w:t>
            </w:r>
          </w:p>
        </w:tc>
        <w:tc>
          <w:tcPr>
            <w:tcW w:w="0" w:type="dxa"/>
            <w:vAlign w:val="bottom"/>
          </w:tcPr>
          <w:p>
            <w:pPr>
              <w:spacing w:after="0"/>
              <w:rPr>
                <w:sz w:val="1"/>
                <w:szCs w:val="1"/>
                <w:color w:val="auto"/>
              </w:rPr>
            </w:pPr>
          </w:p>
        </w:tc>
      </w:tr>
      <w:tr>
        <w:trPr>
          <w:trHeight w:val="218"/>
        </w:trPr>
        <w:tc>
          <w:tcPr>
            <w:tcW w:w="2180" w:type="dxa"/>
            <w:vAlign w:val="bottom"/>
            <w:gridSpan w:val="2"/>
          </w:tcPr>
          <w:p>
            <w:pPr>
              <w:ind w:left="180"/>
              <w:spacing w:after="0"/>
              <w:rPr>
                <w:sz w:val="20"/>
                <w:szCs w:val="20"/>
                <w:color w:val="auto"/>
              </w:rPr>
            </w:pPr>
            <w:r>
              <w:rPr>
                <w:rFonts w:ascii="Arial" w:cs="Arial" w:eastAsia="Arial" w:hAnsi="Arial"/>
                <w:sz w:val="17"/>
                <w:szCs w:val="17"/>
                <w:color w:val="auto"/>
              </w:rPr>
              <w:t>December 31, 2022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374,818</w:t>
            </w:r>
          </w:p>
        </w:tc>
        <w:tc>
          <w:tcPr>
            <w:tcW w:w="240" w:type="dxa"/>
            <w:vAlign w:val="bottom"/>
          </w:tcPr>
          <w:p>
            <w:pPr>
              <w:spacing w:after="0"/>
              <w:rPr>
                <w:sz w:val="18"/>
                <w:szCs w:val="18"/>
                <w:color w:val="auto"/>
              </w:rPr>
            </w:pPr>
          </w:p>
        </w:tc>
        <w:tc>
          <w:tcPr>
            <w:tcW w:w="1100" w:type="dxa"/>
            <w:vAlign w:val="bottom"/>
          </w:tcPr>
          <w:p>
            <w:pPr>
              <w:jc w:val="right"/>
              <w:ind w:right="14"/>
              <w:spacing w:after="0"/>
              <w:rPr>
                <w:sz w:val="20"/>
                <w:szCs w:val="20"/>
                <w:color w:val="auto"/>
              </w:rPr>
            </w:pPr>
            <w:r>
              <w:rPr>
                <w:rFonts w:ascii="Arial" w:cs="Arial" w:eastAsia="Arial" w:hAnsi="Arial"/>
                <w:sz w:val="17"/>
                <w:szCs w:val="17"/>
                <w:color w:val="auto"/>
              </w:rPr>
              <w:t>23,066</w:t>
            </w:r>
          </w:p>
        </w:tc>
        <w:tc>
          <w:tcPr>
            <w:tcW w:w="38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7"/>
                <w:szCs w:val="17"/>
                <w:color w:val="auto"/>
                <w:w w:val="84"/>
              </w:rPr>
              <w:t>168</w:t>
            </w:r>
          </w:p>
        </w:tc>
        <w:tc>
          <w:tcPr>
            <w:tcW w:w="600" w:type="dxa"/>
            <w:vAlign w:val="bottom"/>
          </w:tcPr>
          <w:p>
            <w:pPr>
              <w:spacing w:after="0"/>
              <w:rPr>
                <w:sz w:val="18"/>
                <w:szCs w:val="18"/>
                <w:color w:val="auto"/>
              </w:rPr>
            </w:pPr>
          </w:p>
        </w:tc>
        <w:tc>
          <w:tcPr>
            <w:tcW w:w="880" w:type="dxa"/>
            <w:vAlign w:val="bottom"/>
            <w:gridSpan w:val="2"/>
          </w:tcPr>
          <w:p>
            <w:pPr>
              <w:jc w:val="right"/>
              <w:ind w:right="74"/>
              <w:spacing w:after="0"/>
              <w:rPr>
                <w:sz w:val="20"/>
                <w:szCs w:val="20"/>
                <w:color w:val="auto"/>
              </w:rPr>
            </w:pPr>
            <w:r>
              <w:rPr>
                <w:rFonts w:ascii="Arial" w:cs="Arial" w:eastAsia="Arial" w:hAnsi="Arial"/>
                <w:sz w:val="17"/>
                <w:szCs w:val="17"/>
                <w:color w:val="auto"/>
              </w:rPr>
              <w:t>398,052</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jc w:val="right"/>
              <w:ind w:right="74"/>
              <w:spacing w:after="0"/>
              <w:rPr>
                <w:sz w:val="20"/>
                <w:szCs w:val="20"/>
                <w:color w:val="auto"/>
              </w:rPr>
            </w:pPr>
            <w:r>
              <w:rPr>
                <w:rFonts w:ascii="Arial" w:cs="Arial" w:eastAsia="Arial" w:hAnsi="Arial"/>
                <w:sz w:val="17"/>
                <w:szCs w:val="17"/>
                <w:color w:val="auto"/>
              </w:rPr>
              <w:t>11</w:t>
            </w: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62,645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335,418</w:t>
            </w: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(1) Represents the remaining unrealized loss to be accreted on securities that were transferred from AFS to HTM on April 1, 2022.</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Securities AFS in unrealized loss positions are evaluated quarterly for impairment related to credit losses. For securities AFS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securities AFS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ACL is recorded, limited to the amount that the fair value of the security is less than its amortized cost basis. Any impairment that has not been recorded through an ACL is recognized in other comprehensive income (loss), net of applicable taxes. No ACL for securities AFS was needed at September 30, 2023. The decrease in unrealized losses during the first nine months of 2023 is attributed to pay downs of security balances, improvements in pricing metrics of securities issued by states and political subdivisions and par reversion. See note #3 to the Condensed Consolidated Financial Statements included within this report for further discussion.</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For securities HTM an ACL is maintained at a level which represents our best estimate of expected credit losses. This ACL is a contra asset valuation account that is deducted from the carrying amount of securities HTM to present the net amount expected to be collected. Securities HTM are charged off against the ACL when deemed uncollectible. Adjustments to the ACL are reported in our Condensed Consolidated Statements of Operations in provision for credit loss. We measure expected credit losses on securities HTM on a collective basis by major security type with each type sharing similar risk characteristics, and considers historical credit loss information that is adjusted for current conditions and reasonable and supportable forecasts. With regard to U.S. Government-sponsored agency and mortgage-backed securities (residential and commercial), all these securities are issued by a U.S. government-sponsored entity and have an implicit or explicit government guarantee; therefore, no allowance for credit losses has been recorded for these securities. With regard to obligations of states and political subdivisions, private label-mortgage-backed, corporate and trust preferred securities HTM, we consider (1) issuer bond ratings, (2) long-term historical loss rates for given bond ratings, (3) the financial condition of the issuer, and (4) whether issuers continue to make timely principal and interest payments under the contractual terms of the securities. During the first quarter of 2023, one corporate security (Signature Bank) defaulted resulting in a $3.0 million provision for credit losses and a corresponding full charge-off during that period. Despite this lone security loss, the long-term historical loss rates associated with securities having similar grades as those in our portfolio have been insignificant. See note #3 to the Condensed Consolidated Financial Statements included within this report for further discussion.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95"/>
        </w:trPr>
        <w:tc>
          <w:tcPr>
            <w:tcW w:w="4880" w:type="dxa"/>
            <w:vAlign w:val="bottom"/>
            <w:gridSpan w:val="2"/>
          </w:tcPr>
          <w:p>
            <w:pPr>
              <w:spacing w:after="0"/>
              <w:rPr>
                <w:sz w:val="20"/>
                <w:szCs w:val="20"/>
                <w:color w:val="auto"/>
              </w:rPr>
            </w:pPr>
            <w:r>
              <w:rPr>
                <w:rFonts w:ascii="Arial" w:cs="Arial" w:eastAsia="Arial" w:hAnsi="Arial"/>
                <w:sz w:val="17"/>
                <w:szCs w:val="17"/>
                <w:i w:val="1"/>
                <w:iCs w:val="1"/>
                <w:color w:val="0000FF"/>
              </w:rPr>
              <w:t>Index</w:t>
            </w: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958"/>
        </w:trPr>
        <w:tc>
          <w:tcPr>
            <w:tcW w:w="4880" w:type="dxa"/>
            <w:vAlign w:val="bottom"/>
            <w:gridSpan w:val="2"/>
          </w:tcPr>
          <w:p>
            <w:pPr>
              <w:spacing w:after="0"/>
              <w:rPr>
                <w:sz w:val="20"/>
                <w:szCs w:val="20"/>
                <w:color w:val="auto"/>
              </w:rPr>
            </w:pPr>
            <w:r>
              <w:rPr>
                <w:rFonts w:ascii="Arial" w:cs="Arial" w:eastAsia="Arial" w:hAnsi="Arial"/>
                <w:sz w:val="17"/>
                <w:szCs w:val="17"/>
                <w:color w:val="auto"/>
              </w:rPr>
              <w:t>Sales of securities were as follows (See “Non-interest income.”):</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87"/>
        </w:trPr>
        <w:tc>
          <w:tcPr>
            <w:tcW w:w="4880" w:type="dxa"/>
            <w:vAlign w:val="bottom"/>
            <w:gridSpan w:val="2"/>
          </w:tcPr>
          <w:p>
            <w:pPr>
              <w:spacing w:after="0"/>
              <w:rPr>
                <w:sz w:val="20"/>
                <w:szCs w:val="20"/>
                <w:color w:val="auto"/>
              </w:rPr>
            </w:pPr>
            <w:r>
              <w:rPr>
                <w:rFonts w:ascii="Arial" w:cs="Arial" w:eastAsia="Arial" w:hAnsi="Arial"/>
                <w:sz w:val="17"/>
                <w:szCs w:val="17"/>
                <w:b w:val="1"/>
                <w:bCs w:val="1"/>
                <w:color w:val="auto"/>
              </w:rPr>
              <w:t>Sales of Securities</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25"/>
        </w:trPr>
        <w:tc>
          <w:tcPr>
            <w:tcW w:w="3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800" w:type="dxa"/>
            <w:vAlign w:val="bottom"/>
            <w:gridSpan w:val="4"/>
          </w:tcPr>
          <w:p>
            <w:pPr>
              <w:jc w:val="center"/>
              <w:ind w:left="194"/>
              <w:spacing w:after="0"/>
              <w:rPr>
                <w:sz w:val="20"/>
                <w:szCs w:val="20"/>
                <w:color w:val="auto"/>
              </w:rPr>
            </w:pPr>
            <w:r>
              <w:rPr>
                <w:rFonts w:ascii="Arial" w:cs="Arial" w:eastAsia="Arial" w:hAnsi="Arial"/>
                <w:sz w:val="17"/>
                <w:szCs w:val="17"/>
                <w:color w:val="auto"/>
                <w:w w:val="90"/>
              </w:rPr>
              <w:t>Three Months Ended September 30,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60" w:type="dxa"/>
            <w:vAlign w:val="bottom"/>
            <w:gridSpan w:val="4"/>
          </w:tcPr>
          <w:p>
            <w:pPr>
              <w:jc w:val="right"/>
              <w:ind w:right="314"/>
              <w:spacing w:after="0"/>
              <w:rPr>
                <w:sz w:val="20"/>
                <w:szCs w:val="20"/>
                <w:color w:val="auto"/>
              </w:rPr>
            </w:pPr>
            <w:r>
              <w:rPr>
                <w:rFonts w:ascii="Arial" w:cs="Arial" w:eastAsia="Arial" w:hAnsi="Arial"/>
                <w:sz w:val="17"/>
                <w:szCs w:val="17"/>
                <w:color w:val="auto"/>
                <w:w w:val="95"/>
              </w:rPr>
              <w:t>Nine Months Ended September 30,</w:t>
            </w:r>
          </w:p>
        </w:tc>
      </w:tr>
      <w:tr>
        <w:trPr>
          <w:trHeight w:val="246"/>
        </w:trPr>
        <w:tc>
          <w:tcPr>
            <w:tcW w:w="38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5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2022</w:t>
            </w:r>
          </w:p>
        </w:tc>
        <w:tc>
          <w:tcPr>
            <w:tcW w:w="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2023</w:t>
            </w:r>
          </w:p>
        </w:tc>
        <w:tc>
          <w:tcPr>
            <w:tcW w:w="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2022</w:t>
            </w:r>
          </w:p>
        </w:tc>
      </w:tr>
      <w:tr>
        <w:trPr>
          <w:trHeight w:val="212"/>
        </w:trPr>
        <w:tc>
          <w:tcPr>
            <w:tcW w:w="3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20" w:type="dxa"/>
            <w:vAlign w:val="bottom"/>
            <w:gridSpan w:val="3"/>
          </w:tcPr>
          <w:p>
            <w:pPr>
              <w:jc w:val="center"/>
              <w:ind w:right="634"/>
              <w:spacing w:after="0"/>
              <w:rPr>
                <w:sz w:val="20"/>
                <w:szCs w:val="20"/>
                <w:color w:val="auto"/>
              </w:rPr>
            </w:pPr>
            <w:r>
              <w:rPr>
                <w:rFonts w:ascii="Arial" w:cs="Arial" w:eastAsia="Arial" w:hAnsi="Arial"/>
                <w:sz w:val="17"/>
                <w:szCs w:val="17"/>
                <w:color w:val="auto"/>
                <w:w w:val="90"/>
              </w:rPr>
              <w:t>(in thousands)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3"/>
          </w:tcPr>
          <w:p>
            <w:pPr>
              <w:jc w:val="right"/>
              <w:spacing w:after="0"/>
              <w:rPr>
                <w:sz w:val="20"/>
                <w:szCs w:val="20"/>
                <w:color w:val="auto"/>
              </w:rPr>
            </w:pPr>
            <w:r>
              <w:rPr>
                <w:rFonts w:ascii="Arial" w:cs="Arial" w:eastAsia="Arial" w:hAnsi="Arial"/>
                <w:sz w:val="17"/>
                <w:szCs w:val="17"/>
                <w:color w:val="auto"/>
              </w:rPr>
              <w:t>(In thousands)</w:t>
            </w:r>
          </w:p>
        </w:tc>
        <w:tc>
          <w:tcPr>
            <w:tcW w:w="1020" w:type="dxa"/>
            <w:vAlign w:val="bottom"/>
          </w:tcPr>
          <w:p>
            <w:pPr>
              <w:spacing w:after="0"/>
              <w:rPr>
                <w:sz w:val="18"/>
                <w:szCs w:val="18"/>
                <w:color w:val="auto"/>
              </w:rPr>
            </w:pPr>
          </w:p>
        </w:tc>
      </w:tr>
      <w:tr>
        <w:trPr>
          <w:trHeight w:val="220"/>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Proceeds</w:t>
            </w:r>
          </w:p>
        </w:tc>
        <w:tc>
          <w:tcPr>
            <w:tcW w:w="98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034"/>
              <w:spacing w:after="0"/>
              <w:rPr>
                <w:sz w:val="20"/>
                <w:szCs w:val="20"/>
                <w:color w:val="auto"/>
              </w:rPr>
            </w:pPr>
            <w:r>
              <w:rPr>
                <w:rFonts w:ascii="Arial" w:cs="Arial" w:eastAsia="Arial" w:hAnsi="Arial"/>
                <w:sz w:val="17"/>
                <w:szCs w:val="17"/>
                <w:color w:val="auto"/>
                <w:w w:val="84"/>
              </w:rPr>
              <w:t>$</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70,523</w:t>
            </w:r>
          </w:p>
        </w:tc>
      </w:tr>
      <w:tr>
        <w:trPr>
          <w:trHeight w:val="218"/>
        </w:trPr>
        <w:tc>
          <w:tcPr>
            <w:tcW w:w="4880" w:type="dxa"/>
            <w:vAlign w:val="bottom"/>
            <w:gridSpan w:val="2"/>
          </w:tcPr>
          <w:p>
            <w:pPr>
              <w:ind w:left="100"/>
              <w:spacing w:after="0"/>
              <w:rPr>
                <w:sz w:val="20"/>
                <w:szCs w:val="20"/>
                <w:color w:val="auto"/>
              </w:rPr>
            </w:pPr>
            <w:r>
              <w:rPr>
                <w:rFonts w:ascii="Arial" w:cs="Arial" w:eastAsia="Arial" w:hAnsi="Arial"/>
                <w:sz w:val="17"/>
                <w:szCs w:val="17"/>
                <w:color w:val="auto"/>
              </w:rPr>
              <w:t>Gross gains</w:t>
            </w:r>
          </w:p>
        </w:tc>
        <w:tc>
          <w:tcPr>
            <w:tcW w:w="980" w:type="dxa"/>
            <w:vAlign w:val="bottom"/>
          </w:tcPr>
          <w:p>
            <w:pPr>
              <w:spacing w:after="0"/>
              <w:rPr>
                <w:sz w:val="18"/>
                <w:szCs w:val="18"/>
                <w:color w:val="auto"/>
              </w:rPr>
            </w:pPr>
          </w:p>
        </w:tc>
        <w:tc>
          <w:tcPr>
            <w:tcW w:w="6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122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164</w:t>
            </w:r>
          </w:p>
        </w:tc>
      </w:tr>
      <w:tr>
        <w:trPr>
          <w:trHeight w:val="219"/>
        </w:trPr>
        <w:tc>
          <w:tcPr>
            <w:tcW w:w="48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Gross losses</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439</w:t>
            </w:r>
          </w:p>
        </w:tc>
      </w:tr>
      <w:tr>
        <w:trPr>
          <w:trHeight w:val="213"/>
        </w:trPr>
        <w:tc>
          <w:tcPr>
            <w:tcW w:w="4880" w:type="dxa"/>
            <w:vAlign w:val="bottom"/>
            <w:gridSpan w:val="2"/>
          </w:tcPr>
          <w:p>
            <w:pPr>
              <w:ind w:left="20"/>
              <w:spacing w:after="0"/>
              <w:rPr>
                <w:sz w:val="20"/>
                <w:szCs w:val="20"/>
                <w:color w:val="auto"/>
              </w:rPr>
            </w:pPr>
            <w:r>
              <w:rPr>
                <w:rFonts w:ascii="Arial" w:cs="Arial" w:eastAsia="Arial" w:hAnsi="Arial"/>
                <w:sz w:val="17"/>
                <w:szCs w:val="17"/>
                <w:color w:val="auto"/>
              </w:rPr>
              <w:t>Net gains (losses)</w:t>
            </w:r>
          </w:p>
        </w:tc>
        <w:tc>
          <w:tcPr>
            <w:tcW w:w="980" w:type="dxa"/>
            <w:vAlign w:val="bottom"/>
          </w:tcPr>
          <w:p>
            <w:pPr>
              <w:jc w:val="right"/>
              <w:ind w:right="774"/>
              <w:spacing w:after="0"/>
              <w:rPr>
                <w:sz w:val="20"/>
                <w:szCs w:val="20"/>
                <w:color w:val="auto"/>
              </w:rPr>
            </w:pPr>
            <w:r>
              <w:rPr>
                <w:rFonts w:ascii="Arial" w:cs="Arial" w:eastAsia="Arial" w:hAnsi="Arial"/>
                <w:sz w:val="17"/>
                <w:szCs w:val="17"/>
                <w:color w:val="auto"/>
              </w:rPr>
              <w:t>$</w:t>
            </w:r>
          </w:p>
        </w:tc>
        <w:tc>
          <w:tcPr>
            <w:tcW w:w="6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034"/>
              <w:spacing w:after="0"/>
              <w:rPr>
                <w:sz w:val="20"/>
                <w:szCs w:val="20"/>
                <w:color w:val="auto"/>
              </w:rPr>
            </w:pPr>
            <w:r>
              <w:rPr>
                <w:rFonts w:ascii="Arial" w:cs="Arial" w:eastAsia="Arial" w:hAnsi="Arial"/>
                <w:sz w:val="17"/>
                <w:szCs w:val="17"/>
                <w:color w:val="auto"/>
                <w:w w:val="84"/>
              </w:rPr>
              <w:t>$</w:t>
            </w:r>
          </w:p>
        </w:tc>
        <w:tc>
          <w:tcPr>
            <w:tcW w:w="3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(222)</w:t>
            </w:r>
          </w:p>
        </w:tc>
        <w:tc>
          <w:tcPr>
            <w:tcW w:w="80" w:type="dxa"/>
            <w:vAlign w:val="bottom"/>
          </w:tcPr>
          <w:p>
            <w:pPr>
              <w:spacing w:after="0"/>
              <w:rPr>
                <w:sz w:val="18"/>
                <w:szCs w:val="18"/>
                <w:color w:val="auto"/>
              </w:rPr>
            </w:pPr>
          </w:p>
        </w:tc>
        <w:tc>
          <w:tcPr>
            <w:tcW w:w="540" w:type="dxa"/>
            <w:vAlign w:val="bottom"/>
          </w:tcPr>
          <w:p>
            <w:pPr>
              <w:jc w:val="right"/>
              <w:ind w:right="35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(275)</w:t>
            </w:r>
          </w:p>
        </w:tc>
      </w:tr>
      <w:tr>
        <w:trPr>
          <w:trHeight w:val="20"/>
        </w:trPr>
        <w:tc>
          <w:tcPr>
            <w:tcW w:w="3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Portfolio Loans and asset quality. </w:t>
      </w:r>
      <w:r>
        <w:rPr>
          <w:rFonts w:ascii="Arial" w:cs="Arial" w:eastAsia="Arial" w:hAnsi="Arial"/>
          <w:sz w:val="17"/>
          <w:szCs w:val="17"/>
          <w:color w:val="auto"/>
        </w:rPr>
        <w:t>In addition to the communities served by our Bank branch and loan production office network, our principal lending markets</w:t>
      </w:r>
      <w:r>
        <w:rPr>
          <w:rFonts w:ascii="Arial" w:cs="Arial" w:eastAsia="Arial" w:hAnsi="Arial"/>
          <w:sz w:val="17"/>
          <w:szCs w:val="17"/>
          <w:b w:val="1"/>
          <w:bCs w:val="1"/>
          <w:color w:val="auto"/>
        </w:rPr>
        <w:t xml:space="preserve"> </w:t>
      </w:r>
      <w:r>
        <w:rPr>
          <w:rFonts w:ascii="Arial" w:cs="Arial" w:eastAsia="Arial" w:hAnsi="Arial"/>
          <w:sz w:val="17"/>
          <w:szCs w:val="17"/>
          <w:color w:val="auto"/>
        </w:rPr>
        <w:t>also include nearby communities and metropolitan areas. Subject to established underwriting criteria, we also may participate in commercial lending transactions with certain non-affiliated banks and make whole loan purchases from other financial institutions.</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senior management and board of directors of our Bank retain authority and responsibility for credit decisions and we have adopted uniform underwriting standards. Our loan committee structure and the loan review process attempt to provide requisite controls and promote compliance with such established underwriting standards. However, there can be no assurance that our lending procedures and the use of uniform underwriting standards will prevent us from incurring significant credit losses in our lending activities.</w:t>
      </w:r>
    </w:p>
    <w:p>
      <w:pPr>
        <w:spacing w:after="0" w:line="15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generally retain loans that may be profitably funded within established risk parameters. (See “Asset/liability management.”) As a result, we may hold adjustable-rate and fixed rate jumbo mortgage loans as Portfolio Loans, while 15- and 30-year fixed-rate non-jumbo mortgage loans are generally sold to mitigate exposure to changes in interest rates. (See “Non-interest income.”) The retention of newly originated fixed rate jumbo mortgage loans has declined relative to the prior year as the growth in mortgage loans during the first nine months of 2023 has primarily been attributed to the origination of adjustable-rate mortgage loans as well as the continued advances on legacy fixed rate construction mortgage loans. (See “Asset/liability management.”).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180" w:type="dxa"/>
            <w:vAlign w:val="bottom"/>
          </w:tcPr>
          <w:p>
            <w:pPr>
              <w:spacing w:after="0"/>
              <w:rPr>
                <w:sz w:val="20"/>
                <w:szCs w:val="20"/>
                <w:color w:val="auto"/>
              </w:rPr>
            </w:pPr>
            <w:r>
              <w:rPr>
                <w:rFonts w:ascii="Arial" w:cs="Arial" w:eastAsia="Arial" w:hAnsi="Arial"/>
                <w:sz w:val="17"/>
                <w:szCs w:val="17"/>
                <w:color w:val="auto"/>
              </w:rPr>
              <w:t>A summary of our Portfolio Loans follows: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76"/>
        </w:trPr>
        <w:tc>
          <w:tcPr>
            <w:tcW w:w="8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Arial" w:cs="Arial" w:eastAsia="Arial" w:hAnsi="Arial"/>
                <w:sz w:val="17"/>
                <w:szCs w:val="17"/>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174"/>
              <w:spacing w:after="0"/>
              <w:rPr>
                <w:sz w:val="20"/>
                <w:szCs w:val="20"/>
                <w:color w:val="auto"/>
              </w:rPr>
            </w:pPr>
            <w:r>
              <w:rPr>
                <w:rFonts w:ascii="Arial" w:cs="Arial" w:eastAsia="Arial" w:hAnsi="Arial"/>
                <w:sz w:val="17"/>
                <w:szCs w:val="17"/>
                <w:color w:val="auto"/>
                <w:w w:val="95"/>
              </w:rPr>
              <w:t>December 31,</w:t>
            </w:r>
          </w:p>
        </w:tc>
      </w:tr>
      <w:tr>
        <w:trPr>
          <w:trHeight w:val="218"/>
        </w:trPr>
        <w:tc>
          <w:tcPr>
            <w:tcW w:w="8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2023</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2022</w:t>
            </w:r>
          </w:p>
        </w:tc>
      </w:tr>
      <w:tr>
        <w:trPr>
          <w:trHeight w:val="211"/>
        </w:trPr>
        <w:tc>
          <w:tcPr>
            <w:tcW w:w="8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4"/>
          </w:tcPr>
          <w:p>
            <w:pPr>
              <w:jc w:val="right"/>
              <w:ind w:right="934"/>
              <w:spacing w:after="0"/>
              <w:rPr>
                <w:sz w:val="20"/>
                <w:szCs w:val="20"/>
                <w:color w:val="auto"/>
              </w:rPr>
            </w:pPr>
            <w:r>
              <w:rPr>
                <w:rFonts w:ascii="Arial" w:cs="Arial" w:eastAsia="Arial" w:hAnsi="Arial"/>
                <w:sz w:val="17"/>
                <w:szCs w:val="17"/>
                <w:color w:val="auto"/>
              </w:rPr>
              <w:t>(In thousands)</w:t>
            </w:r>
          </w:p>
        </w:tc>
      </w:tr>
      <w:tr>
        <w:trPr>
          <w:trHeight w:val="220"/>
        </w:trPr>
        <w:tc>
          <w:tcPr>
            <w:tcW w:w="8180" w:type="dxa"/>
            <w:vAlign w:val="bottom"/>
          </w:tcPr>
          <w:p>
            <w:pPr>
              <w:ind w:left="20"/>
              <w:spacing w:after="0"/>
              <w:rPr>
                <w:sz w:val="20"/>
                <w:szCs w:val="20"/>
                <w:color w:val="auto"/>
              </w:rPr>
            </w:pPr>
            <w:r>
              <w:rPr>
                <w:rFonts w:ascii="Arial" w:cs="Arial" w:eastAsia="Arial" w:hAnsi="Arial"/>
                <w:sz w:val="17"/>
                <w:szCs w:val="17"/>
                <w:color w:val="auto"/>
              </w:rPr>
              <w:t>Real estate(1)</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0"/>
        </w:trPr>
        <w:tc>
          <w:tcPr>
            <w:tcW w:w="8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Residential first mortgages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1,228,762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1,081,359</w:t>
            </w:r>
          </w:p>
        </w:tc>
      </w:tr>
      <w:tr>
        <w:trPr>
          <w:trHeight w:val="218"/>
        </w:trPr>
        <w:tc>
          <w:tcPr>
            <w:tcW w:w="8180" w:type="dxa"/>
            <w:vAlign w:val="bottom"/>
          </w:tcPr>
          <w:p>
            <w:pPr>
              <w:ind w:left="220"/>
              <w:spacing w:after="0"/>
              <w:rPr>
                <w:sz w:val="20"/>
                <w:szCs w:val="20"/>
                <w:color w:val="auto"/>
              </w:rPr>
            </w:pPr>
            <w:r>
              <w:rPr>
                <w:rFonts w:ascii="Arial" w:cs="Arial" w:eastAsia="Arial" w:hAnsi="Arial"/>
                <w:sz w:val="17"/>
                <w:szCs w:val="17"/>
                <w:color w:val="auto"/>
              </w:rPr>
              <w:t>Residential home equity and other junior mortgages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154,779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138,944</w:t>
            </w:r>
          </w:p>
        </w:tc>
      </w:tr>
      <w:tr>
        <w:trPr>
          <w:trHeight w:val="220"/>
        </w:trPr>
        <w:tc>
          <w:tcPr>
            <w:tcW w:w="8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Construction and land development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266,216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319,157</w:t>
            </w:r>
          </w:p>
        </w:tc>
      </w:tr>
      <w:tr>
        <w:trPr>
          <w:trHeight w:val="218"/>
        </w:trPr>
        <w:tc>
          <w:tcPr>
            <w:tcW w:w="8180" w:type="dxa"/>
            <w:vAlign w:val="bottom"/>
          </w:tcPr>
          <w:p>
            <w:pPr>
              <w:ind w:left="220"/>
              <w:spacing w:after="0"/>
              <w:rPr>
                <w:sz w:val="20"/>
                <w:szCs w:val="20"/>
                <w:color w:val="auto"/>
              </w:rPr>
            </w:pPr>
            <w:r>
              <w:rPr>
                <w:rFonts w:ascii="Arial" w:cs="Arial" w:eastAsia="Arial" w:hAnsi="Arial"/>
                <w:sz w:val="17"/>
                <w:szCs w:val="17"/>
                <w:color w:val="auto"/>
              </w:rPr>
              <w:t>Other(2)</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1,001,648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874,019</w:t>
            </w:r>
          </w:p>
        </w:tc>
      </w:tr>
      <w:tr>
        <w:trPr>
          <w:trHeight w:val="220"/>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Consumer</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633,475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624,047</w:t>
            </w:r>
          </w:p>
        </w:tc>
      </w:tr>
      <w:tr>
        <w:trPr>
          <w:trHeight w:val="218"/>
        </w:trPr>
        <w:tc>
          <w:tcPr>
            <w:tcW w:w="8180" w:type="dxa"/>
            <w:vAlign w:val="bottom"/>
          </w:tcPr>
          <w:p>
            <w:pPr>
              <w:ind w:left="20"/>
              <w:spacing w:after="0"/>
              <w:rPr>
                <w:sz w:val="20"/>
                <w:szCs w:val="20"/>
                <w:color w:val="auto"/>
              </w:rPr>
            </w:pPr>
            <w:r>
              <w:rPr>
                <w:rFonts w:ascii="Arial" w:cs="Arial" w:eastAsia="Arial" w:hAnsi="Arial"/>
                <w:sz w:val="17"/>
                <w:szCs w:val="17"/>
                <w:color w:val="auto"/>
              </w:rPr>
              <w:t>Commercial</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452,267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423,055</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Agricultural</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4,771</w:t>
            </w:r>
          </w:p>
        </w:tc>
      </w:tr>
      <w:tr>
        <w:trPr>
          <w:trHeight w:val="213"/>
        </w:trPr>
        <w:tc>
          <w:tcPr>
            <w:tcW w:w="8180" w:type="dxa"/>
            <w:vAlign w:val="bottom"/>
          </w:tcPr>
          <w:p>
            <w:pPr>
              <w:ind w:left="220"/>
              <w:spacing w:after="0"/>
              <w:rPr>
                <w:sz w:val="20"/>
                <w:szCs w:val="20"/>
                <w:color w:val="auto"/>
              </w:rPr>
            </w:pPr>
            <w:r>
              <w:rPr>
                <w:rFonts w:ascii="Arial" w:cs="Arial" w:eastAsia="Arial" w:hAnsi="Arial"/>
                <w:sz w:val="17"/>
                <w:szCs w:val="17"/>
                <w:color w:val="auto"/>
              </w:rPr>
              <w:t>Total loans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3,741,486</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3,465,352</w:t>
            </w:r>
          </w:p>
        </w:tc>
      </w:tr>
      <w:tr>
        <w:trPr>
          <w:trHeight w:val="20"/>
        </w:trPr>
        <w:tc>
          <w:tcPr>
            <w:tcW w:w="8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w:t>
      </w:r>
    </w:p>
    <w:p>
      <w:pPr>
        <w:spacing w:after="0" w:line="178" w:lineRule="exact"/>
        <w:rPr>
          <w:sz w:val="20"/>
          <w:szCs w:val="20"/>
          <w:color w:val="auto"/>
        </w:rPr>
      </w:pPr>
    </w:p>
    <w:p>
      <w:pPr>
        <w:ind w:left="300" w:hanging="297"/>
        <w:spacing w:after="0"/>
        <w:tabs>
          <w:tab w:leader="none" w:pos="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Includes both residential and non-residential commercial loans secured by real estate.</w:t>
      </w:r>
    </w:p>
    <w:p>
      <w:pPr>
        <w:spacing w:after="0" w:line="21" w:lineRule="exact"/>
        <w:rPr>
          <w:rFonts w:ascii="Arial" w:cs="Arial" w:eastAsia="Arial" w:hAnsi="Arial"/>
          <w:sz w:val="17"/>
          <w:szCs w:val="17"/>
          <w:color w:val="auto"/>
        </w:rPr>
      </w:pPr>
    </w:p>
    <w:p>
      <w:pPr>
        <w:ind w:left="300" w:hanging="297"/>
        <w:spacing w:after="0"/>
        <w:tabs>
          <w:tab w:leader="none" w:pos="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Includes loans secured by multi-family residential and non-farm, non-residential property.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95"/>
        </w:trPr>
        <w:tc>
          <w:tcPr>
            <w:tcW w:w="7960" w:type="dxa"/>
            <w:vAlign w:val="bottom"/>
            <w:gridSpan w:val="2"/>
          </w:tcPr>
          <w:p>
            <w:pPr>
              <w:spacing w:after="0"/>
              <w:rPr>
                <w:sz w:val="20"/>
                <w:szCs w:val="20"/>
                <w:color w:val="auto"/>
              </w:rPr>
            </w:pPr>
            <w:r>
              <w:rPr>
                <w:rFonts w:ascii="Arial" w:cs="Arial" w:eastAsia="Arial" w:hAnsi="Arial"/>
                <w:sz w:val="17"/>
                <w:szCs w:val="17"/>
                <w:i w:val="1"/>
                <w:iCs w:val="1"/>
                <w:color w:val="0000FF"/>
              </w:rPr>
              <w:t>Index</w:t>
            </w: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958"/>
        </w:trPr>
        <w:tc>
          <w:tcPr>
            <w:tcW w:w="7960" w:type="dxa"/>
            <w:vAlign w:val="bottom"/>
            <w:gridSpan w:val="2"/>
          </w:tcPr>
          <w:p>
            <w:pPr>
              <w:spacing w:after="0"/>
              <w:rPr>
                <w:sz w:val="20"/>
                <w:szCs w:val="20"/>
                <w:color w:val="auto"/>
              </w:rPr>
            </w:pPr>
            <w:r>
              <w:rPr>
                <w:rFonts w:ascii="Arial" w:cs="Arial" w:eastAsia="Arial" w:hAnsi="Arial"/>
                <w:sz w:val="17"/>
                <w:szCs w:val="17"/>
                <w:b w:val="1"/>
                <w:bCs w:val="1"/>
                <w:color w:val="auto"/>
              </w:rPr>
              <w:t>Non-performing assets</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76"/>
        </w:trPr>
        <w:tc>
          <w:tcPr>
            <w:tcW w:w="38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7"/>
                <w:szCs w:val="17"/>
                <w:color w:val="auto"/>
              </w:rPr>
              <w:t>September 30,</w:t>
            </w:r>
          </w:p>
        </w:tc>
        <w:tc>
          <w:tcPr>
            <w:tcW w:w="220" w:type="dxa"/>
            <w:vAlign w:val="bottom"/>
          </w:tcPr>
          <w:p>
            <w:pPr>
              <w:spacing w:after="0"/>
              <w:rPr>
                <w:sz w:val="24"/>
                <w:szCs w:val="24"/>
                <w:color w:val="auto"/>
              </w:rPr>
            </w:pPr>
          </w:p>
        </w:tc>
        <w:tc>
          <w:tcPr>
            <w:tcW w:w="1380" w:type="dxa"/>
            <w:vAlign w:val="bottom"/>
          </w:tcPr>
          <w:p>
            <w:pPr>
              <w:jc w:val="right"/>
              <w:ind w:right="234"/>
              <w:spacing w:after="0"/>
              <w:rPr>
                <w:sz w:val="20"/>
                <w:szCs w:val="20"/>
                <w:color w:val="auto"/>
              </w:rPr>
            </w:pPr>
            <w:r>
              <w:rPr>
                <w:rFonts w:ascii="Arial" w:cs="Arial" w:eastAsia="Arial" w:hAnsi="Arial"/>
                <w:sz w:val="17"/>
                <w:szCs w:val="17"/>
                <w:color w:val="auto"/>
                <w:w w:val="97"/>
              </w:rPr>
              <w:t>December 31,</w:t>
            </w:r>
          </w:p>
        </w:tc>
      </w:tr>
      <w:tr>
        <w:trPr>
          <w:trHeight w:val="224"/>
        </w:trPr>
        <w:tc>
          <w:tcPr>
            <w:tcW w:w="38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rPr>
              <w:t>2023</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2022</w:t>
            </w:r>
          </w:p>
        </w:tc>
      </w:tr>
      <w:tr>
        <w:trPr>
          <w:trHeight w:val="218"/>
        </w:trPr>
        <w:tc>
          <w:tcPr>
            <w:tcW w:w="38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80" w:type="dxa"/>
            <w:vAlign w:val="bottom"/>
            <w:gridSpan w:val="4"/>
          </w:tcPr>
          <w:p>
            <w:pPr>
              <w:jc w:val="right"/>
              <w:ind w:right="794"/>
              <w:spacing w:after="0"/>
              <w:rPr>
                <w:sz w:val="20"/>
                <w:szCs w:val="20"/>
                <w:color w:val="auto"/>
              </w:rPr>
            </w:pPr>
            <w:r>
              <w:rPr>
                <w:rFonts w:ascii="Arial" w:cs="Arial" w:eastAsia="Arial" w:hAnsi="Arial"/>
                <w:sz w:val="17"/>
                <w:szCs w:val="17"/>
                <w:color w:val="auto"/>
              </w:rPr>
              <w:t>(Dollars in thousands)</w:t>
            </w:r>
          </w:p>
        </w:tc>
      </w:tr>
      <w:tr>
        <w:trPr>
          <w:trHeight w:val="220"/>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Non-accrual loans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6,969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5,381</w:t>
            </w:r>
          </w:p>
        </w:tc>
      </w:tr>
      <w:tr>
        <w:trPr>
          <w:trHeight w:val="218"/>
        </w:trPr>
        <w:tc>
          <w:tcPr>
            <w:tcW w:w="7960" w:type="dxa"/>
            <w:vAlign w:val="bottom"/>
            <w:gridSpan w:val="2"/>
          </w:tcPr>
          <w:p>
            <w:pPr>
              <w:ind w:left="20"/>
              <w:spacing w:after="0"/>
              <w:rPr>
                <w:sz w:val="20"/>
                <w:szCs w:val="20"/>
                <w:color w:val="auto"/>
              </w:rPr>
            </w:pPr>
            <w:r>
              <w:rPr>
                <w:rFonts w:ascii="Arial" w:cs="Arial" w:eastAsia="Arial" w:hAnsi="Arial"/>
                <w:sz w:val="17"/>
                <w:szCs w:val="17"/>
                <w:color w:val="auto"/>
              </w:rPr>
              <w:t>Loans 90 days or more past due and still accruing interest</w:t>
            </w:r>
          </w:p>
        </w:tc>
        <w:tc>
          <w:tcPr>
            <w:tcW w:w="20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380" w:type="dxa"/>
            <w:vAlign w:val="bottom"/>
          </w:tcPr>
          <w:p>
            <w:pPr>
              <w:jc w:val="right"/>
              <w:ind w:right="114"/>
              <w:spacing w:after="0"/>
              <w:rPr>
                <w:sz w:val="20"/>
                <w:szCs w:val="20"/>
                <w:color w:val="auto"/>
              </w:rPr>
            </w:pPr>
            <w:r>
              <w:rPr>
                <w:rFonts w:ascii="Arial" w:cs="Arial" w:eastAsia="Arial" w:hAnsi="Arial"/>
                <w:sz w:val="17"/>
                <w:szCs w:val="17"/>
                <w:color w:val="auto"/>
              </w:rPr>
              <w:t>—</w:t>
            </w:r>
          </w:p>
        </w:tc>
      </w:tr>
      <w:tr>
        <w:trPr>
          <w:trHeight w:val="213"/>
        </w:trPr>
        <w:tc>
          <w:tcPr>
            <w:tcW w:w="380" w:type="dxa"/>
            <w:vAlign w:val="bottom"/>
            <w:tcBorders>
              <w:top w:val="single" w:sz="8" w:color="CCEEFF"/>
            </w:tcBorders>
            <w:shd w:val="clear" w:color="auto" w:fill="CCEEFF"/>
          </w:tcPr>
          <w:p>
            <w:pPr>
              <w:spacing w:after="0"/>
              <w:rPr>
                <w:sz w:val="18"/>
                <w:szCs w:val="18"/>
                <w:color w:val="auto"/>
              </w:rPr>
            </w:pPr>
          </w:p>
        </w:tc>
        <w:tc>
          <w:tcPr>
            <w:tcW w:w="758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Subtotal</w:t>
            </w:r>
          </w:p>
        </w:tc>
        <w:tc>
          <w:tcPr>
            <w:tcW w:w="2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6,969</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5,381</w:t>
            </w:r>
          </w:p>
        </w:tc>
      </w:tr>
      <w:tr>
        <w:trPr>
          <w:trHeight w:val="218"/>
        </w:trPr>
        <w:tc>
          <w:tcPr>
            <w:tcW w:w="79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Less: Government guaranteed loans</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2,254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1,660</w:t>
            </w:r>
          </w:p>
        </w:tc>
      </w:tr>
      <w:tr>
        <w:trPr>
          <w:trHeight w:val="213"/>
        </w:trPr>
        <w:tc>
          <w:tcPr>
            <w:tcW w:w="380" w:type="dxa"/>
            <w:vAlign w:val="bottom"/>
            <w:shd w:val="clear" w:color="auto" w:fill="CCEEFF"/>
          </w:tcPr>
          <w:p>
            <w:pPr>
              <w:spacing w:after="0"/>
              <w:rPr>
                <w:sz w:val="18"/>
                <w:szCs w:val="18"/>
                <w:color w:val="auto"/>
              </w:rPr>
            </w:pPr>
          </w:p>
        </w:tc>
        <w:tc>
          <w:tcPr>
            <w:tcW w:w="75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Total non-performing loans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4,715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3,721</w:t>
            </w:r>
          </w:p>
        </w:tc>
      </w:tr>
      <w:tr>
        <w:trPr>
          <w:trHeight w:val="218"/>
        </w:trPr>
        <w:tc>
          <w:tcPr>
            <w:tcW w:w="79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real estate and repossessed assets</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443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455</w:t>
            </w:r>
          </w:p>
        </w:tc>
      </w:tr>
      <w:tr>
        <w:trPr>
          <w:trHeight w:val="238"/>
        </w:trPr>
        <w:tc>
          <w:tcPr>
            <w:tcW w:w="380" w:type="dxa"/>
            <w:vAlign w:val="bottom"/>
            <w:tcBorders>
              <w:bottom w:val="single" w:sz="8" w:color="CCEEFF"/>
            </w:tcBorders>
            <w:shd w:val="clear" w:color="auto" w:fill="CCEEFF"/>
          </w:tcPr>
          <w:p>
            <w:pPr>
              <w:spacing w:after="0"/>
              <w:rPr>
                <w:sz w:val="20"/>
                <w:szCs w:val="20"/>
                <w:color w:val="auto"/>
              </w:rPr>
            </w:pPr>
          </w:p>
        </w:tc>
        <w:tc>
          <w:tcPr>
            <w:tcW w:w="7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Total non-performing assets</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5,158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4,176</w:t>
            </w:r>
          </w:p>
        </w:tc>
      </w:tr>
      <w:tr>
        <w:trPr>
          <w:trHeight w:val="20"/>
        </w:trPr>
        <w:tc>
          <w:tcPr>
            <w:tcW w:w="79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7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9"/>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As a percent of Portfolio Loans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8"/>
        </w:trPr>
        <w:tc>
          <w:tcPr>
            <w:tcW w:w="7960" w:type="dxa"/>
            <w:vAlign w:val="bottom"/>
            <w:gridSpan w:val="2"/>
          </w:tcPr>
          <w:p>
            <w:pPr>
              <w:ind w:left="120"/>
              <w:spacing w:after="0"/>
              <w:rPr>
                <w:sz w:val="20"/>
                <w:szCs w:val="20"/>
                <w:color w:val="auto"/>
              </w:rPr>
            </w:pPr>
            <w:r>
              <w:rPr>
                <w:rFonts w:ascii="Arial" w:cs="Arial" w:eastAsia="Arial" w:hAnsi="Arial"/>
                <w:sz w:val="17"/>
                <w:szCs w:val="17"/>
                <w:color w:val="auto"/>
              </w:rPr>
              <w:t>Non-performing loans</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0.13 %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0.11 %</w:t>
            </w:r>
          </w:p>
        </w:tc>
      </w:tr>
      <w:tr>
        <w:trPr>
          <w:trHeight w:val="220"/>
        </w:trPr>
        <w:tc>
          <w:tcPr>
            <w:tcW w:w="79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Allowance for credit losses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1.48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1.51</w:t>
            </w:r>
          </w:p>
        </w:tc>
      </w:tr>
      <w:tr>
        <w:trPr>
          <w:trHeight w:val="218"/>
        </w:trPr>
        <w:tc>
          <w:tcPr>
            <w:tcW w:w="7960" w:type="dxa"/>
            <w:vAlign w:val="bottom"/>
            <w:gridSpan w:val="2"/>
          </w:tcPr>
          <w:p>
            <w:pPr>
              <w:ind w:left="20"/>
              <w:spacing w:after="0"/>
              <w:rPr>
                <w:sz w:val="20"/>
                <w:szCs w:val="20"/>
                <w:color w:val="auto"/>
              </w:rPr>
            </w:pPr>
            <w:r>
              <w:rPr>
                <w:rFonts w:ascii="Arial" w:cs="Arial" w:eastAsia="Arial" w:hAnsi="Arial"/>
                <w:sz w:val="17"/>
                <w:szCs w:val="17"/>
                <w:color w:val="auto"/>
              </w:rPr>
              <w:t>Non-performing assets to total assets</w:t>
            </w:r>
          </w:p>
        </w:tc>
        <w:tc>
          <w:tcPr>
            <w:tcW w:w="200" w:type="dxa"/>
            <w:vAlign w:val="bottom"/>
          </w:tcPr>
          <w:p>
            <w:pPr>
              <w:spacing w:after="0"/>
              <w:rPr>
                <w:sz w:val="18"/>
                <w:szCs w:val="18"/>
                <w:color w:val="auto"/>
              </w:rPr>
            </w:pPr>
          </w:p>
        </w:tc>
        <w:tc>
          <w:tcPr>
            <w:tcW w:w="1400" w:type="dxa"/>
            <w:vAlign w:val="bottom"/>
          </w:tcPr>
          <w:p>
            <w:pPr>
              <w:jc w:val="right"/>
              <w:ind w:right="134"/>
              <w:spacing w:after="0"/>
              <w:rPr>
                <w:sz w:val="20"/>
                <w:szCs w:val="20"/>
                <w:color w:val="auto"/>
              </w:rPr>
            </w:pPr>
            <w:r>
              <w:rPr>
                <w:rFonts w:ascii="Arial" w:cs="Arial" w:eastAsia="Arial" w:hAnsi="Arial"/>
                <w:sz w:val="17"/>
                <w:szCs w:val="17"/>
                <w:color w:val="auto"/>
              </w:rPr>
              <w:t>0.10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14"/>
              <w:spacing w:after="0"/>
              <w:rPr>
                <w:sz w:val="20"/>
                <w:szCs w:val="20"/>
                <w:color w:val="auto"/>
              </w:rPr>
            </w:pPr>
            <w:r>
              <w:rPr>
                <w:rFonts w:ascii="Arial" w:cs="Arial" w:eastAsia="Arial" w:hAnsi="Arial"/>
                <w:sz w:val="17"/>
                <w:szCs w:val="17"/>
                <w:color w:val="auto"/>
              </w:rPr>
              <w:t>0.08</w:t>
            </w:r>
          </w:p>
        </w:tc>
      </w:tr>
      <w:tr>
        <w:trPr>
          <w:trHeight w:val="220"/>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Allowance for credit losses as a percent of non-performing loans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1176.99 %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1409.16</w:t>
            </w:r>
          </w:p>
        </w:tc>
      </w:tr>
    </w:tbl>
    <w:p>
      <w:pPr>
        <w:spacing w:after="0" w:line="24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Non-performing loans have remained relatively stable as a percent of Portfolio Loans since year-end 2022, reflecting generally improving economic conditions and our ongoing collection efforts. Our collection and resolution efforts have generally resulted in a positive trend in non-performing loans.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Other real estate and repossessed assets totaled $0.44 million and $0.46 million at September 30, 2023, and December 31, 2022, respectively.</w:t>
      </w:r>
    </w:p>
    <w:p>
      <w:pPr>
        <w:spacing w:after="0" w:line="178" w:lineRule="exact"/>
        <w:rPr>
          <w:sz w:val="20"/>
          <w:szCs w:val="20"/>
          <w:color w:val="auto"/>
        </w:rPr>
      </w:pPr>
    </w:p>
    <w:p>
      <w:pPr>
        <w:jc w:val="both"/>
        <w:spacing w:after="0" w:line="349" w:lineRule="auto"/>
        <w:rPr>
          <w:sz w:val="20"/>
          <w:szCs w:val="20"/>
          <w:color w:val="auto"/>
        </w:rPr>
      </w:pPr>
      <w:r>
        <w:rPr>
          <w:rFonts w:ascii="Arial" w:cs="Arial" w:eastAsia="Arial" w:hAnsi="Arial"/>
          <w:sz w:val="15"/>
          <w:szCs w:val="15"/>
          <w:color w:val="auto"/>
        </w:rPr>
        <w:t>We will place a loan that is 90 days or more past due on non-accrual, unless we believe the loan is both well secured and in the process of collection. Accordingly, we have determined that the collection of the accrued and unpaid interest on any loans that are 90 days or more past due and still accruing interest is probable.</w:t>
      </w:r>
    </w:p>
    <w:p>
      <w:pPr>
        <w:spacing w:after="0" w:line="91" w:lineRule="exact"/>
        <w:rPr>
          <w:sz w:val="20"/>
          <w:szCs w:val="20"/>
          <w:color w:val="auto"/>
        </w:rPr>
      </w:pPr>
    </w:p>
    <w:p>
      <w:pPr>
        <w:ind w:right="880"/>
        <w:spacing w:after="0" w:line="482" w:lineRule="auto"/>
        <w:rPr>
          <w:sz w:val="20"/>
          <w:szCs w:val="20"/>
          <w:color w:val="auto"/>
        </w:rPr>
      </w:pPr>
      <w:r>
        <w:rPr>
          <w:rFonts w:ascii="Arial" w:cs="Arial" w:eastAsia="Arial" w:hAnsi="Arial"/>
          <w:sz w:val="17"/>
          <w:szCs w:val="17"/>
          <w:color w:val="auto"/>
        </w:rPr>
        <w:t xml:space="preserve">The following tables reflect activity in our ACL on loans, securities and unfunded lending commitments as well as the allocation of our ACL on loans. </w:t>
      </w:r>
      <w:r>
        <w:rPr>
          <w:rFonts w:ascii="Arial" w:cs="Arial" w:eastAsia="Arial" w:hAnsi="Arial"/>
          <w:sz w:val="17"/>
          <w:szCs w:val="17"/>
          <w:b w:val="1"/>
          <w:bCs w:val="1"/>
          <w:color w:val="auto"/>
        </w:rPr>
        <w:t>Allowance for credit losses on loans and unfunded lending commitments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gridSpan w:val="5"/>
          </w:tcPr>
          <w:p>
            <w:pPr>
              <w:jc w:val="center"/>
              <w:ind w:right="120"/>
              <w:spacing w:after="0"/>
              <w:rPr>
                <w:sz w:val="20"/>
                <w:szCs w:val="20"/>
                <w:color w:val="auto"/>
              </w:rPr>
            </w:pPr>
            <w:r>
              <w:rPr>
                <w:rFonts w:ascii="Arial" w:cs="Arial" w:eastAsia="Arial" w:hAnsi="Arial"/>
                <w:sz w:val="17"/>
                <w:szCs w:val="17"/>
                <w:color w:val="auto"/>
                <w:w w:val="90"/>
              </w:rPr>
              <w:t>Nine months ended September 30,</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0"/>
        </w:trPr>
        <w:tc>
          <w:tcPr>
            <w:tcW w:w="34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2023</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2022</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75"/>
        </w:trPr>
        <w:tc>
          <w:tcPr>
            <w:tcW w:w="3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260"/>
              <w:spacing w:after="0" w:line="175" w:lineRule="exact"/>
              <w:rPr>
                <w:sz w:val="20"/>
                <w:szCs w:val="20"/>
                <w:color w:val="auto"/>
              </w:rPr>
            </w:pPr>
            <w:r>
              <w:rPr>
                <w:rFonts w:ascii="Arial" w:cs="Arial" w:eastAsia="Arial" w:hAnsi="Arial"/>
                <w:sz w:val="17"/>
                <w:szCs w:val="17"/>
                <w:color w:val="auto"/>
                <w:w w:val="94"/>
              </w:rPr>
              <w:t>Unfunded</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180"/>
              <w:spacing w:after="0" w:line="175" w:lineRule="exact"/>
              <w:rPr>
                <w:sz w:val="20"/>
                <w:szCs w:val="20"/>
                <w:color w:val="auto"/>
              </w:rPr>
            </w:pPr>
            <w:r>
              <w:rPr>
                <w:rFonts w:ascii="Arial" w:cs="Arial" w:eastAsia="Arial" w:hAnsi="Arial"/>
                <w:sz w:val="17"/>
                <w:szCs w:val="17"/>
                <w:color w:val="auto"/>
                <w:w w:val="92"/>
              </w:rPr>
              <w:t>Unfunded</w:t>
            </w:r>
          </w:p>
        </w:tc>
      </w:tr>
      <w:tr>
        <w:trPr>
          <w:trHeight w:val="218"/>
        </w:trPr>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7"/>
                <w:szCs w:val="17"/>
                <w:color w:val="auto"/>
              </w:rPr>
              <w:t>Loans</w:t>
            </w:r>
          </w:p>
        </w:tc>
        <w:tc>
          <w:tcPr>
            <w:tcW w:w="1100" w:type="dxa"/>
            <w:vAlign w:val="bottom"/>
            <w:gridSpan w:val="3"/>
          </w:tcPr>
          <w:p>
            <w:pPr>
              <w:ind w:left="20"/>
              <w:spacing w:after="0"/>
              <w:rPr>
                <w:sz w:val="20"/>
                <w:szCs w:val="20"/>
                <w:color w:val="auto"/>
              </w:rPr>
            </w:pPr>
            <w:r>
              <w:rPr>
                <w:rFonts w:ascii="Arial" w:cs="Arial" w:eastAsia="Arial" w:hAnsi="Arial"/>
                <w:sz w:val="17"/>
                <w:szCs w:val="17"/>
                <w:color w:val="auto"/>
              </w:rPr>
              <w:t>Securities</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Commitments</w:t>
            </w:r>
          </w:p>
        </w:tc>
        <w:tc>
          <w:tcPr>
            <w:tcW w:w="24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7"/>
                <w:szCs w:val="17"/>
                <w:color w:val="auto"/>
              </w:rPr>
              <w:t>Loans</w:t>
            </w:r>
          </w:p>
        </w:tc>
        <w:tc>
          <w:tcPr>
            <w:tcW w:w="1080" w:type="dxa"/>
            <w:vAlign w:val="bottom"/>
            <w:gridSpan w:val="3"/>
          </w:tcPr>
          <w:p>
            <w:pPr>
              <w:spacing w:after="0"/>
              <w:rPr>
                <w:sz w:val="20"/>
                <w:szCs w:val="20"/>
                <w:color w:val="auto"/>
              </w:rPr>
            </w:pPr>
            <w:r>
              <w:rPr>
                <w:rFonts w:ascii="Arial" w:cs="Arial" w:eastAsia="Arial" w:hAnsi="Arial"/>
                <w:sz w:val="17"/>
                <w:szCs w:val="17"/>
                <w:color w:val="auto"/>
              </w:rPr>
              <w:t>Securities</w:t>
            </w:r>
          </w:p>
        </w:tc>
        <w:tc>
          <w:tcPr>
            <w:tcW w:w="16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7"/>
                <w:szCs w:val="17"/>
                <w:color w:val="auto"/>
                <w:w w:val="91"/>
              </w:rPr>
              <w:t>Commitments</w:t>
            </w:r>
          </w:p>
        </w:tc>
      </w:tr>
      <w:tr>
        <w:trPr>
          <w:trHeight w:val="212"/>
        </w:trPr>
        <w:tc>
          <w:tcPr>
            <w:tcW w:w="34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60" w:type="dxa"/>
            <w:vAlign w:val="bottom"/>
            <w:tcBorders>
              <w:top w:val="single" w:sz="8" w:color="auto"/>
            </w:tcBorders>
            <w:gridSpan w:val="5"/>
          </w:tcPr>
          <w:p>
            <w:pPr>
              <w:jc w:val="center"/>
              <w:ind w:right="120"/>
              <w:spacing w:after="0"/>
              <w:rPr>
                <w:sz w:val="20"/>
                <w:szCs w:val="20"/>
                <w:color w:val="auto"/>
              </w:rPr>
            </w:pPr>
            <w:r>
              <w:rPr>
                <w:rFonts w:ascii="Arial" w:cs="Arial" w:eastAsia="Arial" w:hAnsi="Arial"/>
                <w:sz w:val="17"/>
                <w:szCs w:val="17"/>
                <w:color w:val="auto"/>
                <w:w w:val="93"/>
              </w:rPr>
              <w:t>(Dollars in thousands)</w:t>
            </w: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0"/>
        </w:trPr>
        <w:tc>
          <w:tcPr>
            <w:tcW w:w="3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beginning of period</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52,435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47,252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4,481</w:t>
            </w:r>
          </w:p>
        </w:tc>
        <w:tc>
          <w:tcPr>
            <w:tcW w:w="20" w:type="dxa"/>
            <w:vAlign w:val="bottom"/>
          </w:tcPr>
          <w:p>
            <w:pPr>
              <w:spacing w:after="0"/>
              <w:rPr>
                <w:sz w:val="19"/>
                <w:szCs w:val="19"/>
                <w:color w:val="auto"/>
              </w:rPr>
            </w:pPr>
          </w:p>
        </w:tc>
      </w:tr>
      <w:tr>
        <w:trPr>
          <w:trHeight w:val="218"/>
        </w:trPr>
        <w:tc>
          <w:tcPr>
            <w:tcW w:w="3480" w:type="dxa"/>
            <w:vAlign w:val="bottom"/>
          </w:tcPr>
          <w:p>
            <w:pPr>
              <w:ind w:left="20"/>
              <w:spacing w:after="0"/>
              <w:rPr>
                <w:sz w:val="20"/>
                <w:szCs w:val="20"/>
                <w:color w:val="auto"/>
              </w:rPr>
            </w:pPr>
            <w:r>
              <w:rPr>
                <w:rFonts w:ascii="Arial" w:cs="Arial" w:eastAsia="Arial" w:hAnsi="Arial"/>
                <w:sz w:val="17"/>
                <w:szCs w:val="17"/>
                <w:color w:val="auto"/>
              </w:rPr>
              <w:t>Additions (deductions)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0"/>
        </w:trPr>
        <w:tc>
          <w:tcPr>
            <w:tcW w:w="34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Provision for credit losses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3,840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3,783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r>
      <w:tr>
        <w:trPr>
          <w:trHeight w:val="218"/>
        </w:trPr>
        <w:tc>
          <w:tcPr>
            <w:tcW w:w="3480" w:type="dxa"/>
            <w:vAlign w:val="bottom"/>
          </w:tcPr>
          <w:p>
            <w:pPr>
              <w:ind w:left="120"/>
              <w:spacing w:after="0"/>
              <w:rPr>
                <w:sz w:val="20"/>
                <w:szCs w:val="20"/>
                <w:color w:val="auto"/>
              </w:rPr>
            </w:pPr>
            <w:r>
              <w:rPr>
                <w:rFonts w:ascii="Arial" w:cs="Arial" w:eastAsia="Arial" w:hAnsi="Arial"/>
                <w:sz w:val="17"/>
                <w:szCs w:val="17"/>
                <w:color w:val="auto"/>
              </w:rPr>
              <w:t>Recoveries credited to allowance</w:t>
            </w:r>
          </w:p>
        </w:tc>
        <w:tc>
          <w:tcPr>
            <w:tcW w:w="260" w:type="dxa"/>
            <w:vAlign w:val="bottom"/>
          </w:tcPr>
          <w:p>
            <w:pPr>
              <w:spacing w:after="0"/>
              <w:rPr>
                <w:sz w:val="18"/>
                <w:szCs w:val="18"/>
                <w:color w:val="auto"/>
              </w:rPr>
            </w:pPr>
          </w:p>
        </w:tc>
        <w:tc>
          <w:tcPr>
            <w:tcW w:w="1000" w:type="dxa"/>
            <w:vAlign w:val="bottom"/>
          </w:tcPr>
          <w:p>
            <w:pPr>
              <w:jc w:val="right"/>
              <w:ind w:right="34"/>
              <w:spacing w:after="0"/>
              <w:rPr>
                <w:sz w:val="20"/>
                <w:szCs w:val="20"/>
                <w:color w:val="auto"/>
              </w:rPr>
            </w:pPr>
            <w:r>
              <w:rPr>
                <w:rFonts w:ascii="Arial" w:cs="Arial" w:eastAsia="Arial" w:hAnsi="Arial"/>
                <w:sz w:val="17"/>
                <w:szCs w:val="17"/>
                <w:color w:val="auto"/>
              </w:rPr>
              <w:t>2,082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00" w:type="dxa"/>
            <w:vAlign w:val="bottom"/>
          </w:tcPr>
          <w:p>
            <w:pPr>
              <w:jc w:val="right"/>
              <w:ind w:right="34"/>
              <w:spacing w:after="0"/>
              <w:rPr>
                <w:sz w:val="20"/>
                <w:szCs w:val="20"/>
                <w:color w:val="auto"/>
              </w:rPr>
            </w:pPr>
            <w:r>
              <w:rPr>
                <w:rFonts w:ascii="Arial" w:cs="Arial" w:eastAsia="Arial" w:hAnsi="Arial"/>
                <w:sz w:val="17"/>
                <w:szCs w:val="17"/>
                <w:color w:val="auto"/>
              </w:rPr>
              <w:t>2,004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20"/>
        </w:trPr>
        <w:tc>
          <w:tcPr>
            <w:tcW w:w="34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Assets charged against the allowance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(2,862)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(1,897)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r>
      <w:tr>
        <w:trPr>
          <w:trHeight w:val="218"/>
        </w:trPr>
        <w:tc>
          <w:tcPr>
            <w:tcW w:w="3480" w:type="dxa"/>
            <w:vAlign w:val="bottom"/>
          </w:tcPr>
          <w:p>
            <w:pPr>
              <w:ind w:left="20"/>
              <w:spacing w:after="0"/>
              <w:rPr>
                <w:sz w:val="20"/>
                <w:szCs w:val="20"/>
                <w:color w:val="auto"/>
              </w:rPr>
            </w:pPr>
            <w:r>
              <w:rPr>
                <w:rFonts w:ascii="Arial" w:cs="Arial" w:eastAsia="Arial" w:hAnsi="Arial"/>
                <w:sz w:val="17"/>
                <w:szCs w:val="17"/>
                <w:color w:val="auto"/>
              </w:rPr>
              <w:t>Additions included in non-interest expense</w:t>
            </w: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676</w:t>
            </w:r>
          </w:p>
        </w:tc>
        <w:tc>
          <w:tcPr>
            <w:tcW w:w="20" w:type="dxa"/>
            <w:vAlign w:val="bottom"/>
          </w:tcPr>
          <w:p>
            <w:pPr>
              <w:spacing w:after="0"/>
              <w:rPr>
                <w:sz w:val="18"/>
                <w:szCs w:val="18"/>
                <w:color w:val="auto"/>
              </w:rPr>
            </w:pPr>
          </w:p>
        </w:tc>
      </w:tr>
      <w:tr>
        <w:trPr>
          <w:trHeight w:val="238"/>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end of period</w:t>
            </w: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55,495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51,142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5,157</w:t>
            </w:r>
          </w:p>
        </w:tc>
        <w:tc>
          <w:tcPr>
            <w:tcW w:w="20" w:type="dxa"/>
            <w:vAlign w:val="bottom"/>
          </w:tcPr>
          <w:p>
            <w:pPr>
              <w:spacing w:after="0"/>
              <w:rPr>
                <w:sz w:val="20"/>
                <w:szCs w:val="20"/>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3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1"/>
        </w:trPr>
        <w:tc>
          <w:tcPr>
            <w:tcW w:w="3480" w:type="dxa"/>
            <w:vAlign w:val="bottom"/>
            <w:shd w:val="clear" w:color="auto" w:fill="CCEEFF"/>
          </w:tcPr>
          <w:p>
            <w:pPr>
              <w:ind w:left="20"/>
              <w:spacing w:after="0" w:line="181" w:lineRule="exact"/>
              <w:rPr>
                <w:sz w:val="20"/>
                <w:szCs w:val="20"/>
                <w:color w:val="auto"/>
              </w:rPr>
            </w:pPr>
            <w:r>
              <w:rPr>
                <w:rFonts w:ascii="Arial" w:cs="Arial" w:eastAsia="Arial" w:hAnsi="Arial"/>
                <w:sz w:val="17"/>
                <w:szCs w:val="17"/>
                <w:color w:val="auto"/>
              </w:rPr>
              <w:t>Net loans charged (recovered) against the</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9"/>
        </w:trPr>
        <w:tc>
          <w:tcPr>
            <w:tcW w:w="34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allowance to average Portfolio Loans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0.03 %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875"/>
        </w:trPr>
        <w:tc>
          <w:tcPr>
            <w:tcW w:w="3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ind w:right="54"/>
              <w:spacing w:after="0"/>
              <w:rPr>
                <w:sz w:val="20"/>
                <w:szCs w:val="20"/>
                <w:color w:val="auto"/>
              </w:rPr>
            </w:pPr>
            <w:r>
              <w:rPr>
                <w:rFonts w:ascii="Arial" w:cs="Arial" w:eastAsia="Arial" w:hAnsi="Arial"/>
                <w:sz w:val="17"/>
                <w:szCs w:val="17"/>
                <w:color w:val="auto"/>
              </w:rPr>
              <w:t>75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34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95"/>
        </w:trPr>
        <w:tc>
          <w:tcPr>
            <w:tcW w:w="8180" w:type="dxa"/>
            <w:vAlign w:val="bottom"/>
            <w:gridSpan w:val="2"/>
          </w:tcPr>
          <w:p>
            <w:pPr>
              <w:spacing w:after="0"/>
              <w:rPr>
                <w:sz w:val="20"/>
                <w:szCs w:val="20"/>
                <w:color w:val="auto"/>
              </w:rPr>
            </w:pPr>
            <w:r>
              <w:rPr>
                <w:rFonts w:ascii="Arial" w:cs="Arial" w:eastAsia="Arial" w:hAnsi="Arial"/>
                <w:sz w:val="17"/>
                <w:szCs w:val="17"/>
                <w:i w:val="1"/>
                <w:iCs w:val="1"/>
                <w:color w:val="0000FF"/>
              </w:rPr>
              <w:t>Index</w:t>
            </w: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958"/>
        </w:trPr>
        <w:tc>
          <w:tcPr>
            <w:tcW w:w="8180" w:type="dxa"/>
            <w:vAlign w:val="bottom"/>
            <w:gridSpan w:val="2"/>
          </w:tcPr>
          <w:p>
            <w:pPr>
              <w:spacing w:after="0"/>
              <w:rPr>
                <w:sz w:val="20"/>
                <w:szCs w:val="20"/>
                <w:color w:val="auto"/>
              </w:rPr>
            </w:pPr>
            <w:r>
              <w:rPr>
                <w:rFonts w:ascii="Arial" w:cs="Arial" w:eastAsia="Arial" w:hAnsi="Arial"/>
                <w:sz w:val="17"/>
                <w:szCs w:val="17"/>
                <w:b w:val="1"/>
                <w:bCs w:val="1"/>
                <w:color w:val="auto"/>
              </w:rPr>
              <w:t>Allocation of the Allowance for Credit Losses on Loans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6"/>
        </w:trPr>
        <w:tc>
          <w:tcPr>
            <w:tcW w:w="38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Arial" w:cs="Arial" w:eastAsia="Arial" w:hAnsi="Arial"/>
                <w:sz w:val="17"/>
                <w:szCs w:val="17"/>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174"/>
              <w:spacing w:after="0"/>
              <w:rPr>
                <w:sz w:val="20"/>
                <w:szCs w:val="20"/>
                <w:color w:val="auto"/>
              </w:rPr>
            </w:pPr>
            <w:r>
              <w:rPr>
                <w:rFonts w:ascii="Arial" w:cs="Arial" w:eastAsia="Arial" w:hAnsi="Arial"/>
                <w:sz w:val="17"/>
                <w:szCs w:val="17"/>
                <w:color w:val="auto"/>
                <w:w w:val="95"/>
              </w:rPr>
              <w:t>December 31,</w:t>
            </w:r>
          </w:p>
        </w:tc>
      </w:tr>
      <w:tr>
        <w:trPr>
          <w:trHeight w:val="224"/>
        </w:trPr>
        <w:tc>
          <w:tcPr>
            <w:tcW w:w="380" w:type="dxa"/>
            <w:vAlign w:val="bottom"/>
          </w:tcPr>
          <w:p>
            <w:pPr>
              <w:spacing w:after="0"/>
              <w:rPr>
                <w:sz w:val="19"/>
                <w:szCs w:val="19"/>
                <w:color w:val="auto"/>
              </w:rPr>
            </w:pPr>
          </w:p>
        </w:tc>
        <w:tc>
          <w:tcPr>
            <w:tcW w:w="7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2023</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2022</w:t>
            </w:r>
          </w:p>
        </w:tc>
      </w:tr>
      <w:tr>
        <w:trPr>
          <w:trHeight w:val="218"/>
        </w:trPr>
        <w:tc>
          <w:tcPr>
            <w:tcW w:w="38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4"/>
          </w:tcPr>
          <w:p>
            <w:pPr>
              <w:jc w:val="right"/>
              <w:ind w:right="674"/>
              <w:spacing w:after="0"/>
              <w:rPr>
                <w:sz w:val="20"/>
                <w:szCs w:val="20"/>
                <w:color w:val="auto"/>
              </w:rPr>
            </w:pPr>
            <w:r>
              <w:rPr>
                <w:rFonts w:ascii="Arial" w:cs="Arial" w:eastAsia="Arial" w:hAnsi="Arial"/>
                <w:sz w:val="17"/>
                <w:szCs w:val="17"/>
                <w:color w:val="auto"/>
              </w:rPr>
              <w:t>(Dollars in thousands)</w:t>
            </w:r>
          </w:p>
        </w:tc>
      </w:tr>
      <w:tr>
        <w:trPr>
          <w:trHeight w:val="22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Specific allocations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2,078</w:t>
            </w:r>
          </w:p>
        </w:tc>
      </w:tr>
      <w:tr>
        <w:trPr>
          <w:trHeight w:val="218"/>
        </w:trPr>
        <w:tc>
          <w:tcPr>
            <w:tcW w:w="8180" w:type="dxa"/>
            <w:vAlign w:val="bottom"/>
            <w:gridSpan w:val="2"/>
          </w:tcPr>
          <w:p>
            <w:pPr>
              <w:ind w:left="20"/>
              <w:spacing w:after="0"/>
              <w:rPr>
                <w:sz w:val="20"/>
                <w:szCs w:val="20"/>
                <w:color w:val="auto"/>
              </w:rPr>
            </w:pPr>
            <w:r>
              <w:rPr>
                <w:rFonts w:ascii="Arial" w:cs="Arial" w:eastAsia="Arial" w:hAnsi="Arial"/>
                <w:sz w:val="17"/>
                <w:szCs w:val="17"/>
                <w:color w:val="auto"/>
              </w:rPr>
              <w:t>Pooled analysis allocations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39,173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37,662</w:t>
            </w:r>
          </w:p>
        </w:tc>
      </w:tr>
      <w:tr>
        <w:trPr>
          <w:trHeight w:val="21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Additional allocations based on subjective factors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13,740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12,695</w:t>
            </w:r>
          </w:p>
        </w:tc>
      </w:tr>
      <w:tr>
        <w:trPr>
          <w:trHeight w:val="213"/>
        </w:trPr>
        <w:tc>
          <w:tcPr>
            <w:tcW w:w="818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55,495</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52,435</w:t>
            </w:r>
          </w:p>
        </w:tc>
      </w:tr>
      <w:tr>
        <w:trPr>
          <w:trHeight w:val="20"/>
        </w:trPr>
        <w:tc>
          <w:tcPr>
            <w:tcW w:w="38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Some loans will not be repaid in full. Therefore, an ACL on loans is maintained at a level which represents our best estimate of expected credit losses. Our ACL on loans is comprised of three principal elements: (i) specific analysis of individual loans identified during the review of the loan portfolio, (ii) pooled analysis of loans with similar risk characteristics based on historical experience, adjusted for current conditions, reasonable and supportable forecasts, and expected prepayments, and (iii) additional allowances based on subjective factors, including local and general economic business factors and trends, portfolio concentrations and changes in the size and/or the general terms of the loan portfolios. See note #4 to the Condensed Consolidated Financial Statements included within this report for further discussion on the ACL on loans.</w:t>
      </w:r>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we use relevant information to recognize losses on loans, additional provisions for related losses may be necessary based on changes in economic conditions, customer circumstances and other credit risk factors.</w:t>
      </w:r>
    </w:p>
    <w:p>
      <w:pPr>
        <w:spacing w:after="0" w:line="12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ACL increased $3.1 million to $55.5 million at September 30, 2023 from $52.4 million at December 31, 2022, and was equal to 1.48% and 1.51% of total Portfolio Loans at September 30, 2023, and December 31, 2022, respectively.</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Since December 31, 2022, the ACL related to specific loans increased $0.5 million due primarily to one commercial loan addition in the second quarter that was partially offset by a partial charge-off of a different commercial loan during the first quarter. The ACL related to pooled analysis of loans increased $1.5 million due primarily to loan growth. The ACL related to subjective factors increased $0.6 million also reflecting loan growth.</w:t>
      </w:r>
    </w:p>
    <w:p>
      <w:pPr>
        <w:spacing w:after="0" w:line="13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Deposits and borrowings. </w:t>
      </w:r>
      <w:r>
        <w:rPr>
          <w:rFonts w:ascii="Arial" w:cs="Arial" w:eastAsia="Arial" w:hAnsi="Arial"/>
          <w:sz w:val="16"/>
          <w:szCs w:val="16"/>
          <w:color w:val="auto"/>
        </w:rPr>
        <w:t>Historically, the loyalty of our customer base has allowed us to price deposits competitively, contributing to a net interest margin that</w:t>
      </w:r>
      <w:r>
        <w:rPr>
          <w:rFonts w:ascii="Arial" w:cs="Arial" w:eastAsia="Arial" w:hAnsi="Arial"/>
          <w:sz w:val="16"/>
          <w:szCs w:val="16"/>
          <w:b w:val="1"/>
          <w:bCs w:val="1"/>
          <w:color w:val="auto"/>
        </w:rPr>
        <w:t xml:space="preserve"> </w:t>
      </w:r>
      <w:r>
        <w:rPr>
          <w:rFonts w:ascii="Arial" w:cs="Arial" w:eastAsia="Arial" w:hAnsi="Arial"/>
          <w:sz w:val="16"/>
          <w:szCs w:val="16"/>
          <w:color w:val="auto"/>
        </w:rPr>
        <w:t>generally compares favorably to our peers. However, we still face a significant amount of competition for deposits within many of the markets served by our branch network, which limits our ability to materially increase deposits without adversely impacting the weighted-average cost of core deposits.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To attract new core deposits, we have implemented various account acquisition strategies as well as branch staff sales training. Account acquisition initiatives have historically generated increases in customer relationships. Over the past several years, we have also expanded our treasury management products and services for commercial businesses and municipalities or other governmental units and have also increased our sales calling efforts in order to attract additional deposit relationships from these sectors. We view long-term core deposit growth as an important objective. Core deposits generally provide a more stable and lower cost source of funds than alternative sources such as short-term borrowings. (See “Liquidity and capital resources.”)</w:t>
      </w:r>
    </w:p>
    <w:p>
      <w:pPr>
        <w:spacing w:after="0" w:line="14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Deposits totaled $4.59 billion and $4.38 billion at September 30, 2023, and December 31, 2022, respectively. The increase in deposits is primarily due to growth in reciprocal deposits, time deposits and brokered time deposits that were partially offset by decreases in non-interest bearing and savings and interest-bearing checking deposits. Reciprocal deposits totaled $799.9 million and $602.6 million at September 30, 2023 and December 31, 2022, respectively. These deposits represent demand, money market and time deposits from our customers that have been placed through IntraFi Network. This service allows our customers to access multi-million dollar FDIC deposit insurance on deposit balances greater than the standard FDIC insurance maximum.</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auto"/>
        </w:rPr>
        <w:t>We cannot be sure that we will be able to maintain our current level of core deposits. In particular, those deposits that are uninsured may be susceptible to outflow.</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Data relating to our deposit portfolios (excluding brokered time) follows: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jc w:val="right"/>
              <w:ind w:right="414"/>
              <w:spacing w:after="0"/>
              <w:rPr>
                <w:sz w:val="20"/>
                <w:szCs w:val="20"/>
                <w:color w:val="auto"/>
              </w:rPr>
            </w:pPr>
            <w:r>
              <w:rPr>
                <w:rFonts w:ascii="Arial" w:cs="Arial" w:eastAsia="Arial" w:hAnsi="Arial"/>
                <w:sz w:val="17"/>
                <w:szCs w:val="17"/>
                <w:color w:val="auto"/>
              </w:rPr>
              <w:t>September 30,</w:t>
            </w:r>
          </w:p>
        </w:tc>
        <w:tc>
          <w:tcPr>
            <w:tcW w:w="320" w:type="dxa"/>
            <w:vAlign w:val="bottom"/>
          </w:tcPr>
          <w:p>
            <w:pPr>
              <w:spacing w:after="0"/>
              <w:rPr>
                <w:sz w:val="16"/>
                <w:szCs w:val="16"/>
                <w:color w:val="auto"/>
              </w:rPr>
            </w:pPr>
          </w:p>
        </w:tc>
        <w:tc>
          <w:tcPr>
            <w:tcW w:w="1580" w:type="dxa"/>
            <w:vAlign w:val="bottom"/>
          </w:tcPr>
          <w:p>
            <w:pPr>
              <w:jc w:val="right"/>
              <w:ind w:right="354"/>
              <w:spacing w:after="0"/>
              <w:rPr>
                <w:sz w:val="20"/>
                <w:szCs w:val="20"/>
                <w:color w:val="auto"/>
              </w:rPr>
            </w:pPr>
            <w:r>
              <w:rPr>
                <w:rFonts w:ascii="Arial" w:cs="Arial" w:eastAsia="Arial" w:hAnsi="Arial"/>
                <w:sz w:val="17"/>
                <w:szCs w:val="17"/>
                <w:color w:val="auto"/>
              </w:rPr>
              <w:t>December 31,</w:t>
            </w:r>
          </w:p>
        </w:tc>
      </w:tr>
      <w:tr>
        <w:trPr>
          <w:trHeight w:val="218"/>
        </w:trPr>
        <w:tc>
          <w:tcPr>
            <w:tcW w:w="7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734"/>
              <w:spacing w:after="0"/>
              <w:rPr>
                <w:sz w:val="20"/>
                <w:szCs w:val="20"/>
                <w:color w:val="auto"/>
              </w:rPr>
            </w:pPr>
            <w:r>
              <w:rPr>
                <w:rFonts w:ascii="Arial" w:cs="Arial" w:eastAsia="Arial" w:hAnsi="Arial"/>
                <w:sz w:val="17"/>
                <w:szCs w:val="17"/>
                <w:color w:val="auto"/>
              </w:rPr>
              <w:t>2023</w:t>
            </w: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color w:val="auto"/>
              </w:rPr>
              <w:t>2022</w:t>
            </w:r>
          </w:p>
        </w:tc>
      </w:tr>
      <w:tr>
        <w:trPr>
          <w:trHeight w:val="212"/>
        </w:trPr>
        <w:tc>
          <w:tcPr>
            <w:tcW w:w="7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60" w:type="dxa"/>
            <w:vAlign w:val="bottom"/>
            <w:gridSpan w:val="3"/>
          </w:tcPr>
          <w:p>
            <w:pPr>
              <w:jc w:val="right"/>
              <w:ind w:right="1054"/>
              <w:spacing w:after="0"/>
              <w:rPr>
                <w:sz w:val="20"/>
                <w:szCs w:val="20"/>
                <w:color w:val="auto"/>
              </w:rPr>
            </w:pPr>
            <w:r>
              <w:rPr>
                <w:rFonts w:ascii="Arial" w:cs="Arial" w:eastAsia="Arial" w:hAnsi="Arial"/>
                <w:sz w:val="17"/>
                <w:szCs w:val="17"/>
                <w:color w:val="auto"/>
              </w:rPr>
              <w:t>(Dollars in thousands)</w:t>
            </w:r>
          </w:p>
        </w:tc>
      </w:tr>
      <w:tr>
        <w:trPr>
          <w:trHeight w:val="220"/>
        </w:trPr>
        <w:tc>
          <w:tcPr>
            <w:tcW w:w="7340" w:type="dxa"/>
            <w:vAlign w:val="bottom"/>
            <w:shd w:val="clear" w:color="auto" w:fill="CCEEFF"/>
          </w:tcPr>
          <w:p>
            <w:pPr>
              <w:ind w:left="80"/>
              <w:spacing w:after="0"/>
              <w:rPr>
                <w:sz w:val="20"/>
                <w:szCs w:val="20"/>
                <w:color w:val="auto"/>
              </w:rPr>
            </w:pPr>
            <w:r>
              <w:rPr>
                <w:rFonts w:ascii="Arial" w:cs="Arial" w:eastAsia="Arial" w:hAnsi="Arial"/>
                <w:sz w:val="17"/>
                <w:szCs w:val="17"/>
                <w:color w:val="auto"/>
              </w:rPr>
              <w:t>Uninsured deposits (1)</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6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1,010,891</w:t>
            </w:r>
          </w:p>
        </w:tc>
        <w:tc>
          <w:tcPr>
            <w:tcW w:w="32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975,938</w:t>
            </w:r>
          </w:p>
        </w:tc>
      </w:tr>
      <w:tr>
        <w:trPr>
          <w:trHeight w:val="218"/>
        </w:trPr>
        <w:tc>
          <w:tcPr>
            <w:tcW w:w="7340" w:type="dxa"/>
            <w:vAlign w:val="bottom"/>
          </w:tcPr>
          <w:p>
            <w:pPr>
              <w:ind w:left="80"/>
              <w:spacing w:after="0"/>
              <w:rPr>
                <w:sz w:val="20"/>
                <w:szCs w:val="20"/>
                <w:color w:val="auto"/>
              </w:rPr>
            </w:pPr>
            <w:r>
              <w:rPr>
                <w:rFonts w:ascii="Arial" w:cs="Arial" w:eastAsia="Arial" w:hAnsi="Arial"/>
                <w:sz w:val="17"/>
                <w:szCs w:val="17"/>
                <w:color w:val="auto"/>
              </w:rPr>
              <w:t>Uninsured deposits as a percentage of deposits</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23.2 %</w:t>
            </w: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23.4 %</w:t>
            </w:r>
          </w:p>
        </w:tc>
      </w:tr>
      <w:tr>
        <w:trPr>
          <w:trHeight w:val="220"/>
        </w:trPr>
        <w:tc>
          <w:tcPr>
            <w:tcW w:w="7340" w:type="dxa"/>
            <w:vAlign w:val="bottom"/>
            <w:shd w:val="clear" w:color="auto" w:fill="CCEEFF"/>
          </w:tcPr>
          <w:p>
            <w:pPr>
              <w:ind w:left="80"/>
              <w:spacing w:after="0"/>
              <w:rPr>
                <w:sz w:val="20"/>
                <w:szCs w:val="20"/>
                <w:color w:val="auto"/>
              </w:rPr>
            </w:pPr>
            <w:r>
              <w:rPr>
                <w:rFonts w:ascii="Arial" w:cs="Arial" w:eastAsia="Arial" w:hAnsi="Arial"/>
                <w:sz w:val="17"/>
                <w:szCs w:val="17"/>
                <w:color w:val="auto"/>
              </w:rPr>
              <w:t>Average deposit account size</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6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20.42</w:t>
            </w:r>
          </w:p>
        </w:tc>
        <w:tc>
          <w:tcPr>
            <w:tcW w:w="32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19.33</w:t>
            </w:r>
          </w:p>
        </w:tc>
      </w:tr>
      <w:tr>
        <w:trPr>
          <w:trHeight w:val="218"/>
        </w:trPr>
        <w:tc>
          <w:tcPr>
            <w:tcW w:w="7340" w:type="dxa"/>
            <w:vAlign w:val="bottom"/>
          </w:tcPr>
          <w:p>
            <w:pPr>
              <w:ind w:left="80"/>
              <w:spacing w:after="0"/>
              <w:rPr>
                <w:sz w:val="20"/>
                <w:szCs w:val="20"/>
                <w:color w:val="auto"/>
              </w:rPr>
            </w:pPr>
            <w:r>
              <w:rPr>
                <w:rFonts w:ascii="Arial" w:cs="Arial" w:eastAsia="Arial" w:hAnsi="Arial"/>
                <w:sz w:val="17"/>
                <w:szCs w:val="17"/>
                <w:color w:val="auto"/>
              </w:rPr>
              <w:t>Balance of top 100 largest depositors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660" w:type="dxa"/>
            <w:vAlign w:val="bottom"/>
          </w:tcPr>
          <w:p>
            <w:pPr>
              <w:jc w:val="right"/>
              <w:ind w:right="174"/>
              <w:spacing w:after="0"/>
              <w:rPr>
                <w:sz w:val="20"/>
                <w:szCs w:val="20"/>
                <w:color w:val="auto"/>
              </w:rPr>
            </w:pPr>
            <w:r>
              <w:rPr>
                <w:rFonts w:ascii="Arial" w:cs="Arial" w:eastAsia="Arial" w:hAnsi="Arial"/>
                <w:sz w:val="17"/>
                <w:szCs w:val="17"/>
                <w:color w:val="auto"/>
              </w:rPr>
              <w:t>915,587</w:t>
            </w:r>
          </w:p>
        </w:tc>
        <w:tc>
          <w:tcPr>
            <w:tcW w:w="32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580" w:type="dxa"/>
            <w:vAlign w:val="bottom"/>
          </w:tcPr>
          <w:p>
            <w:pPr>
              <w:jc w:val="right"/>
              <w:ind w:right="114"/>
              <w:spacing w:after="0"/>
              <w:rPr>
                <w:sz w:val="20"/>
                <w:szCs w:val="20"/>
                <w:color w:val="auto"/>
              </w:rPr>
            </w:pPr>
            <w:r>
              <w:rPr>
                <w:rFonts w:ascii="Arial" w:cs="Arial" w:eastAsia="Arial" w:hAnsi="Arial"/>
                <w:sz w:val="17"/>
                <w:szCs w:val="17"/>
                <w:color w:val="auto"/>
              </w:rPr>
              <w:t>752,924</w:t>
            </w:r>
          </w:p>
        </w:tc>
      </w:tr>
      <w:tr>
        <w:trPr>
          <w:trHeight w:val="220"/>
        </w:trPr>
        <w:tc>
          <w:tcPr>
            <w:tcW w:w="7340" w:type="dxa"/>
            <w:vAlign w:val="bottom"/>
            <w:shd w:val="clear" w:color="auto" w:fill="CCEEFF"/>
          </w:tcPr>
          <w:p>
            <w:pPr>
              <w:ind w:left="80"/>
              <w:spacing w:after="0"/>
              <w:rPr>
                <w:sz w:val="20"/>
                <w:szCs w:val="20"/>
                <w:color w:val="auto"/>
              </w:rPr>
            </w:pPr>
            <w:r>
              <w:rPr>
                <w:rFonts w:ascii="Arial" w:cs="Arial" w:eastAsia="Arial" w:hAnsi="Arial"/>
                <w:sz w:val="17"/>
                <w:szCs w:val="17"/>
                <w:color w:val="auto"/>
              </w:rPr>
              <w:t>Balance of top 100 depositors as a percentage of deposits</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21.1 %</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18.1 %</w:t>
            </w:r>
          </w:p>
        </w:tc>
      </w:tr>
    </w:tbl>
    <w:p>
      <w:pPr>
        <w:spacing w:after="0" w:line="245" w:lineRule="exact"/>
        <w:rPr>
          <w:sz w:val="20"/>
          <w:szCs w:val="20"/>
          <w:color w:val="auto"/>
        </w:rPr>
      </w:pPr>
    </w:p>
    <w:p>
      <w:pPr>
        <w:ind w:firstLine="3"/>
        <w:spacing w:after="0" w:line="279" w:lineRule="auto"/>
        <w:tabs>
          <w:tab w:leader="none" w:pos="268"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These amounts exclude intercompany related deposits of $51.3 million and $55.2 million respectively. Uninsured deposits reported in our Call Report at September 30, 2023 and December 31, 2022 totaled $1,062.2 million and $1,031.2 million, respectively.</w:t>
      </w:r>
    </w:p>
    <w:p>
      <w:pPr>
        <w:spacing w:after="0" w:line="13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also implemented strategies that incorporate using federal funds purchased, other borrowings and Brokered CDs to fund a portion of our interest-earning assets. The use of such alternate sources of funds supplements our core deposits and is also an integral part of our asset/liability management efforts.</w:t>
      </w:r>
    </w:p>
    <w:p>
      <w:pPr>
        <w:spacing w:after="0" w:line="1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borrowings, comprised primarily of FRB and FHLB borrowings, totaled $50.0 million and $86.0 million at September 30, 2023, and December 31, 2022, respectively.</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As described above, we have utilized wholesale funding, including federal funds purchased, FHLB and FRB borrowings and Brokered CDs to augment our core deposits and fund a portion of our assets. At September 30, 2023, our use of such wholesale funding sources (including reciprocal deposits) amounted to approximately $1.09 billion, or 23.4% of total funding (deposits and all borrowings, excluding subordinated debt and debentures). Because wholesale funding sources are affected by general market conditions, the availability of such funding may be dependent on the confidence these sources have in our financial condition and operations. The continued availability to us of these funding sources is not certain, and Brokered CDs may be difficult for us to retain or replace at attractive rates as they mature. Our liquidity may be constrained if we are unable to renew our wholesale funding sources or if adequate financing is not available in the future at acceptable rates of interest or at all. Our financial performance could also be affected if we are unable to maintain our access to funding sources or if we are required to rely more heavily on more expensive funding sources. In such case, our net interest income and results of operations could be adversely affected.</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historically employed derivative financial instruments to manage our exposure to changes in interest rates. During the first nine months of 2023 and 2022, we entered into $92.9 million and $74.1 million (aggregate notional amounts), respectively, of interest rate swaps with commercial loan customers, which were offset with interest rate swaps that the Bank entered into with a broker-dealer. We recorded $1.5 million and $0.9 million of fee income related to these transactions during the first nine months of 2023 and 2022, respectively. See note #6 to the Condensed Consolidated Financial Statements included within this report for more information on our derivative financial instruments.</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 xml:space="preserve">Liquidity and capital resources. </w:t>
      </w:r>
      <w:r>
        <w:rPr>
          <w:rFonts w:ascii="Arial" w:cs="Arial" w:eastAsia="Arial" w:hAnsi="Arial"/>
          <w:sz w:val="17"/>
          <w:szCs w:val="17"/>
          <w:color w:val="auto"/>
        </w:rPr>
        <w:t>Liquidity risk is the risk of being unable to timely meet obligations as they come due at a reasonable funding cost or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incurring unacceptable losses. Our liquidity management involves the measurement and monitoring of a variety of sources and uses of funds. Our Condensed Consolidated Statements of Cash Flows categorize these sources and uses into operating, investing and financing activities. We primarily focus our liquidity management on maintaining adequate levels of liquid assets (primarily funds on deposit with the FRB and certain securities AFS) as well as developing access to a variety of borrowing sources to supplement our deposit gathering activities and provide funds for purchasing securities or originating Portfolio Loans as well as to be able to respond to unforeseen liquidity needs.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primary sources of funds include our deposit base, secured advances from the FHLB and FRB, federal funds purchased borrowing facilities with other banks, and access to the capital markets (for Brokered CDs). At September 30, 2023, in addition to liquidity available from our normal operating, funding and investing activities we had unused credit lines with the FHLB and FRB of approximately $989.9 million and $504.0 million, respectively. We also had approximately $812.3 million in fair value of unpledged securities AFS and HTM at September 30, 2023, which could be pledged for an estimated additional borrowing capacity at the FHLB and FRB of approximately $749.4 million.</w:t>
      </w:r>
    </w:p>
    <w:p>
      <w:pPr>
        <w:spacing w:after="0" w:line="15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At September 30, 2023, we had $770.3 million of time deposits that mature in the next 12 months. Historically, a majority of these maturing time deposits are renewed by our customers. Additionally, $3.77 billion of our deposits at September 30, 2023, were in account types from which the customer could withdraw the funds on demand. Changes in the balances of deposits that can be withdrawn upon demand are usually predictable and the total balances of these accounts have generally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grown or have been stable over time as a result of our marketing and promotional activities. However, there can be no assurance that historical patterns of renewing time deposits or overall growth or stability in deposits will continue in the future.</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have developed contingency funding plans that stress test our liquidity needs that may arise from certain events such as an adverse change in our financial metrics (for example, credit quality or regulatory capital ratios). Our liquidity management also includes periodic monitoring that measures quick assets (defined generally as highly liquid or short-term assets) to total assets, short-term liability dependence and basic surplus (defined as quick assets less volatile liabilities to total assets). Policy limits have been established for our various liquidity measurements and are monitored on a quarterly basis. In addition, we also prepare cash flow forecasts that include a variety of different scenarios.</w:t>
      </w:r>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currently have adequate liquidity at our Bank because of our cash and cash equivalents, our portfolio of securities AFS, our access to secured advances from the FHLB and FRB and our ability to issue Brokered CDs.</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also believe that the available cash on hand at the parent company (including time deposits) of approximately $46.6 million as of September 30, 2023, provides sufficient liquidity resources at the parent company to meet operating expenses, to make interest payments on the subordinated debt and debentures, and, along with dividends from the Bank, to pay projected cash dividends on our common stock.</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Effective management of capital resources is critical to our mission to create value for our shareholders. In addition to common stock, our capital structure also currently includes subordinated debt and cumulative trust preferred securities.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tcPr>
          <w:p>
            <w:pPr>
              <w:spacing w:after="0"/>
              <w:rPr>
                <w:sz w:val="20"/>
                <w:szCs w:val="20"/>
                <w:color w:val="auto"/>
              </w:rPr>
            </w:pPr>
            <w:r>
              <w:rPr>
                <w:rFonts w:ascii="Arial" w:cs="Arial" w:eastAsia="Arial" w:hAnsi="Arial"/>
                <w:sz w:val="17"/>
                <w:szCs w:val="17"/>
                <w:b w:val="1"/>
                <w:bCs w:val="1"/>
                <w:color w:val="auto"/>
              </w:rPr>
              <w:t>Capitalization</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76"/>
        </w:trPr>
        <w:tc>
          <w:tcPr>
            <w:tcW w:w="8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Arial" w:cs="Arial" w:eastAsia="Arial" w:hAnsi="Arial"/>
                <w:sz w:val="17"/>
                <w:szCs w:val="17"/>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174"/>
              <w:spacing w:after="0"/>
              <w:rPr>
                <w:sz w:val="20"/>
                <w:szCs w:val="20"/>
                <w:color w:val="auto"/>
              </w:rPr>
            </w:pPr>
            <w:r>
              <w:rPr>
                <w:rFonts w:ascii="Arial" w:cs="Arial" w:eastAsia="Arial" w:hAnsi="Arial"/>
                <w:sz w:val="17"/>
                <w:szCs w:val="17"/>
                <w:color w:val="auto"/>
                <w:w w:val="95"/>
              </w:rPr>
              <w:t>December 31,</w:t>
            </w:r>
          </w:p>
        </w:tc>
      </w:tr>
      <w:tr>
        <w:trPr>
          <w:trHeight w:val="218"/>
        </w:trPr>
        <w:tc>
          <w:tcPr>
            <w:tcW w:w="8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2023</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2022</w:t>
            </w:r>
          </w:p>
        </w:tc>
      </w:tr>
      <w:tr>
        <w:trPr>
          <w:trHeight w:val="212"/>
        </w:trPr>
        <w:tc>
          <w:tcPr>
            <w:tcW w:w="8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4"/>
          </w:tcPr>
          <w:p>
            <w:pPr>
              <w:jc w:val="right"/>
              <w:ind w:right="934"/>
              <w:spacing w:after="0"/>
              <w:rPr>
                <w:sz w:val="20"/>
                <w:szCs w:val="20"/>
                <w:color w:val="auto"/>
              </w:rPr>
            </w:pPr>
            <w:r>
              <w:rPr>
                <w:rFonts w:ascii="Arial" w:cs="Arial" w:eastAsia="Arial" w:hAnsi="Arial"/>
                <w:sz w:val="17"/>
                <w:szCs w:val="17"/>
                <w:color w:val="auto"/>
              </w:rPr>
              <w:t>(In thousands)</w:t>
            </w:r>
          </w:p>
        </w:tc>
      </w:tr>
      <w:tr>
        <w:trPr>
          <w:trHeight w:val="220"/>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Subordinated debt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39,491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39,433</w:t>
            </w:r>
          </w:p>
        </w:tc>
      </w:tr>
      <w:tr>
        <w:trPr>
          <w:trHeight w:val="218"/>
        </w:trPr>
        <w:tc>
          <w:tcPr>
            <w:tcW w:w="8180" w:type="dxa"/>
            <w:vAlign w:val="bottom"/>
          </w:tcPr>
          <w:p>
            <w:pPr>
              <w:ind w:left="20"/>
              <w:spacing w:after="0"/>
              <w:rPr>
                <w:sz w:val="20"/>
                <w:szCs w:val="20"/>
                <w:color w:val="auto"/>
              </w:rPr>
            </w:pPr>
            <w:r>
              <w:rPr>
                <w:rFonts w:ascii="Arial" w:cs="Arial" w:eastAsia="Arial" w:hAnsi="Arial"/>
                <w:sz w:val="17"/>
                <w:szCs w:val="17"/>
                <w:color w:val="auto"/>
              </w:rPr>
              <w:t>Subordinated debentures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39,711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39,660</w:t>
            </w:r>
          </w:p>
        </w:tc>
      </w:tr>
      <w:tr>
        <w:trPr>
          <w:trHeight w:val="220"/>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Amount not qualifying as regulatory capital</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(657)</w:t>
            </w:r>
          </w:p>
        </w:tc>
      </w:tr>
      <w:tr>
        <w:trPr>
          <w:trHeight w:val="211"/>
        </w:trPr>
        <w:tc>
          <w:tcPr>
            <w:tcW w:w="81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Amount qualifying as regulatory capital</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78,487</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78,436</w:t>
            </w:r>
          </w:p>
        </w:tc>
      </w:tr>
      <w:tr>
        <w:trPr>
          <w:trHeight w:val="200"/>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Shareholders’ equity</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8"/>
        </w:trPr>
        <w:tc>
          <w:tcPr>
            <w:tcW w:w="8180" w:type="dxa"/>
            <w:vAlign w:val="bottom"/>
          </w:tcPr>
          <w:p>
            <w:pPr>
              <w:ind w:left="220"/>
              <w:spacing w:after="0"/>
              <w:rPr>
                <w:sz w:val="20"/>
                <w:szCs w:val="20"/>
                <w:color w:val="auto"/>
              </w:rPr>
            </w:pPr>
            <w:r>
              <w:rPr>
                <w:rFonts w:ascii="Arial" w:cs="Arial" w:eastAsia="Arial" w:hAnsi="Arial"/>
                <w:sz w:val="17"/>
                <w:szCs w:val="17"/>
                <w:color w:val="auto"/>
              </w:rPr>
              <w:t>Common stock</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317,145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320,991</w:t>
            </w:r>
          </w:p>
        </w:tc>
      </w:tr>
      <w:tr>
        <w:trPr>
          <w:trHeight w:val="220"/>
        </w:trPr>
        <w:tc>
          <w:tcPr>
            <w:tcW w:w="8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Retained earnings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150,157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119,368</w:t>
            </w:r>
          </w:p>
        </w:tc>
      </w:tr>
      <w:tr>
        <w:trPr>
          <w:trHeight w:val="218"/>
        </w:trPr>
        <w:tc>
          <w:tcPr>
            <w:tcW w:w="81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Accumulated other comprehensive income (loss)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(92,304)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(92,763)</w:t>
            </w:r>
          </w:p>
        </w:tc>
      </w:tr>
      <w:tr>
        <w:trPr>
          <w:trHeight w:val="212"/>
        </w:trPr>
        <w:tc>
          <w:tcPr>
            <w:tcW w:w="81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shareholders’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374,998</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347,596</w:t>
            </w:r>
          </w:p>
        </w:tc>
      </w:tr>
      <w:tr>
        <w:trPr>
          <w:trHeight w:val="213"/>
        </w:trPr>
        <w:tc>
          <w:tcPr>
            <w:tcW w:w="8180" w:type="dxa"/>
            <w:vAlign w:val="bottom"/>
          </w:tcPr>
          <w:p>
            <w:pPr>
              <w:ind w:left="440"/>
              <w:spacing w:after="0"/>
              <w:rPr>
                <w:sz w:val="20"/>
                <w:szCs w:val="20"/>
                <w:color w:val="auto"/>
              </w:rPr>
            </w:pPr>
            <w:r>
              <w:rPr>
                <w:rFonts w:ascii="Arial" w:cs="Arial" w:eastAsia="Arial" w:hAnsi="Arial"/>
                <w:sz w:val="17"/>
                <w:szCs w:val="17"/>
                <w:color w:val="auto"/>
              </w:rPr>
              <w:t>Total capitalization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453,485</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426,032</w:t>
            </w:r>
          </w:p>
        </w:tc>
      </w:tr>
      <w:tr>
        <w:trPr>
          <w:trHeight w:val="20"/>
        </w:trPr>
        <w:tc>
          <w:tcPr>
            <w:tcW w:w="8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May 2020, we issued $40.0 million of fixed to floating subordinated notes with a ten year maturity and a five year call option. The initial coupon rate is 5.95% fixed for five years and then floats at the Secured Overnight Financing Rate (“SOFR”) plus 5.825%. These notes are presented in the Condensed Consolidated Statement of Financial Condition under the caption “Subordinated debt” and the September 30, 2023, balance of $39.5 million is net of remaining unamortized deferred issuance costs of approximately $0.5 million that are being amortized through the maturity date into interest expense on other borrowings and subordinated debt and debentures in our Condensed Consolidated Statements of Operations.</w:t>
      </w:r>
    </w:p>
    <w:p>
      <w:pPr>
        <w:spacing w:after="0" w:line="15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currently have four special purpose entities with $39.7 million of outstanding cumulative trust preferred securities as of September 30, 2023. These special purpose entities issued common securities and provided cash to our parent company that in turn issued subordinated debentures to these special purpose entities equal to the trust preferred securities and common securities. The subordinated debentures represent the sole asset of the special purpose entities. The common securities and subordinated debentures are included in our Condensed Consolidated Statements of Financial Condition.</w:t>
      </w:r>
    </w:p>
    <w:p>
      <w:pPr>
        <w:spacing w:after="0" w:line="12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FRB has issued rules regarding trust preferred securities as a component of the Tier 1 capital of bank holding companies. The aggregate amount of trust preferred securities (and certain other capital elements) are limited to 25 percent of Tier 1 capital elements, net of goodwill (net of any associated deferred tax liability). The amount of trust preferred securities and certain other elements in excess of the limit can be included in Tier 2 capital, subject to restrictions. At the parent company, all of these securities qualified as Tier 1 capital at September 30, 2023, and December 31, 2022.</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9" w:name="page80"/>
    <w:bookmarkEnd w:id="79"/>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Common shareholders’ equity increased to $375.0 million at September 30, 2023, from $347.6 million at December 31, 2022. The increase is primarily due to earnings retention that was partially offset by share repurchases. Our tangible common equity (“TCE”) totaled $344.6 million and $316.7 million, respectively, at those same dates. Our ratio of TCE to tangible assets was 6.67% and 6.37% at September 30, 2023, and December 31, 2022, respectively. TCE and the ratio of TCE to tangible assets are non-GAAP measures. TCE represents total common equity less goodwill and other intangible assets.</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December 2022, our Board of Directors authorized a 2023 share repurchase plan. Under the terms of the 2023 share repurchase plan, we are authorized to buy back up to 1,100,000, or approximately 5% of our outstanding common stock. During the first nine months of 2023 repurchases were made totaling 288,401 shares of common stock, for an aggregate purchase price of $5.0 million.</w:t>
      </w:r>
    </w:p>
    <w:p>
      <w:pPr>
        <w:spacing w:after="0" w:line="13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pay a quarterly cash dividend on our common stock. These dividends totaled $0.69 per share and $0.66 per share in the first nine months of 2023 and 2022, respectively. We generally favor a dividend payout ratio between 30% and 50% of net income.</w:t>
      </w:r>
    </w:p>
    <w:p>
      <w:pPr>
        <w:spacing w:after="0" w:line="12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September 30, 2023 and December 31, 2022, our Bank (and holding company) continued to meet the requirements to be considered “well-capitalized” under federal regulatory standards (also see note #10 to the Condensed Consolidated Financial Statements included within this report).</w:t>
      </w:r>
    </w:p>
    <w:p>
      <w:pPr>
        <w:spacing w:after="0" w:line="133" w:lineRule="exact"/>
        <w:rPr>
          <w:sz w:val="20"/>
          <w:szCs w:val="20"/>
          <w:color w:val="auto"/>
        </w:rPr>
      </w:pPr>
    </w:p>
    <w:p>
      <w:pPr>
        <w:jc w:val="both"/>
        <w:spacing w:after="0" w:line="320" w:lineRule="auto"/>
        <w:rPr>
          <w:sz w:val="20"/>
          <w:szCs w:val="20"/>
          <w:color w:val="auto"/>
        </w:rPr>
      </w:pPr>
      <w:r>
        <w:rPr>
          <w:rFonts w:ascii="Arial" w:cs="Arial" w:eastAsia="Arial" w:hAnsi="Arial"/>
          <w:sz w:val="16"/>
          <w:szCs w:val="16"/>
          <w:b w:val="1"/>
          <w:bCs w:val="1"/>
          <w:color w:val="auto"/>
        </w:rPr>
        <w:t xml:space="preserve">Asset/liability management. </w:t>
      </w:r>
      <w:r>
        <w:rPr>
          <w:rFonts w:ascii="Arial" w:cs="Arial" w:eastAsia="Arial" w:hAnsi="Arial"/>
          <w:sz w:val="16"/>
          <w:szCs w:val="16"/>
          <w:color w:val="auto"/>
        </w:rPr>
        <w:t>Interest-rate risk is created by differences in the cash flow characteristics of our assets and liabilities. Options embedded in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instruments, including caps on adjustable-rate loans as well as borrowers’ rights to prepay fixed-rate loans, also create interest-rate risk.</w:t>
      </w:r>
    </w:p>
    <w:p>
      <w:pPr>
        <w:spacing w:after="0" w:line="9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asset/liability management efforts identify and evaluate opportunities to structure our assets and liabilities in a manner that is consistent with our mission to maintain profitable financial leverage within established risk parameters. We evaluate various opportunities and alternate asset/liability management strategies carefully and consider the likely impact on our risk profile as well as the anticipated contribution to earnings. The marginal cost of funds is a principal consideration in the implementation of our asset/liability management strategies, but such evaluations further consider interest-rate and liquidity risk as well as other pertinent factors. We have established parameters for interest-rate risk. We regularly monitor our interest-rate risk and report at least quarterly to our board of directors.</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employ simulation analyses to monitor our interest-rate risk profile and evaluate potential changes in our net interest income and market value of portfolio equity that result from changes in interest rates. The purpose of these simulations is to identify sources of interest-rate risk. The simulations do not anticipate any actions that we might initiate in response to changes in interest rates and, accordingly, the simulations do not provide a reliable forecast of anticipated results. The simulations are predicated on immediate, permanent and parallel shifts in interest rates and generally assume that current loan and deposit pricing relationships remain constant. The simulations further incorporate assumptions relating to changes in customer behavior, including changes in prepayment rates on certain assets and liabilities. At September 30, 2023, both our interest rate risk profile as measured by our short term earnings simulation and our longer term interest rate risk measure based on changes in economic value indicates exposure to rising rates. These measures have increased modestly from December 31, 2022 as an adverse impact of changes in our deposit mix were largely offset by a favorable impact of additional hedging and term funding transactions. In addition, at September 30, 2023 our simulation base-rate scenario for market value of portfolio equity declined from December 31, 2022 due primarily to the changes in our funding mix and change in deposit pricing betas. We are carefully monitoring the change in our funding mix as well as the composition of our earning assets and the impact of potential future changes in interest rates on our changes in market value of portfolio equity and changes in net interest income. As a result, we may add some longer-term borrowings, may utilize derivatives (interest rate swaps, interest rate caps and interest rate floors) to manage interest rate risk and may continue to sell some fixed rate jumbo and other portfolio mortgage loans in the future.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0" w:name="page81"/>
    <w:bookmarkEnd w:id="80"/>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MARKET VALUE OF PORTFOLIO EQUITY, NET INTEREST INCOME AND NET INTEREST MARGIN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334"/>
              <w:spacing w:after="0"/>
              <w:rPr>
                <w:sz w:val="20"/>
                <w:szCs w:val="20"/>
                <w:color w:val="auto"/>
              </w:rPr>
            </w:pPr>
            <w:r>
              <w:rPr>
                <w:rFonts w:ascii="Arial" w:cs="Arial" w:eastAsia="Arial" w:hAnsi="Arial"/>
                <w:sz w:val="17"/>
                <w:szCs w:val="17"/>
                <w:b w:val="1"/>
                <w:bCs w:val="1"/>
                <w:color w:val="auto"/>
              </w:rPr>
              <w:t>Market</w:t>
            </w: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334"/>
              <w:spacing w:after="0"/>
              <w:rPr>
                <w:sz w:val="20"/>
                <w:szCs w:val="20"/>
                <w:color w:val="auto"/>
              </w:rPr>
            </w:pPr>
            <w:r>
              <w:rPr>
                <w:rFonts w:ascii="Arial" w:cs="Arial" w:eastAsia="Arial" w:hAnsi="Arial"/>
                <w:sz w:val="17"/>
                <w:szCs w:val="17"/>
                <w:b w:val="1"/>
                <w:bCs w:val="1"/>
                <w:color w:val="auto"/>
                <w:w w:val="90"/>
              </w:rPr>
              <w:t>Value of</w:t>
            </w: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center"/>
              <w:ind w:right="334"/>
              <w:spacing w:after="0"/>
              <w:rPr>
                <w:sz w:val="20"/>
                <w:szCs w:val="20"/>
                <w:color w:val="auto"/>
              </w:rPr>
            </w:pPr>
            <w:r>
              <w:rPr>
                <w:rFonts w:ascii="Arial" w:cs="Arial" w:eastAsia="Arial" w:hAnsi="Arial"/>
                <w:sz w:val="17"/>
                <w:szCs w:val="17"/>
                <w:b w:val="1"/>
                <w:bCs w:val="1"/>
                <w:color w:val="auto"/>
                <w:w w:val="94"/>
              </w:rPr>
              <w:t>Net</w:t>
            </w: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314"/>
              <w:spacing w:after="0"/>
              <w:rPr>
                <w:sz w:val="20"/>
                <w:szCs w:val="20"/>
                <w:color w:val="auto"/>
              </w:rPr>
            </w:pPr>
            <w:r>
              <w:rPr>
                <w:rFonts w:ascii="Arial" w:cs="Arial" w:eastAsia="Arial" w:hAnsi="Arial"/>
                <w:sz w:val="17"/>
                <w:szCs w:val="17"/>
                <w:b w:val="1"/>
                <w:bCs w:val="1"/>
                <w:color w:val="auto"/>
                <w:w w:val="94"/>
              </w:rPr>
              <w:t>Portfolio</w:t>
            </w:r>
          </w:p>
        </w:tc>
        <w:tc>
          <w:tcPr>
            <w:tcW w:w="1300" w:type="dxa"/>
            <w:vAlign w:val="bottom"/>
          </w:tcPr>
          <w:p>
            <w:pPr>
              <w:jc w:val="right"/>
              <w:ind w:right="374"/>
              <w:spacing w:after="0"/>
              <w:rPr>
                <w:sz w:val="20"/>
                <w:szCs w:val="20"/>
                <w:color w:val="auto"/>
              </w:rPr>
            </w:pPr>
            <w:r>
              <w:rPr>
                <w:rFonts w:ascii="Arial" w:cs="Arial" w:eastAsia="Arial" w:hAnsi="Arial"/>
                <w:sz w:val="17"/>
                <w:szCs w:val="17"/>
                <w:b w:val="1"/>
                <w:bCs w:val="1"/>
                <w:color w:val="auto"/>
              </w:rPr>
              <w:t>Percent</w:t>
            </w:r>
          </w:p>
        </w:tc>
        <w:tc>
          <w:tcPr>
            <w:tcW w:w="240" w:type="dxa"/>
            <w:vAlign w:val="bottom"/>
          </w:tcPr>
          <w:p>
            <w:pPr>
              <w:spacing w:after="0"/>
              <w:rPr>
                <w:sz w:val="17"/>
                <w:szCs w:val="17"/>
                <w:color w:val="auto"/>
              </w:rPr>
            </w:pPr>
          </w:p>
        </w:tc>
        <w:tc>
          <w:tcPr>
            <w:tcW w:w="1320" w:type="dxa"/>
            <w:vAlign w:val="bottom"/>
          </w:tcPr>
          <w:p>
            <w:pPr>
              <w:jc w:val="center"/>
              <w:ind w:right="314"/>
              <w:spacing w:after="0"/>
              <w:rPr>
                <w:sz w:val="20"/>
                <w:szCs w:val="20"/>
                <w:color w:val="auto"/>
              </w:rPr>
            </w:pPr>
            <w:r>
              <w:rPr>
                <w:rFonts w:ascii="Arial" w:cs="Arial" w:eastAsia="Arial" w:hAnsi="Arial"/>
                <w:sz w:val="17"/>
                <w:szCs w:val="17"/>
                <w:b w:val="1"/>
                <w:bCs w:val="1"/>
                <w:color w:val="auto"/>
                <w:w w:val="91"/>
              </w:rPr>
              <w:t>Interest</w:t>
            </w:r>
          </w:p>
        </w:tc>
        <w:tc>
          <w:tcPr>
            <w:tcW w:w="1360" w:type="dxa"/>
            <w:vAlign w:val="bottom"/>
            <w:gridSpan w:val="2"/>
          </w:tcPr>
          <w:p>
            <w:pPr>
              <w:ind w:left="300"/>
              <w:spacing w:after="0"/>
              <w:rPr>
                <w:sz w:val="20"/>
                <w:szCs w:val="20"/>
                <w:color w:val="auto"/>
              </w:rPr>
            </w:pPr>
            <w:r>
              <w:rPr>
                <w:rFonts w:ascii="Arial" w:cs="Arial" w:eastAsia="Arial" w:hAnsi="Arial"/>
                <w:sz w:val="17"/>
                <w:szCs w:val="17"/>
                <w:b w:val="1"/>
                <w:bCs w:val="1"/>
                <w:color w:val="auto"/>
              </w:rPr>
              <w:t>Percent</w:t>
            </w:r>
          </w:p>
        </w:tc>
        <w:tc>
          <w:tcPr>
            <w:tcW w:w="1520" w:type="dxa"/>
            <w:vAlign w:val="bottom"/>
            <w:gridSpan w:val="2"/>
          </w:tcPr>
          <w:p>
            <w:pPr>
              <w:ind w:left="280"/>
              <w:spacing w:after="0"/>
              <w:rPr>
                <w:sz w:val="20"/>
                <w:szCs w:val="20"/>
                <w:color w:val="auto"/>
              </w:rPr>
            </w:pPr>
            <w:r>
              <w:rPr>
                <w:rFonts w:ascii="Arial" w:cs="Arial" w:eastAsia="Arial" w:hAnsi="Arial"/>
                <w:sz w:val="17"/>
                <w:szCs w:val="17"/>
                <w:b w:val="1"/>
                <w:bCs w:val="1"/>
                <w:color w:val="auto"/>
              </w:rPr>
              <w:t>Net Interest</w:t>
            </w:r>
          </w:p>
        </w:tc>
        <w:tc>
          <w:tcPr>
            <w:tcW w:w="1420" w:type="dxa"/>
            <w:vAlign w:val="bottom"/>
          </w:tcPr>
          <w:p>
            <w:pPr>
              <w:jc w:val="right"/>
              <w:ind w:right="334"/>
              <w:spacing w:after="0"/>
              <w:rPr>
                <w:sz w:val="20"/>
                <w:szCs w:val="20"/>
                <w:color w:val="auto"/>
              </w:rPr>
            </w:pPr>
            <w:r>
              <w:rPr>
                <w:rFonts w:ascii="Arial" w:cs="Arial" w:eastAsia="Arial" w:hAnsi="Arial"/>
                <w:sz w:val="17"/>
                <w:szCs w:val="17"/>
                <w:b w:val="1"/>
                <w:bCs w:val="1"/>
                <w:color w:val="auto"/>
              </w:rPr>
              <w:t>Percent</w:t>
            </w:r>
          </w:p>
        </w:tc>
        <w:tc>
          <w:tcPr>
            <w:tcW w:w="0" w:type="dxa"/>
            <w:vAlign w:val="bottom"/>
          </w:tcPr>
          <w:p>
            <w:pPr>
              <w:spacing w:after="0"/>
              <w:rPr>
                <w:sz w:val="1"/>
                <w:szCs w:val="1"/>
                <w:color w:val="auto"/>
              </w:rPr>
            </w:pPr>
          </w:p>
        </w:tc>
      </w:tr>
      <w:tr>
        <w:trPr>
          <w:trHeight w:val="250"/>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Change in Interest Rates</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314"/>
              <w:spacing w:after="0"/>
              <w:rPr>
                <w:sz w:val="20"/>
                <w:szCs w:val="20"/>
                <w:color w:val="auto"/>
              </w:rPr>
            </w:pPr>
            <w:r>
              <w:rPr>
                <w:rFonts w:ascii="Arial" w:cs="Arial" w:eastAsia="Arial" w:hAnsi="Arial"/>
                <w:sz w:val="17"/>
                <w:szCs w:val="17"/>
                <w:b w:val="1"/>
                <w:bCs w:val="1"/>
                <w:color w:val="auto"/>
                <w:w w:val="96"/>
              </w:rPr>
              <w:t>Equity(1)</w:t>
            </w:r>
          </w:p>
        </w:tc>
        <w:tc>
          <w:tcPr>
            <w:tcW w:w="130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Change</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334"/>
              <w:spacing w:after="0"/>
              <w:rPr>
                <w:sz w:val="20"/>
                <w:szCs w:val="20"/>
                <w:color w:val="auto"/>
              </w:rPr>
            </w:pPr>
            <w:r>
              <w:rPr>
                <w:rFonts w:ascii="Arial" w:cs="Arial" w:eastAsia="Arial" w:hAnsi="Arial"/>
                <w:sz w:val="17"/>
                <w:szCs w:val="17"/>
                <w:b w:val="1"/>
                <w:bCs w:val="1"/>
                <w:color w:val="auto"/>
                <w:w w:val="92"/>
              </w:rPr>
              <w:t>Income(2)</w:t>
            </w:r>
          </w:p>
        </w:tc>
        <w:tc>
          <w:tcPr>
            <w:tcW w:w="1280" w:type="dxa"/>
            <w:vAlign w:val="bottom"/>
            <w:tcBorders>
              <w:bottom w:val="single" w:sz="8" w:color="auto"/>
            </w:tcBorders>
          </w:tcPr>
          <w:p>
            <w:pPr>
              <w:ind w:left="300"/>
              <w:spacing w:after="0"/>
              <w:rPr>
                <w:sz w:val="20"/>
                <w:szCs w:val="20"/>
                <w:color w:val="auto"/>
              </w:rPr>
            </w:pPr>
            <w:r>
              <w:rPr>
                <w:rFonts w:ascii="Arial" w:cs="Arial" w:eastAsia="Arial" w:hAnsi="Arial"/>
                <w:sz w:val="17"/>
                <w:szCs w:val="17"/>
                <w:b w:val="1"/>
                <w:bCs w:val="1"/>
                <w:color w:val="auto"/>
              </w:rPr>
              <w:t>Change</w:t>
            </w:r>
          </w:p>
        </w:tc>
        <w:tc>
          <w:tcPr>
            <w:tcW w:w="80" w:type="dxa"/>
            <w:vAlign w:val="bottom"/>
          </w:tcPr>
          <w:p>
            <w:pPr>
              <w:spacing w:after="0"/>
              <w:rPr>
                <w:sz w:val="21"/>
                <w:szCs w:val="21"/>
                <w:color w:val="auto"/>
              </w:rPr>
            </w:pPr>
          </w:p>
        </w:tc>
        <w:tc>
          <w:tcPr>
            <w:tcW w:w="1440" w:type="dxa"/>
            <w:vAlign w:val="bottom"/>
            <w:tcBorders>
              <w:bottom w:val="single" w:sz="8" w:color="auto"/>
            </w:tcBorders>
          </w:tcPr>
          <w:p>
            <w:pPr>
              <w:ind w:left="340"/>
              <w:spacing w:after="0"/>
              <w:rPr>
                <w:sz w:val="20"/>
                <w:szCs w:val="20"/>
                <w:color w:val="auto"/>
              </w:rPr>
            </w:pPr>
            <w:r>
              <w:rPr>
                <w:rFonts w:ascii="Arial" w:cs="Arial" w:eastAsia="Arial" w:hAnsi="Arial"/>
                <w:sz w:val="17"/>
                <w:szCs w:val="17"/>
                <w:b w:val="1"/>
                <w:bCs w:val="1"/>
                <w:color w:val="auto"/>
              </w:rPr>
              <w:t>Margin(3)</w:t>
            </w:r>
          </w:p>
        </w:tc>
        <w:tc>
          <w:tcPr>
            <w:tcW w:w="80" w:type="dxa"/>
            <w:vAlign w:val="bottom"/>
          </w:tcPr>
          <w:p>
            <w:pPr>
              <w:spacing w:after="0"/>
              <w:rPr>
                <w:sz w:val="21"/>
                <w:szCs w:val="21"/>
                <w:color w:val="auto"/>
              </w:rPr>
            </w:pPr>
          </w:p>
        </w:tc>
        <w:tc>
          <w:tcPr>
            <w:tcW w:w="14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Change</w:t>
            </w:r>
          </w:p>
        </w:tc>
        <w:tc>
          <w:tcPr>
            <w:tcW w:w="0" w:type="dxa"/>
            <w:vAlign w:val="bottom"/>
          </w:tcPr>
          <w:p>
            <w:pPr>
              <w:spacing w:after="0"/>
              <w:rPr>
                <w:sz w:val="1"/>
                <w:szCs w:val="1"/>
                <w:color w:val="auto"/>
              </w:rPr>
            </w:pPr>
          </w:p>
        </w:tc>
      </w:tr>
      <w:tr>
        <w:trPr>
          <w:trHeight w:val="217"/>
        </w:trPr>
        <w:tc>
          <w:tcPr>
            <w:tcW w:w="260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September 30, 2023</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60" w:type="dxa"/>
            <w:vAlign w:val="bottom"/>
            <w:gridSpan w:val="3"/>
          </w:tcPr>
          <w:p>
            <w:pPr>
              <w:jc w:val="right"/>
              <w:ind w:right="634"/>
              <w:spacing w:after="0"/>
              <w:rPr>
                <w:sz w:val="20"/>
                <w:szCs w:val="20"/>
                <w:color w:val="auto"/>
              </w:rPr>
            </w:pPr>
            <w:r>
              <w:rPr>
                <w:rFonts w:ascii="Arial" w:cs="Arial" w:eastAsia="Arial" w:hAnsi="Arial"/>
                <w:sz w:val="17"/>
                <w:szCs w:val="17"/>
                <w:b w:val="1"/>
                <w:bCs w:val="1"/>
                <w:color w:val="auto"/>
              </w:rPr>
              <w:t>(Dollars in thousands)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200 basis point rise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400,200</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(17.76)%</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169,200</w:t>
            </w:r>
          </w:p>
        </w:tc>
        <w:tc>
          <w:tcPr>
            <w:tcW w:w="1280" w:type="dxa"/>
            <w:vAlign w:val="bottom"/>
            <w:shd w:val="clear" w:color="auto" w:fill="CCEEFF"/>
          </w:tcPr>
          <w:p>
            <w:pPr>
              <w:jc w:val="center"/>
              <w:ind w:left="594"/>
              <w:spacing w:after="0"/>
              <w:rPr>
                <w:sz w:val="20"/>
                <w:szCs w:val="20"/>
                <w:color w:val="auto"/>
              </w:rPr>
            </w:pPr>
            <w:r>
              <w:rPr>
                <w:rFonts w:ascii="Arial" w:cs="Arial" w:eastAsia="Arial" w:hAnsi="Arial"/>
                <w:sz w:val="17"/>
                <w:szCs w:val="17"/>
                <w:color w:val="auto"/>
                <w:w w:val="94"/>
              </w:rPr>
              <w:t>(1.69)%</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ind w:left="920"/>
              <w:spacing w:after="0"/>
              <w:rPr>
                <w:sz w:val="20"/>
                <w:szCs w:val="20"/>
                <w:color w:val="auto"/>
              </w:rPr>
            </w:pPr>
            <w:r>
              <w:rPr>
                <w:rFonts w:ascii="Arial" w:cs="Arial" w:eastAsia="Arial" w:hAnsi="Arial"/>
                <w:sz w:val="17"/>
                <w:szCs w:val="17"/>
                <w:color w:val="auto"/>
                <w:w w:val="94"/>
              </w:rPr>
              <w:t>3.40 %</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734"/>
              <w:spacing w:after="0"/>
              <w:rPr>
                <w:sz w:val="20"/>
                <w:szCs w:val="20"/>
                <w:color w:val="auto"/>
              </w:rPr>
            </w:pPr>
            <w:r>
              <w:rPr>
                <w:rFonts w:ascii="Arial" w:cs="Arial" w:eastAsia="Arial" w:hAnsi="Arial"/>
                <w:sz w:val="17"/>
                <w:szCs w:val="17"/>
                <w:color w:val="auto"/>
                <w:w w:val="94"/>
              </w:rPr>
              <w:t>(1.45)%</w:t>
            </w:r>
          </w:p>
        </w:tc>
        <w:tc>
          <w:tcPr>
            <w:tcW w:w="0" w:type="dxa"/>
            <w:vAlign w:val="bottom"/>
          </w:tcPr>
          <w:p>
            <w:pPr>
              <w:spacing w:after="0"/>
              <w:rPr>
                <w:sz w:val="1"/>
                <w:szCs w:val="1"/>
                <w:color w:val="auto"/>
              </w:rPr>
            </w:pPr>
          </w:p>
        </w:tc>
      </w:tr>
      <w:tr>
        <w:trPr>
          <w:trHeight w:val="218"/>
        </w:trPr>
        <w:tc>
          <w:tcPr>
            <w:tcW w:w="2600" w:type="dxa"/>
            <w:vAlign w:val="bottom"/>
            <w:gridSpan w:val="2"/>
          </w:tcPr>
          <w:p>
            <w:pPr>
              <w:ind w:left="20"/>
              <w:spacing w:after="0"/>
              <w:rPr>
                <w:sz w:val="20"/>
                <w:szCs w:val="20"/>
                <w:color w:val="auto"/>
              </w:rPr>
            </w:pPr>
            <w:r>
              <w:rPr>
                <w:rFonts w:ascii="Arial" w:cs="Arial" w:eastAsia="Arial" w:hAnsi="Arial"/>
                <w:sz w:val="17"/>
                <w:szCs w:val="17"/>
                <w:color w:val="auto"/>
              </w:rPr>
              <w:t>100 basis point rise</w:t>
            </w:r>
          </w:p>
        </w:tc>
        <w:tc>
          <w:tcPr>
            <w:tcW w:w="180" w:type="dxa"/>
            <w:vAlign w:val="bottom"/>
          </w:tcPr>
          <w:p>
            <w:pPr>
              <w:spacing w:after="0"/>
              <w:rPr>
                <w:sz w:val="18"/>
                <w:szCs w:val="18"/>
                <w:color w:val="auto"/>
              </w:rPr>
            </w:pPr>
          </w:p>
        </w:tc>
        <w:tc>
          <w:tcPr>
            <w:tcW w:w="1300" w:type="dxa"/>
            <w:vAlign w:val="bottom"/>
          </w:tcPr>
          <w:p>
            <w:pPr>
              <w:jc w:val="right"/>
              <w:ind w:right="214"/>
              <w:spacing w:after="0"/>
              <w:rPr>
                <w:sz w:val="20"/>
                <w:szCs w:val="20"/>
                <w:color w:val="auto"/>
              </w:rPr>
            </w:pPr>
            <w:r>
              <w:rPr>
                <w:rFonts w:ascii="Arial" w:cs="Arial" w:eastAsia="Arial" w:hAnsi="Arial"/>
                <w:sz w:val="17"/>
                <w:szCs w:val="17"/>
                <w:color w:val="auto"/>
              </w:rPr>
              <w:t>443,900</w:t>
            </w:r>
          </w:p>
        </w:tc>
        <w:tc>
          <w:tcPr>
            <w:tcW w:w="1300" w:type="dxa"/>
            <w:vAlign w:val="bottom"/>
          </w:tcPr>
          <w:p>
            <w:pPr>
              <w:jc w:val="right"/>
              <w:ind w:right="114"/>
              <w:spacing w:after="0"/>
              <w:rPr>
                <w:sz w:val="20"/>
                <w:szCs w:val="20"/>
                <w:color w:val="auto"/>
              </w:rPr>
            </w:pPr>
            <w:r>
              <w:rPr>
                <w:rFonts w:ascii="Arial" w:cs="Arial" w:eastAsia="Arial" w:hAnsi="Arial"/>
                <w:sz w:val="17"/>
                <w:szCs w:val="17"/>
                <w:color w:val="auto"/>
              </w:rPr>
              <w:t>(8.78)</w:t>
            </w:r>
          </w:p>
        </w:tc>
        <w:tc>
          <w:tcPr>
            <w:tcW w:w="240" w:type="dxa"/>
            <w:vAlign w:val="bottom"/>
          </w:tcPr>
          <w:p>
            <w:pPr>
              <w:spacing w:after="0"/>
              <w:rPr>
                <w:sz w:val="18"/>
                <w:szCs w:val="18"/>
                <w:color w:val="auto"/>
              </w:rPr>
            </w:pPr>
          </w:p>
        </w:tc>
        <w:tc>
          <w:tcPr>
            <w:tcW w:w="1320" w:type="dxa"/>
            <w:vAlign w:val="bottom"/>
          </w:tcPr>
          <w:p>
            <w:pPr>
              <w:jc w:val="right"/>
              <w:ind w:right="194"/>
              <w:spacing w:after="0"/>
              <w:rPr>
                <w:sz w:val="20"/>
                <w:szCs w:val="20"/>
                <w:color w:val="auto"/>
              </w:rPr>
            </w:pPr>
            <w:r>
              <w:rPr>
                <w:rFonts w:ascii="Arial" w:cs="Arial" w:eastAsia="Arial" w:hAnsi="Arial"/>
                <w:sz w:val="17"/>
                <w:szCs w:val="17"/>
                <w:color w:val="auto"/>
              </w:rPr>
              <w:t>171,200</w:t>
            </w:r>
          </w:p>
        </w:tc>
        <w:tc>
          <w:tcPr>
            <w:tcW w:w="1280" w:type="dxa"/>
            <w:vAlign w:val="bottom"/>
          </w:tcPr>
          <w:p>
            <w:pPr>
              <w:jc w:val="right"/>
              <w:ind w:right="94"/>
              <w:spacing w:after="0"/>
              <w:rPr>
                <w:sz w:val="20"/>
                <w:szCs w:val="20"/>
                <w:color w:val="auto"/>
              </w:rPr>
            </w:pPr>
            <w:r>
              <w:rPr>
                <w:rFonts w:ascii="Arial" w:cs="Arial" w:eastAsia="Arial" w:hAnsi="Arial"/>
                <w:sz w:val="17"/>
                <w:szCs w:val="17"/>
                <w:color w:val="auto"/>
              </w:rPr>
              <w:t>(0.52)</w:t>
            </w:r>
          </w:p>
        </w:tc>
        <w:tc>
          <w:tcPr>
            <w:tcW w:w="80" w:type="dxa"/>
            <w:vAlign w:val="bottom"/>
          </w:tcPr>
          <w:p>
            <w:pPr>
              <w:spacing w:after="0"/>
              <w:rPr>
                <w:sz w:val="18"/>
                <w:szCs w:val="18"/>
                <w:color w:val="auto"/>
              </w:rPr>
            </w:pPr>
          </w:p>
        </w:tc>
        <w:tc>
          <w:tcPr>
            <w:tcW w:w="1440" w:type="dxa"/>
            <w:vAlign w:val="bottom"/>
          </w:tcPr>
          <w:p>
            <w:pPr>
              <w:ind w:left="920"/>
              <w:spacing w:after="0"/>
              <w:rPr>
                <w:sz w:val="20"/>
                <w:szCs w:val="20"/>
                <w:color w:val="auto"/>
              </w:rPr>
            </w:pPr>
            <w:r>
              <w:rPr>
                <w:rFonts w:ascii="Arial" w:cs="Arial" w:eastAsia="Arial" w:hAnsi="Arial"/>
                <w:sz w:val="17"/>
                <w:szCs w:val="17"/>
                <w:color w:val="auto"/>
              </w:rPr>
              <w:t>3.44</w:t>
            </w:r>
          </w:p>
        </w:tc>
        <w:tc>
          <w:tcPr>
            <w:tcW w:w="80" w:type="dxa"/>
            <w:vAlign w:val="bottom"/>
          </w:tcPr>
          <w:p>
            <w:pPr>
              <w:spacing w:after="0"/>
              <w:rPr>
                <w:sz w:val="18"/>
                <w:szCs w:val="18"/>
                <w:color w:val="auto"/>
              </w:rPr>
            </w:pPr>
          </w:p>
        </w:tc>
        <w:tc>
          <w:tcPr>
            <w:tcW w:w="1420" w:type="dxa"/>
            <w:vAlign w:val="bottom"/>
          </w:tcPr>
          <w:p>
            <w:pPr>
              <w:jc w:val="right"/>
              <w:ind w:right="74"/>
              <w:spacing w:after="0"/>
              <w:rPr>
                <w:sz w:val="20"/>
                <w:szCs w:val="20"/>
                <w:color w:val="auto"/>
              </w:rPr>
            </w:pPr>
            <w:r>
              <w:rPr>
                <w:rFonts w:ascii="Arial" w:cs="Arial" w:eastAsia="Arial" w:hAnsi="Arial"/>
                <w:sz w:val="17"/>
                <w:szCs w:val="17"/>
                <w:color w:val="auto"/>
              </w:rPr>
              <w:t>(0.29)</w:t>
            </w:r>
          </w:p>
        </w:tc>
        <w:tc>
          <w:tcPr>
            <w:tcW w:w="0" w:type="dxa"/>
            <w:vAlign w:val="bottom"/>
          </w:tcPr>
          <w:p>
            <w:pPr>
              <w:spacing w:after="0"/>
              <w:rPr>
                <w:sz w:val="1"/>
                <w:szCs w:val="1"/>
                <w:color w:val="auto"/>
              </w:rPr>
            </w:pPr>
          </w:p>
        </w:tc>
      </w:tr>
      <w:tr>
        <w:trPr>
          <w:trHeight w:val="220"/>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Base-rate scenario</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486,600</w:t>
            </w:r>
          </w:p>
        </w:tc>
        <w:tc>
          <w:tcPr>
            <w:tcW w:w="13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172,100</w:t>
            </w:r>
          </w:p>
        </w:tc>
        <w:tc>
          <w:tcPr>
            <w:tcW w:w="1360" w:type="dxa"/>
            <w:vAlign w:val="bottom"/>
            <w:gridSpan w:val="2"/>
            <w:shd w:val="clear" w:color="auto" w:fill="CCEEFF"/>
          </w:tcPr>
          <w:p>
            <w:pPr>
              <w:jc w:val="center"/>
              <w:ind w:left="514"/>
              <w:spacing w:after="0"/>
              <w:rPr>
                <w:sz w:val="20"/>
                <w:szCs w:val="20"/>
                <w:color w:val="auto"/>
              </w:rPr>
            </w:pPr>
            <w:r>
              <w:rPr>
                <w:rFonts w:ascii="Arial" w:cs="Arial" w:eastAsia="Arial" w:hAnsi="Arial"/>
                <w:sz w:val="17"/>
                <w:szCs w:val="17"/>
                <w:color w:val="auto"/>
                <w:w w:val="93"/>
              </w:rPr>
              <w:t>—</w:t>
            </w:r>
          </w:p>
        </w:tc>
        <w:tc>
          <w:tcPr>
            <w:tcW w:w="1440" w:type="dxa"/>
            <w:vAlign w:val="bottom"/>
            <w:shd w:val="clear" w:color="auto" w:fill="CCEEFF"/>
          </w:tcPr>
          <w:p>
            <w:pPr>
              <w:ind w:left="920"/>
              <w:spacing w:after="0"/>
              <w:rPr>
                <w:sz w:val="20"/>
                <w:szCs w:val="20"/>
                <w:color w:val="auto"/>
              </w:rPr>
            </w:pPr>
            <w:r>
              <w:rPr>
                <w:rFonts w:ascii="Arial" w:cs="Arial" w:eastAsia="Arial" w:hAnsi="Arial"/>
                <w:sz w:val="17"/>
                <w:szCs w:val="17"/>
                <w:color w:val="auto"/>
              </w:rPr>
              <w:t>3.45</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75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2600" w:type="dxa"/>
            <w:vAlign w:val="bottom"/>
            <w:gridSpan w:val="2"/>
          </w:tcPr>
          <w:p>
            <w:pPr>
              <w:ind w:left="20"/>
              <w:spacing w:after="0"/>
              <w:rPr>
                <w:sz w:val="20"/>
                <w:szCs w:val="20"/>
                <w:color w:val="auto"/>
              </w:rPr>
            </w:pPr>
            <w:r>
              <w:rPr>
                <w:rFonts w:ascii="Arial" w:cs="Arial" w:eastAsia="Arial" w:hAnsi="Arial"/>
                <w:sz w:val="17"/>
                <w:szCs w:val="17"/>
                <w:color w:val="auto"/>
              </w:rPr>
              <w:t>100 basis point decline</w:t>
            </w:r>
          </w:p>
        </w:tc>
        <w:tc>
          <w:tcPr>
            <w:tcW w:w="180" w:type="dxa"/>
            <w:vAlign w:val="bottom"/>
          </w:tcPr>
          <w:p>
            <w:pPr>
              <w:spacing w:after="0"/>
              <w:rPr>
                <w:sz w:val="18"/>
                <w:szCs w:val="18"/>
                <w:color w:val="auto"/>
              </w:rPr>
            </w:pPr>
          </w:p>
        </w:tc>
        <w:tc>
          <w:tcPr>
            <w:tcW w:w="1300" w:type="dxa"/>
            <w:vAlign w:val="bottom"/>
          </w:tcPr>
          <w:p>
            <w:pPr>
              <w:jc w:val="right"/>
              <w:ind w:right="214"/>
              <w:spacing w:after="0"/>
              <w:rPr>
                <w:sz w:val="20"/>
                <w:szCs w:val="20"/>
                <w:color w:val="auto"/>
              </w:rPr>
            </w:pPr>
            <w:r>
              <w:rPr>
                <w:rFonts w:ascii="Arial" w:cs="Arial" w:eastAsia="Arial" w:hAnsi="Arial"/>
                <w:sz w:val="17"/>
                <w:szCs w:val="17"/>
                <w:color w:val="auto"/>
              </w:rPr>
              <w:t>524,000</w:t>
            </w:r>
          </w:p>
        </w:tc>
        <w:tc>
          <w:tcPr>
            <w:tcW w:w="1300" w:type="dxa"/>
            <w:vAlign w:val="bottom"/>
          </w:tcPr>
          <w:p>
            <w:pPr>
              <w:jc w:val="right"/>
              <w:ind w:right="174"/>
              <w:spacing w:after="0"/>
              <w:rPr>
                <w:sz w:val="20"/>
                <w:szCs w:val="20"/>
                <w:color w:val="auto"/>
              </w:rPr>
            </w:pPr>
            <w:r>
              <w:rPr>
                <w:rFonts w:ascii="Arial" w:cs="Arial" w:eastAsia="Arial" w:hAnsi="Arial"/>
                <w:sz w:val="17"/>
                <w:szCs w:val="17"/>
                <w:color w:val="auto"/>
              </w:rPr>
              <w:t>7.69</w:t>
            </w:r>
          </w:p>
        </w:tc>
        <w:tc>
          <w:tcPr>
            <w:tcW w:w="240" w:type="dxa"/>
            <w:vAlign w:val="bottom"/>
          </w:tcPr>
          <w:p>
            <w:pPr>
              <w:spacing w:after="0"/>
              <w:rPr>
                <w:sz w:val="18"/>
                <w:szCs w:val="18"/>
                <w:color w:val="auto"/>
              </w:rPr>
            </w:pPr>
          </w:p>
        </w:tc>
        <w:tc>
          <w:tcPr>
            <w:tcW w:w="1320" w:type="dxa"/>
            <w:vAlign w:val="bottom"/>
          </w:tcPr>
          <w:p>
            <w:pPr>
              <w:jc w:val="right"/>
              <w:ind w:right="194"/>
              <w:spacing w:after="0"/>
              <w:rPr>
                <w:sz w:val="20"/>
                <w:szCs w:val="20"/>
                <w:color w:val="auto"/>
              </w:rPr>
            </w:pPr>
            <w:r>
              <w:rPr>
                <w:rFonts w:ascii="Arial" w:cs="Arial" w:eastAsia="Arial" w:hAnsi="Arial"/>
                <w:sz w:val="17"/>
                <w:szCs w:val="17"/>
                <w:color w:val="auto"/>
              </w:rPr>
              <w:t>171,100</w:t>
            </w:r>
          </w:p>
        </w:tc>
        <w:tc>
          <w:tcPr>
            <w:tcW w:w="1280" w:type="dxa"/>
            <w:vAlign w:val="bottom"/>
          </w:tcPr>
          <w:p>
            <w:pPr>
              <w:jc w:val="right"/>
              <w:ind w:right="94"/>
              <w:spacing w:after="0"/>
              <w:rPr>
                <w:sz w:val="20"/>
                <w:szCs w:val="20"/>
                <w:color w:val="auto"/>
              </w:rPr>
            </w:pPr>
            <w:r>
              <w:rPr>
                <w:rFonts w:ascii="Arial" w:cs="Arial" w:eastAsia="Arial" w:hAnsi="Arial"/>
                <w:sz w:val="17"/>
                <w:szCs w:val="17"/>
                <w:color w:val="auto"/>
              </w:rPr>
              <w:t>(0.58)</w:t>
            </w:r>
          </w:p>
        </w:tc>
        <w:tc>
          <w:tcPr>
            <w:tcW w:w="80" w:type="dxa"/>
            <w:vAlign w:val="bottom"/>
          </w:tcPr>
          <w:p>
            <w:pPr>
              <w:spacing w:after="0"/>
              <w:rPr>
                <w:sz w:val="18"/>
                <w:szCs w:val="18"/>
                <w:color w:val="auto"/>
              </w:rPr>
            </w:pPr>
          </w:p>
        </w:tc>
        <w:tc>
          <w:tcPr>
            <w:tcW w:w="1440" w:type="dxa"/>
            <w:vAlign w:val="bottom"/>
          </w:tcPr>
          <w:p>
            <w:pPr>
              <w:ind w:left="920"/>
              <w:spacing w:after="0"/>
              <w:rPr>
                <w:sz w:val="20"/>
                <w:szCs w:val="20"/>
                <w:color w:val="auto"/>
              </w:rPr>
            </w:pPr>
            <w:r>
              <w:rPr>
                <w:rFonts w:ascii="Arial" w:cs="Arial" w:eastAsia="Arial" w:hAnsi="Arial"/>
                <w:sz w:val="17"/>
                <w:szCs w:val="17"/>
                <w:color w:val="auto"/>
              </w:rPr>
              <w:t>3.43</w:t>
            </w:r>
          </w:p>
        </w:tc>
        <w:tc>
          <w:tcPr>
            <w:tcW w:w="80" w:type="dxa"/>
            <w:vAlign w:val="bottom"/>
          </w:tcPr>
          <w:p>
            <w:pPr>
              <w:spacing w:after="0"/>
              <w:rPr>
                <w:sz w:val="18"/>
                <w:szCs w:val="18"/>
                <w:color w:val="auto"/>
              </w:rPr>
            </w:pPr>
          </w:p>
        </w:tc>
        <w:tc>
          <w:tcPr>
            <w:tcW w:w="1420" w:type="dxa"/>
            <w:vAlign w:val="bottom"/>
          </w:tcPr>
          <w:p>
            <w:pPr>
              <w:jc w:val="right"/>
              <w:ind w:right="74"/>
              <w:spacing w:after="0"/>
              <w:rPr>
                <w:sz w:val="20"/>
                <w:szCs w:val="20"/>
                <w:color w:val="auto"/>
              </w:rPr>
            </w:pPr>
            <w:r>
              <w:rPr>
                <w:rFonts w:ascii="Arial" w:cs="Arial" w:eastAsia="Arial" w:hAnsi="Arial"/>
                <w:sz w:val="17"/>
                <w:szCs w:val="17"/>
                <w:color w:val="auto"/>
              </w:rPr>
              <w:t>(0.58)</w:t>
            </w:r>
          </w:p>
        </w:tc>
        <w:tc>
          <w:tcPr>
            <w:tcW w:w="0" w:type="dxa"/>
            <w:vAlign w:val="bottom"/>
          </w:tcPr>
          <w:p>
            <w:pPr>
              <w:spacing w:after="0"/>
              <w:rPr>
                <w:sz w:val="1"/>
                <w:szCs w:val="1"/>
                <w:color w:val="auto"/>
              </w:rPr>
            </w:pPr>
          </w:p>
        </w:tc>
      </w:tr>
      <w:tr>
        <w:trPr>
          <w:trHeight w:val="220"/>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200 basis point decline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563,800</w:t>
            </w:r>
          </w:p>
        </w:tc>
        <w:tc>
          <w:tcPr>
            <w:tcW w:w="13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15.87</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169,500</w:t>
            </w:r>
          </w:p>
        </w:tc>
        <w:tc>
          <w:tcPr>
            <w:tcW w:w="1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(1.51)</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ind w:left="920"/>
              <w:spacing w:after="0"/>
              <w:rPr>
                <w:sz w:val="20"/>
                <w:szCs w:val="20"/>
                <w:color w:val="auto"/>
              </w:rPr>
            </w:pPr>
            <w:r>
              <w:rPr>
                <w:rFonts w:ascii="Arial" w:cs="Arial" w:eastAsia="Arial" w:hAnsi="Arial"/>
                <w:sz w:val="17"/>
                <w:szCs w:val="17"/>
                <w:color w:val="auto"/>
              </w:rPr>
              <w:t>3.40</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258"/>
        </w:trPr>
        <w:tc>
          <w:tcPr>
            <w:tcW w:w="2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December 31, 2022</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600" w:type="dxa"/>
            <w:vAlign w:val="bottom"/>
            <w:gridSpan w:val="2"/>
          </w:tcPr>
          <w:p>
            <w:pPr>
              <w:ind w:left="20"/>
              <w:spacing w:after="0"/>
              <w:rPr>
                <w:sz w:val="20"/>
                <w:szCs w:val="20"/>
                <w:color w:val="auto"/>
              </w:rPr>
            </w:pPr>
            <w:r>
              <w:rPr>
                <w:rFonts w:ascii="Arial" w:cs="Arial" w:eastAsia="Arial" w:hAnsi="Arial"/>
                <w:sz w:val="17"/>
                <w:szCs w:val="17"/>
                <w:color w:val="auto"/>
              </w:rPr>
              <w:t>200 basis point rise</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ind w:right="214"/>
              <w:spacing w:after="0"/>
              <w:rPr>
                <w:sz w:val="20"/>
                <w:szCs w:val="20"/>
                <w:color w:val="auto"/>
              </w:rPr>
            </w:pPr>
            <w:r>
              <w:rPr>
                <w:rFonts w:ascii="Arial" w:cs="Arial" w:eastAsia="Arial" w:hAnsi="Arial"/>
                <w:sz w:val="17"/>
                <w:szCs w:val="17"/>
                <w:color w:val="auto"/>
              </w:rPr>
              <w:t>457,800</w:t>
            </w:r>
          </w:p>
        </w:tc>
        <w:tc>
          <w:tcPr>
            <w:tcW w:w="1300" w:type="dxa"/>
            <w:vAlign w:val="bottom"/>
          </w:tcPr>
          <w:p>
            <w:pPr>
              <w:jc w:val="right"/>
              <w:spacing w:after="0"/>
              <w:rPr>
                <w:sz w:val="20"/>
                <w:szCs w:val="20"/>
                <w:color w:val="auto"/>
              </w:rPr>
            </w:pPr>
            <w:r>
              <w:rPr>
                <w:rFonts w:ascii="Arial" w:cs="Arial" w:eastAsia="Arial" w:hAnsi="Arial"/>
                <w:sz w:val="17"/>
                <w:szCs w:val="17"/>
                <w:color w:val="auto"/>
              </w:rPr>
              <w:t>(15.86)%</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94"/>
              <w:spacing w:after="0"/>
              <w:rPr>
                <w:sz w:val="20"/>
                <w:szCs w:val="20"/>
                <w:color w:val="auto"/>
              </w:rPr>
            </w:pPr>
            <w:r>
              <w:rPr>
                <w:rFonts w:ascii="Arial" w:cs="Arial" w:eastAsia="Arial" w:hAnsi="Arial"/>
                <w:sz w:val="17"/>
                <w:szCs w:val="17"/>
                <w:color w:val="auto"/>
              </w:rPr>
              <w:t>165,800</w:t>
            </w:r>
          </w:p>
        </w:tc>
        <w:tc>
          <w:tcPr>
            <w:tcW w:w="1280" w:type="dxa"/>
            <w:vAlign w:val="bottom"/>
          </w:tcPr>
          <w:p>
            <w:pPr>
              <w:jc w:val="center"/>
              <w:ind w:left="594"/>
              <w:spacing w:after="0"/>
              <w:rPr>
                <w:sz w:val="20"/>
                <w:szCs w:val="20"/>
                <w:color w:val="auto"/>
              </w:rPr>
            </w:pPr>
            <w:r>
              <w:rPr>
                <w:rFonts w:ascii="Arial" w:cs="Arial" w:eastAsia="Arial" w:hAnsi="Arial"/>
                <w:sz w:val="17"/>
                <w:szCs w:val="17"/>
                <w:color w:val="auto"/>
                <w:w w:val="94"/>
              </w:rPr>
              <w:t>(0.90)%</w:t>
            </w:r>
          </w:p>
        </w:tc>
        <w:tc>
          <w:tcPr>
            <w:tcW w:w="80" w:type="dxa"/>
            <w:vAlign w:val="bottom"/>
          </w:tcPr>
          <w:p>
            <w:pPr>
              <w:spacing w:after="0"/>
              <w:rPr>
                <w:sz w:val="18"/>
                <w:szCs w:val="18"/>
                <w:color w:val="auto"/>
              </w:rPr>
            </w:pPr>
          </w:p>
        </w:tc>
        <w:tc>
          <w:tcPr>
            <w:tcW w:w="1440" w:type="dxa"/>
            <w:vAlign w:val="bottom"/>
          </w:tcPr>
          <w:p>
            <w:pPr>
              <w:ind w:left="920"/>
              <w:spacing w:after="0"/>
              <w:rPr>
                <w:sz w:val="20"/>
                <w:szCs w:val="20"/>
                <w:color w:val="auto"/>
              </w:rPr>
            </w:pPr>
            <w:r>
              <w:rPr>
                <w:rFonts w:ascii="Arial" w:cs="Arial" w:eastAsia="Arial" w:hAnsi="Arial"/>
                <w:sz w:val="17"/>
                <w:szCs w:val="17"/>
                <w:color w:val="auto"/>
                <w:w w:val="94"/>
              </w:rPr>
              <w:t>3.46 %</w:t>
            </w:r>
          </w:p>
        </w:tc>
        <w:tc>
          <w:tcPr>
            <w:tcW w:w="80" w:type="dxa"/>
            <w:vAlign w:val="bottom"/>
          </w:tcPr>
          <w:p>
            <w:pPr>
              <w:spacing w:after="0"/>
              <w:rPr>
                <w:sz w:val="18"/>
                <w:szCs w:val="18"/>
                <w:color w:val="auto"/>
              </w:rPr>
            </w:pPr>
          </w:p>
        </w:tc>
        <w:tc>
          <w:tcPr>
            <w:tcW w:w="1420" w:type="dxa"/>
            <w:vAlign w:val="bottom"/>
          </w:tcPr>
          <w:p>
            <w:pPr>
              <w:jc w:val="center"/>
              <w:ind w:left="734"/>
              <w:spacing w:after="0"/>
              <w:rPr>
                <w:sz w:val="20"/>
                <w:szCs w:val="20"/>
                <w:color w:val="auto"/>
              </w:rPr>
            </w:pPr>
            <w:r>
              <w:rPr>
                <w:rFonts w:ascii="Arial" w:cs="Arial" w:eastAsia="Arial" w:hAnsi="Arial"/>
                <w:sz w:val="17"/>
                <w:szCs w:val="17"/>
                <w:color w:val="auto"/>
                <w:w w:val="94"/>
              </w:rPr>
              <w:t>(0.86)%</w:t>
            </w:r>
          </w:p>
        </w:tc>
        <w:tc>
          <w:tcPr>
            <w:tcW w:w="0" w:type="dxa"/>
            <w:vAlign w:val="bottom"/>
          </w:tcPr>
          <w:p>
            <w:pPr>
              <w:spacing w:after="0"/>
              <w:rPr>
                <w:sz w:val="1"/>
                <w:szCs w:val="1"/>
                <w:color w:val="auto"/>
              </w:rPr>
            </w:pPr>
          </w:p>
        </w:tc>
      </w:tr>
      <w:tr>
        <w:trPr>
          <w:trHeight w:val="220"/>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100 basis point rise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500,700</w:t>
            </w:r>
          </w:p>
        </w:tc>
        <w:tc>
          <w:tcPr>
            <w:tcW w:w="1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(7.98)</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167,000</w:t>
            </w:r>
          </w:p>
        </w:tc>
        <w:tc>
          <w:tcPr>
            <w:tcW w:w="1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(0.18)</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ind w:left="920"/>
              <w:spacing w:after="0"/>
              <w:rPr>
                <w:sz w:val="20"/>
                <w:szCs w:val="20"/>
                <w:color w:val="auto"/>
              </w:rPr>
            </w:pPr>
            <w:r>
              <w:rPr>
                <w:rFonts w:ascii="Arial" w:cs="Arial" w:eastAsia="Arial" w:hAnsi="Arial"/>
                <w:sz w:val="17"/>
                <w:szCs w:val="17"/>
                <w:color w:val="auto"/>
              </w:rPr>
              <w:t>3.49</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75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2600" w:type="dxa"/>
            <w:vAlign w:val="bottom"/>
            <w:gridSpan w:val="2"/>
          </w:tcPr>
          <w:p>
            <w:pPr>
              <w:ind w:left="20"/>
              <w:spacing w:after="0"/>
              <w:rPr>
                <w:sz w:val="20"/>
                <w:szCs w:val="20"/>
                <w:color w:val="auto"/>
              </w:rPr>
            </w:pPr>
            <w:r>
              <w:rPr>
                <w:rFonts w:ascii="Arial" w:cs="Arial" w:eastAsia="Arial" w:hAnsi="Arial"/>
                <w:sz w:val="17"/>
                <w:szCs w:val="17"/>
                <w:color w:val="auto"/>
              </w:rPr>
              <w:t>Base-rate scenario</w:t>
            </w:r>
          </w:p>
        </w:tc>
        <w:tc>
          <w:tcPr>
            <w:tcW w:w="180" w:type="dxa"/>
            <w:vAlign w:val="bottom"/>
          </w:tcPr>
          <w:p>
            <w:pPr>
              <w:spacing w:after="0"/>
              <w:rPr>
                <w:sz w:val="18"/>
                <w:szCs w:val="18"/>
                <w:color w:val="auto"/>
              </w:rPr>
            </w:pPr>
          </w:p>
        </w:tc>
        <w:tc>
          <w:tcPr>
            <w:tcW w:w="1300" w:type="dxa"/>
            <w:vAlign w:val="bottom"/>
          </w:tcPr>
          <w:p>
            <w:pPr>
              <w:jc w:val="right"/>
              <w:ind w:right="214"/>
              <w:spacing w:after="0"/>
              <w:rPr>
                <w:sz w:val="20"/>
                <w:szCs w:val="20"/>
                <w:color w:val="auto"/>
              </w:rPr>
            </w:pPr>
            <w:r>
              <w:rPr>
                <w:rFonts w:ascii="Arial" w:cs="Arial" w:eastAsia="Arial" w:hAnsi="Arial"/>
                <w:sz w:val="17"/>
                <w:szCs w:val="17"/>
                <w:color w:val="auto"/>
              </w:rPr>
              <w:t>544,100</w:t>
            </w:r>
          </w:p>
        </w:tc>
        <w:tc>
          <w:tcPr>
            <w:tcW w:w="130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320" w:type="dxa"/>
            <w:vAlign w:val="bottom"/>
          </w:tcPr>
          <w:p>
            <w:pPr>
              <w:jc w:val="right"/>
              <w:ind w:right="194"/>
              <w:spacing w:after="0"/>
              <w:rPr>
                <w:sz w:val="20"/>
                <w:szCs w:val="20"/>
                <w:color w:val="auto"/>
              </w:rPr>
            </w:pPr>
            <w:r>
              <w:rPr>
                <w:rFonts w:ascii="Arial" w:cs="Arial" w:eastAsia="Arial" w:hAnsi="Arial"/>
                <w:sz w:val="17"/>
                <w:szCs w:val="17"/>
                <w:color w:val="auto"/>
              </w:rPr>
              <w:t>167,300</w:t>
            </w:r>
          </w:p>
        </w:tc>
        <w:tc>
          <w:tcPr>
            <w:tcW w:w="1360" w:type="dxa"/>
            <w:vAlign w:val="bottom"/>
            <w:gridSpan w:val="2"/>
          </w:tcPr>
          <w:p>
            <w:pPr>
              <w:jc w:val="center"/>
              <w:ind w:left="514"/>
              <w:spacing w:after="0"/>
              <w:rPr>
                <w:sz w:val="20"/>
                <w:szCs w:val="20"/>
                <w:color w:val="auto"/>
              </w:rPr>
            </w:pPr>
            <w:r>
              <w:rPr>
                <w:rFonts w:ascii="Arial" w:cs="Arial" w:eastAsia="Arial" w:hAnsi="Arial"/>
                <w:sz w:val="17"/>
                <w:szCs w:val="17"/>
                <w:color w:val="auto"/>
                <w:w w:val="93"/>
              </w:rPr>
              <w:t>—</w:t>
            </w:r>
          </w:p>
        </w:tc>
        <w:tc>
          <w:tcPr>
            <w:tcW w:w="1440" w:type="dxa"/>
            <w:vAlign w:val="bottom"/>
          </w:tcPr>
          <w:p>
            <w:pPr>
              <w:ind w:left="920"/>
              <w:spacing w:after="0"/>
              <w:rPr>
                <w:sz w:val="20"/>
                <w:szCs w:val="20"/>
                <w:color w:val="auto"/>
              </w:rPr>
            </w:pPr>
            <w:r>
              <w:rPr>
                <w:rFonts w:ascii="Arial" w:cs="Arial" w:eastAsia="Arial" w:hAnsi="Arial"/>
                <w:sz w:val="17"/>
                <w:szCs w:val="17"/>
                <w:color w:val="auto"/>
              </w:rPr>
              <w:t>3.49</w:t>
            </w:r>
          </w:p>
        </w:tc>
        <w:tc>
          <w:tcPr>
            <w:tcW w:w="80" w:type="dxa"/>
            <w:vAlign w:val="bottom"/>
          </w:tcPr>
          <w:p>
            <w:pPr>
              <w:spacing w:after="0"/>
              <w:rPr>
                <w:sz w:val="18"/>
                <w:szCs w:val="18"/>
                <w:color w:val="auto"/>
              </w:rPr>
            </w:pPr>
          </w:p>
        </w:tc>
        <w:tc>
          <w:tcPr>
            <w:tcW w:w="1420" w:type="dxa"/>
            <w:vAlign w:val="bottom"/>
          </w:tcPr>
          <w:p>
            <w:pPr>
              <w:jc w:val="center"/>
              <w:ind w:left="75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100 basis point decline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586,400</w:t>
            </w:r>
          </w:p>
        </w:tc>
        <w:tc>
          <w:tcPr>
            <w:tcW w:w="130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7.77</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166,600</w:t>
            </w:r>
          </w:p>
        </w:tc>
        <w:tc>
          <w:tcPr>
            <w:tcW w:w="1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(0.42)</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ind w:left="920"/>
              <w:spacing w:after="0"/>
              <w:rPr>
                <w:sz w:val="20"/>
                <w:szCs w:val="20"/>
                <w:color w:val="auto"/>
              </w:rPr>
            </w:pPr>
            <w:r>
              <w:rPr>
                <w:rFonts w:ascii="Arial" w:cs="Arial" w:eastAsia="Arial" w:hAnsi="Arial"/>
                <w:sz w:val="17"/>
                <w:szCs w:val="17"/>
                <w:color w:val="auto"/>
              </w:rPr>
              <w:t>3.48</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(0.29)</w:t>
            </w:r>
          </w:p>
        </w:tc>
        <w:tc>
          <w:tcPr>
            <w:tcW w:w="0" w:type="dxa"/>
            <w:vAlign w:val="bottom"/>
          </w:tcPr>
          <w:p>
            <w:pPr>
              <w:spacing w:after="0"/>
              <w:rPr>
                <w:sz w:val="1"/>
                <w:szCs w:val="1"/>
                <w:color w:val="auto"/>
              </w:rPr>
            </w:pPr>
          </w:p>
        </w:tc>
      </w:tr>
      <w:tr>
        <w:trPr>
          <w:trHeight w:val="218"/>
        </w:trPr>
        <w:tc>
          <w:tcPr>
            <w:tcW w:w="2600" w:type="dxa"/>
            <w:vAlign w:val="bottom"/>
            <w:gridSpan w:val="2"/>
          </w:tcPr>
          <w:p>
            <w:pPr>
              <w:ind w:left="20"/>
              <w:spacing w:after="0"/>
              <w:rPr>
                <w:sz w:val="20"/>
                <w:szCs w:val="20"/>
                <w:color w:val="auto"/>
              </w:rPr>
            </w:pPr>
            <w:r>
              <w:rPr>
                <w:rFonts w:ascii="Arial" w:cs="Arial" w:eastAsia="Arial" w:hAnsi="Arial"/>
                <w:sz w:val="17"/>
                <w:szCs w:val="17"/>
                <w:color w:val="auto"/>
              </w:rPr>
              <w:t>200 basis point decline</w:t>
            </w:r>
          </w:p>
        </w:tc>
        <w:tc>
          <w:tcPr>
            <w:tcW w:w="180" w:type="dxa"/>
            <w:vAlign w:val="bottom"/>
          </w:tcPr>
          <w:p>
            <w:pPr>
              <w:spacing w:after="0"/>
              <w:rPr>
                <w:sz w:val="18"/>
                <w:szCs w:val="18"/>
                <w:color w:val="auto"/>
              </w:rPr>
            </w:pPr>
          </w:p>
        </w:tc>
        <w:tc>
          <w:tcPr>
            <w:tcW w:w="1300" w:type="dxa"/>
            <w:vAlign w:val="bottom"/>
          </w:tcPr>
          <w:p>
            <w:pPr>
              <w:jc w:val="right"/>
              <w:ind w:right="214"/>
              <w:spacing w:after="0"/>
              <w:rPr>
                <w:sz w:val="20"/>
                <w:szCs w:val="20"/>
                <w:color w:val="auto"/>
              </w:rPr>
            </w:pPr>
            <w:r>
              <w:rPr>
                <w:rFonts w:ascii="Arial" w:cs="Arial" w:eastAsia="Arial" w:hAnsi="Arial"/>
                <w:sz w:val="17"/>
                <w:szCs w:val="17"/>
                <w:color w:val="auto"/>
              </w:rPr>
              <w:t>608,800</w:t>
            </w:r>
          </w:p>
        </w:tc>
        <w:tc>
          <w:tcPr>
            <w:tcW w:w="1300" w:type="dxa"/>
            <w:vAlign w:val="bottom"/>
          </w:tcPr>
          <w:p>
            <w:pPr>
              <w:jc w:val="right"/>
              <w:ind w:right="154"/>
              <w:spacing w:after="0"/>
              <w:rPr>
                <w:sz w:val="20"/>
                <w:szCs w:val="20"/>
                <w:color w:val="auto"/>
              </w:rPr>
            </w:pPr>
            <w:r>
              <w:rPr>
                <w:rFonts w:ascii="Arial" w:cs="Arial" w:eastAsia="Arial" w:hAnsi="Arial"/>
                <w:sz w:val="17"/>
                <w:szCs w:val="17"/>
                <w:color w:val="auto"/>
              </w:rPr>
              <w:t>11.89</w:t>
            </w:r>
          </w:p>
        </w:tc>
        <w:tc>
          <w:tcPr>
            <w:tcW w:w="240" w:type="dxa"/>
            <w:vAlign w:val="bottom"/>
          </w:tcPr>
          <w:p>
            <w:pPr>
              <w:spacing w:after="0"/>
              <w:rPr>
                <w:sz w:val="18"/>
                <w:szCs w:val="18"/>
                <w:color w:val="auto"/>
              </w:rPr>
            </w:pPr>
          </w:p>
        </w:tc>
        <w:tc>
          <w:tcPr>
            <w:tcW w:w="1320" w:type="dxa"/>
            <w:vAlign w:val="bottom"/>
          </w:tcPr>
          <w:p>
            <w:pPr>
              <w:jc w:val="right"/>
              <w:ind w:right="194"/>
              <w:spacing w:after="0"/>
              <w:rPr>
                <w:sz w:val="20"/>
                <w:szCs w:val="20"/>
                <w:color w:val="auto"/>
              </w:rPr>
            </w:pPr>
            <w:r>
              <w:rPr>
                <w:rFonts w:ascii="Arial" w:cs="Arial" w:eastAsia="Arial" w:hAnsi="Arial"/>
                <w:sz w:val="17"/>
                <w:szCs w:val="17"/>
                <w:color w:val="auto"/>
              </w:rPr>
              <w:t>164,000</w:t>
            </w:r>
          </w:p>
        </w:tc>
        <w:tc>
          <w:tcPr>
            <w:tcW w:w="1280" w:type="dxa"/>
            <w:vAlign w:val="bottom"/>
          </w:tcPr>
          <w:p>
            <w:pPr>
              <w:jc w:val="right"/>
              <w:ind w:right="94"/>
              <w:spacing w:after="0"/>
              <w:rPr>
                <w:sz w:val="20"/>
                <w:szCs w:val="20"/>
                <w:color w:val="auto"/>
              </w:rPr>
            </w:pPr>
            <w:r>
              <w:rPr>
                <w:rFonts w:ascii="Arial" w:cs="Arial" w:eastAsia="Arial" w:hAnsi="Arial"/>
                <w:sz w:val="17"/>
                <w:szCs w:val="17"/>
                <w:color w:val="auto"/>
              </w:rPr>
              <w:t>(1.97)</w:t>
            </w:r>
          </w:p>
        </w:tc>
        <w:tc>
          <w:tcPr>
            <w:tcW w:w="80" w:type="dxa"/>
            <w:vAlign w:val="bottom"/>
          </w:tcPr>
          <w:p>
            <w:pPr>
              <w:spacing w:after="0"/>
              <w:rPr>
                <w:sz w:val="18"/>
                <w:szCs w:val="18"/>
                <w:color w:val="auto"/>
              </w:rPr>
            </w:pPr>
          </w:p>
        </w:tc>
        <w:tc>
          <w:tcPr>
            <w:tcW w:w="1440" w:type="dxa"/>
            <w:vAlign w:val="bottom"/>
          </w:tcPr>
          <w:p>
            <w:pPr>
              <w:ind w:left="920"/>
              <w:spacing w:after="0"/>
              <w:rPr>
                <w:sz w:val="20"/>
                <w:szCs w:val="20"/>
                <w:color w:val="auto"/>
              </w:rPr>
            </w:pPr>
            <w:r>
              <w:rPr>
                <w:rFonts w:ascii="Arial" w:cs="Arial" w:eastAsia="Arial" w:hAnsi="Arial"/>
                <w:sz w:val="17"/>
                <w:szCs w:val="17"/>
                <w:color w:val="auto"/>
              </w:rPr>
              <w:t>3.42</w:t>
            </w:r>
          </w:p>
        </w:tc>
        <w:tc>
          <w:tcPr>
            <w:tcW w:w="80" w:type="dxa"/>
            <w:vAlign w:val="bottom"/>
          </w:tcPr>
          <w:p>
            <w:pPr>
              <w:spacing w:after="0"/>
              <w:rPr>
                <w:sz w:val="18"/>
                <w:szCs w:val="18"/>
                <w:color w:val="auto"/>
              </w:rPr>
            </w:pPr>
          </w:p>
        </w:tc>
        <w:tc>
          <w:tcPr>
            <w:tcW w:w="1420" w:type="dxa"/>
            <w:vAlign w:val="bottom"/>
          </w:tcPr>
          <w:p>
            <w:pPr>
              <w:jc w:val="right"/>
              <w:ind w:right="74"/>
              <w:spacing w:after="0"/>
              <w:rPr>
                <w:sz w:val="20"/>
                <w:szCs w:val="20"/>
                <w:color w:val="auto"/>
              </w:rPr>
            </w:pPr>
            <w:r>
              <w:rPr>
                <w:rFonts w:ascii="Arial" w:cs="Arial" w:eastAsia="Arial" w:hAnsi="Arial"/>
                <w:sz w:val="17"/>
                <w:szCs w:val="17"/>
                <w:color w:val="auto"/>
              </w:rPr>
              <w:t>(2.01)</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w:t>
      </w:r>
    </w:p>
    <w:p>
      <w:pPr>
        <w:spacing w:after="0" w:line="191" w:lineRule="exact"/>
        <w:rPr>
          <w:sz w:val="20"/>
          <w:szCs w:val="20"/>
          <w:color w:val="auto"/>
        </w:rPr>
      </w:pPr>
    </w:p>
    <w:p>
      <w:pPr>
        <w:jc w:val="both"/>
        <w:ind w:left="320" w:hanging="317"/>
        <w:spacing w:after="0" w:line="257" w:lineRule="auto"/>
        <w:tabs>
          <w:tab w:leader="none" w:pos="314" w:val="left"/>
        </w:tabs>
        <w:numPr>
          <w:ilvl w:val="0"/>
          <w:numId w:val="34"/>
        </w:numPr>
        <w:rPr>
          <w:rFonts w:ascii="Arial" w:cs="Arial" w:eastAsia="Arial" w:hAnsi="Arial"/>
          <w:sz w:val="17"/>
          <w:szCs w:val="17"/>
          <w:color w:val="auto"/>
        </w:rPr>
      </w:pPr>
      <w:r>
        <w:rPr>
          <w:rFonts w:ascii="Arial" w:cs="Arial" w:eastAsia="Arial" w:hAnsi="Arial"/>
          <w:sz w:val="17"/>
          <w:szCs w:val="17"/>
          <w:color w:val="auto"/>
        </w:rPr>
        <w:t>Simulation analyses calculate the change in the net present value of our assets and liabilities, including debt and related financial derivative instruments, under parallel shifts in interest rates by discounting the estimated future cash flows using a market-based discount rate. Cash flow estimates incorporate anticipated changes in prepayment speeds and other embedded options.</w:t>
      </w:r>
    </w:p>
    <w:p>
      <w:pPr>
        <w:spacing w:after="0" w:line="1" w:lineRule="exact"/>
        <w:rPr>
          <w:rFonts w:ascii="Arial" w:cs="Arial" w:eastAsia="Arial" w:hAnsi="Arial"/>
          <w:sz w:val="17"/>
          <w:szCs w:val="17"/>
          <w:color w:val="auto"/>
        </w:rPr>
      </w:pPr>
    </w:p>
    <w:p>
      <w:pPr>
        <w:jc w:val="both"/>
        <w:ind w:left="320" w:hanging="317"/>
        <w:spacing w:after="0" w:line="287" w:lineRule="auto"/>
        <w:tabs>
          <w:tab w:leader="none" w:pos="314" w:val="left"/>
        </w:tabs>
        <w:numPr>
          <w:ilvl w:val="0"/>
          <w:numId w:val="34"/>
        </w:numPr>
        <w:rPr>
          <w:rFonts w:ascii="Arial" w:cs="Arial" w:eastAsia="Arial" w:hAnsi="Arial"/>
          <w:sz w:val="15"/>
          <w:szCs w:val="15"/>
          <w:color w:val="auto"/>
        </w:rPr>
      </w:pPr>
      <w:r>
        <w:rPr>
          <w:rFonts w:ascii="Arial" w:cs="Arial" w:eastAsia="Arial" w:hAnsi="Arial"/>
          <w:sz w:val="15"/>
          <w:szCs w:val="15"/>
          <w:color w:val="auto"/>
        </w:rPr>
        <w:t>Simulation analyses calculate the change in net interest income under immediate parallel shifts in interest rates over the next twelve months, based upon a static statement of financial condition, which includes debt and related financial derivative instruments, and do not consider loan fees or loan origination costs.</w:t>
      </w:r>
    </w:p>
    <w:p>
      <w:pPr>
        <w:jc w:val="both"/>
        <w:ind w:left="320" w:hanging="317"/>
        <w:spacing w:after="0" w:line="259" w:lineRule="auto"/>
        <w:tabs>
          <w:tab w:leader="none" w:pos="314" w:val="left"/>
        </w:tabs>
        <w:numPr>
          <w:ilvl w:val="0"/>
          <w:numId w:val="34"/>
        </w:numPr>
        <w:rPr>
          <w:rFonts w:ascii="Arial" w:cs="Arial" w:eastAsia="Arial" w:hAnsi="Arial"/>
          <w:sz w:val="17"/>
          <w:szCs w:val="17"/>
          <w:color w:val="auto"/>
        </w:rPr>
      </w:pPr>
      <w:r>
        <w:rPr>
          <w:rFonts w:ascii="Arial" w:cs="Arial" w:eastAsia="Arial" w:hAnsi="Arial"/>
          <w:sz w:val="17"/>
          <w:szCs w:val="17"/>
          <w:color w:val="auto"/>
        </w:rPr>
        <w:t>Simulation analyses calculate the change in tax equivalent net interest income as a percent of average interest-earning assets (the “net interest margin”) under immediate parallel shifts in interest rates over the next twelve months, based upon a static statement of financial condition, which includes debt and related financial derivative instruments, and do not consider loan fees or loan origination costs.</w:t>
      </w:r>
    </w:p>
    <w:p>
      <w:pPr>
        <w:spacing w:after="0" w:line="13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 xml:space="preserve">Accounting standards update. </w:t>
      </w:r>
      <w:r>
        <w:rPr>
          <w:rFonts w:ascii="Arial" w:cs="Arial" w:eastAsia="Arial" w:hAnsi="Arial"/>
          <w:sz w:val="17"/>
          <w:szCs w:val="17"/>
          <w:color w:val="auto"/>
        </w:rPr>
        <w:t>See note #2 to the Condensed Consolidated Financial Statements included elsewhere in this report for details on recently issued</w:t>
      </w:r>
      <w:r>
        <w:rPr>
          <w:rFonts w:ascii="Arial" w:cs="Arial" w:eastAsia="Arial" w:hAnsi="Arial"/>
          <w:sz w:val="17"/>
          <w:szCs w:val="17"/>
          <w:b w:val="1"/>
          <w:bCs w:val="1"/>
          <w:color w:val="auto"/>
        </w:rPr>
        <w:t xml:space="preserve"> </w:t>
      </w:r>
      <w:r>
        <w:rPr>
          <w:rFonts w:ascii="Arial" w:cs="Arial" w:eastAsia="Arial" w:hAnsi="Arial"/>
          <w:sz w:val="17"/>
          <w:szCs w:val="17"/>
          <w:color w:val="auto"/>
        </w:rPr>
        <w:t>accounting pronouncements and their impact on our interim condensed consolidated financial statements.</w:t>
      </w:r>
    </w:p>
    <w:p>
      <w:pPr>
        <w:spacing w:after="0" w:line="113" w:lineRule="exact"/>
        <w:rPr>
          <w:sz w:val="20"/>
          <w:szCs w:val="20"/>
          <w:color w:val="auto"/>
        </w:rPr>
      </w:pPr>
    </w:p>
    <w:p>
      <w:pPr>
        <w:jc w:val="both"/>
        <w:spacing w:after="0" w:line="322" w:lineRule="auto"/>
        <w:rPr>
          <w:sz w:val="20"/>
          <w:szCs w:val="20"/>
          <w:color w:val="auto"/>
        </w:rPr>
      </w:pPr>
      <w:r>
        <w:rPr>
          <w:rFonts w:ascii="Arial" w:cs="Arial" w:eastAsia="Arial" w:hAnsi="Arial"/>
          <w:sz w:val="15"/>
          <w:szCs w:val="15"/>
          <w:b w:val="1"/>
          <w:bCs w:val="1"/>
          <w:color w:val="auto"/>
        </w:rPr>
        <w:t xml:space="preserve">Fair valuation of financial instruments. </w:t>
      </w:r>
      <w:r>
        <w:rPr>
          <w:rFonts w:ascii="Arial" w:cs="Arial" w:eastAsia="Arial" w:hAnsi="Arial"/>
          <w:sz w:val="15"/>
          <w:szCs w:val="15"/>
          <w:color w:val="auto"/>
        </w:rPr>
        <w:t>Financial Accounting Standards Board (“FASB”) Accounting Standards Codification (“ASC”) Topic 820 - “Fair Value</w:t>
      </w:r>
      <w:r>
        <w:rPr>
          <w:rFonts w:ascii="Arial" w:cs="Arial" w:eastAsia="Arial" w:hAnsi="Arial"/>
          <w:sz w:val="15"/>
          <w:szCs w:val="15"/>
          <w:b w:val="1"/>
          <w:bCs w:val="1"/>
          <w:color w:val="auto"/>
        </w:rPr>
        <w:t xml:space="preserve"> </w:t>
      </w:r>
      <w:r>
        <w:rPr>
          <w:rFonts w:ascii="Arial" w:cs="Arial" w:eastAsia="Arial" w:hAnsi="Arial"/>
          <w:sz w:val="15"/>
          <w:szCs w:val="15"/>
          <w:color w:val="auto"/>
        </w:rPr>
        <w:t>Measurements and Disclosures” (“FASB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utilize fair value measurements to record fair value adjustments to certain financial instruments and to determine fair value disclosures. FASB ASC Topic 820 differentiates between those assets and liabilities required to be carried at fair value at every reporting period (“recurring”) and those assets and liabilities that are only required to be adjusted to fair value under certain circumstances (“nonrecurring”). Securities AFS, loans held for sale, carried at fair value, derivatives and capitalized mortgage loan servicing rights are financial instruments recorded at fair value on a recurring basis. Additionally, from time to time, we may be required to record at fair value other financial assets on a nonrecurring basis, such as loans held for investment and certain other assets. These nonrecurring fair value adjustments typically involve application of lower of cost or fair value accounting or write-downs of individual assets. See note #11 to the Condensed Consolidated Financial Statements included within this report for a complete discussion on our use of fair valuation of financial instruments and the related measurement techniques.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1" w:name="page82"/>
    <w:bookmarkEnd w:id="81"/>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w:t>
      </w:r>
      <w:r>
        <w:rPr>
          <w:rFonts w:ascii="Arial" w:cs="Arial" w:eastAsia="Arial" w:hAnsi="Arial"/>
          <w:sz w:val="13"/>
          <w:szCs w:val="13"/>
          <w:b w:val="1"/>
          <w:bCs w:val="1"/>
          <w:color w:val="auto"/>
        </w:rPr>
        <w:t>ITIGATION</w:t>
      </w:r>
      <w:r>
        <w:rPr>
          <w:rFonts w:ascii="Arial" w:cs="Arial" w:eastAsia="Arial" w:hAnsi="Arial"/>
          <w:sz w:val="17"/>
          <w:szCs w:val="17"/>
          <w:b w:val="1"/>
          <w:bCs w:val="1"/>
          <w:color w:val="auto"/>
        </w:rPr>
        <w:t xml:space="preserve"> M</w:t>
      </w:r>
      <w:r>
        <w:rPr>
          <w:rFonts w:ascii="Arial" w:cs="Arial" w:eastAsia="Arial" w:hAnsi="Arial"/>
          <w:sz w:val="13"/>
          <w:szCs w:val="13"/>
          <w:b w:val="1"/>
          <w:bCs w:val="1"/>
          <w:color w:val="auto"/>
        </w:rPr>
        <w:t>ATTERS</w:t>
      </w:r>
    </w:p>
    <w:p>
      <w:pPr>
        <w:spacing w:after="0" w:line="19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aggregate amount we have accrued for losses we consider probable as a result of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12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w:t>
      </w:r>
      <w:r>
        <w:rPr>
          <w:rFonts w:ascii="Arial" w:cs="Arial" w:eastAsia="Arial" w:hAnsi="Arial"/>
          <w:sz w:val="13"/>
          <w:szCs w:val="13"/>
          <w:b w:val="1"/>
          <w:bCs w:val="1"/>
          <w:color w:val="auto"/>
        </w:rPr>
        <w:t>RITICAL</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CCOUNTING</w:t>
      </w:r>
      <w:r>
        <w:rPr>
          <w:rFonts w:ascii="Arial" w:cs="Arial" w:eastAsia="Arial" w:hAnsi="Arial"/>
          <w:sz w:val="17"/>
          <w:szCs w:val="17"/>
          <w:b w:val="1"/>
          <w:bCs w:val="1"/>
          <w:color w:val="auto"/>
        </w:rPr>
        <w:t xml:space="preserve"> P</w:t>
      </w:r>
      <w:r>
        <w:rPr>
          <w:rFonts w:ascii="Arial" w:cs="Arial" w:eastAsia="Arial" w:hAnsi="Arial"/>
          <w:sz w:val="13"/>
          <w:szCs w:val="13"/>
          <w:b w:val="1"/>
          <w:bCs w:val="1"/>
          <w:color w:val="auto"/>
        </w:rPr>
        <w:t>OLICIES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accounting and reporting policies are in accordance with accounting principles generally accepted in the United States of America and conform to general practices within the banking industry. Accounting and reporting policies for the ACL and capitalized mortgage loan servicing rights are deemed critical since they involve the use of estimates and require significant management judgments. Application of assumptions different than those that we have used could result in material changes in our consolidated financial position or results of operations. There have been no material changes to our critical accounting policies as disclosed in our Annual Report on Form 10-K for the year ended December 31, 2022.</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2" w:name="page83"/>
    <w:bookmarkEnd w:id="82"/>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color w:val="auto"/>
        </w:rPr>
        <w:t>Item 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w:t>
      </w:r>
      <w:r>
        <w:rPr>
          <w:rFonts w:ascii="Arial" w:cs="Arial" w:eastAsia="Arial" w:hAnsi="Arial"/>
          <w:sz w:val="13"/>
          <w:szCs w:val="13"/>
          <w:b w:val="1"/>
          <w:bCs w:val="1"/>
          <w:color w:val="auto"/>
        </w:rPr>
        <w:t>UANTITATIVE AND</w:t>
      </w:r>
      <w:r>
        <w:rPr>
          <w:rFonts w:ascii="Arial" w:cs="Arial" w:eastAsia="Arial" w:hAnsi="Arial"/>
          <w:sz w:val="17"/>
          <w:szCs w:val="17"/>
          <w:b w:val="1"/>
          <w:bCs w:val="1"/>
          <w:color w:val="auto"/>
        </w:rPr>
        <w:t xml:space="preserve"> Q</w:t>
      </w:r>
      <w:r>
        <w:rPr>
          <w:rFonts w:ascii="Arial" w:cs="Arial" w:eastAsia="Arial" w:hAnsi="Arial"/>
          <w:sz w:val="13"/>
          <w:szCs w:val="13"/>
          <w:b w:val="1"/>
          <w:bCs w:val="1"/>
          <w:color w:val="auto"/>
        </w:rPr>
        <w:t>UALITATIVE</w:t>
      </w:r>
      <w:r>
        <w:rPr>
          <w:rFonts w:ascii="Arial" w:cs="Arial" w:eastAsia="Arial" w:hAnsi="Arial"/>
          <w:sz w:val="17"/>
          <w:szCs w:val="17"/>
          <w:b w:val="1"/>
          <w:bCs w:val="1"/>
          <w:color w:val="auto"/>
        </w:rPr>
        <w:t xml:space="preserve"> D</w:t>
      </w:r>
      <w:r>
        <w:rPr>
          <w:rFonts w:ascii="Arial" w:cs="Arial" w:eastAsia="Arial" w:hAnsi="Arial"/>
          <w:sz w:val="13"/>
          <w:szCs w:val="13"/>
          <w:b w:val="1"/>
          <w:bCs w:val="1"/>
          <w:color w:val="auto"/>
        </w:rPr>
        <w:t>ISCLOSURES ABOUT</w:t>
      </w:r>
      <w:r>
        <w:rPr>
          <w:rFonts w:ascii="Arial" w:cs="Arial" w:eastAsia="Arial" w:hAnsi="Arial"/>
          <w:sz w:val="17"/>
          <w:szCs w:val="17"/>
          <w:b w:val="1"/>
          <w:bCs w:val="1"/>
          <w:color w:val="auto"/>
        </w:rPr>
        <w:t xml:space="preserve"> M</w:t>
      </w:r>
      <w:r>
        <w:rPr>
          <w:rFonts w:ascii="Arial" w:cs="Arial" w:eastAsia="Arial" w:hAnsi="Arial"/>
          <w:sz w:val="13"/>
          <w:szCs w:val="13"/>
          <w:b w:val="1"/>
          <w:bCs w:val="1"/>
          <w:color w:val="auto"/>
        </w:rPr>
        <w:t>ARKET</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ISK</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See applicable disclosures set forth in “Management’s Discussion and Analysis of Financial Condition and Results of Operations” in Item 2 under the caption “Asset/liability management.”</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Item 4.</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w:t>
      </w:r>
      <w:r>
        <w:rPr>
          <w:rFonts w:ascii="Arial" w:cs="Arial" w:eastAsia="Arial" w:hAnsi="Arial"/>
          <w:sz w:val="13"/>
          <w:szCs w:val="13"/>
          <w:b w:val="1"/>
          <w:bCs w:val="1"/>
          <w:color w:val="auto"/>
        </w:rPr>
        <w:t>ONTROLS AND</w:t>
      </w:r>
      <w:r>
        <w:rPr>
          <w:rFonts w:ascii="Arial" w:cs="Arial" w:eastAsia="Arial" w:hAnsi="Arial"/>
          <w:sz w:val="17"/>
          <w:szCs w:val="17"/>
          <w:b w:val="1"/>
          <w:bCs w:val="1"/>
          <w:color w:val="auto"/>
        </w:rPr>
        <w:t xml:space="preserve"> P</w:t>
      </w:r>
      <w:r>
        <w:rPr>
          <w:rFonts w:ascii="Arial" w:cs="Arial" w:eastAsia="Arial" w:hAnsi="Arial"/>
          <w:sz w:val="13"/>
          <w:szCs w:val="13"/>
          <w:b w:val="1"/>
          <w:bCs w:val="1"/>
          <w:color w:val="auto"/>
        </w:rPr>
        <w:t>ROCEDURES</w:t>
      </w:r>
    </w:p>
    <w:p>
      <w:pPr>
        <w:spacing w:after="0" w:line="184" w:lineRule="exact"/>
        <w:rPr>
          <w:sz w:val="20"/>
          <w:szCs w:val="20"/>
          <w:color w:val="auto"/>
        </w:rPr>
      </w:pPr>
    </w:p>
    <w:p>
      <w:pPr>
        <w:ind w:left="300" w:hanging="297"/>
        <w:spacing w:after="0"/>
        <w:tabs>
          <w:tab w:leader="none" w:pos="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Evaluation of Disclosure Controls and Procedures.</w:t>
      </w:r>
    </w:p>
    <w:p>
      <w:pPr>
        <w:spacing w:after="0" w:line="178" w:lineRule="exact"/>
        <w:rPr>
          <w:rFonts w:ascii="Arial" w:cs="Arial" w:eastAsia="Arial" w:hAnsi="Arial"/>
          <w:sz w:val="17"/>
          <w:szCs w:val="17"/>
          <w:color w:val="auto"/>
        </w:rPr>
      </w:pPr>
    </w:p>
    <w:p>
      <w:pPr>
        <w:jc w:val="both"/>
        <w:ind w:left="320"/>
        <w:spacing w:after="0" w:line="266" w:lineRule="auto"/>
        <w:rPr>
          <w:rFonts w:ascii="Arial" w:cs="Arial" w:eastAsia="Arial" w:hAnsi="Arial"/>
          <w:sz w:val="17"/>
          <w:szCs w:val="17"/>
          <w:color w:val="auto"/>
        </w:rPr>
      </w:pPr>
      <w:r>
        <w:rPr>
          <w:rFonts w:ascii="Arial" w:cs="Arial" w:eastAsia="Arial" w:hAnsi="Arial"/>
          <w:sz w:val="17"/>
          <w:szCs w:val="17"/>
          <w:color w:val="auto"/>
        </w:rPr>
        <w:t>With the participation of management, our chief executive officer and chief financial officer, after evaluating the effectiveness of our disclosure controls and procedures (as defined in Exchange Act Rules 13a – 15(e) and 15d – 15(e)) for the period ended September 30, 2023, have concluded that, as of such date, our disclosure controls and procedures were effective.</w:t>
      </w:r>
    </w:p>
    <w:p>
      <w:pPr>
        <w:spacing w:after="0" w:line="149" w:lineRule="exact"/>
        <w:rPr>
          <w:rFonts w:ascii="Arial" w:cs="Arial" w:eastAsia="Arial" w:hAnsi="Arial"/>
          <w:sz w:val="17"/>
          <w:szCs w:val="17"/>
          <w:color w:val="auto"/>
        </w:rPr>
      </w:pPr>
    </w:p>
    <w:p>
      <w:pPr>
        <w:ind w:left="300" w:hanging="297"/>
        <w:spacing w:after="0"/>
        <w:tabs>
          <w:tab w:leader="none" w:pos="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in Internal Controls.</w:t>
      </w:r>
    </w:p>
    <w:p>
      <w:pPr>
        <w:spacing w:after="0" w:line="178" w:lineRule="exact"/>
        <w:rPr>
          <w:rFonts w:ascii="Arial" w:cs="Arial" w:eastAsia="Arial" w:hAnsi="Arial"/>
          <w:sz w:val="17"/>
          <w:szCs w:val="17"/>
          <w:color w:val="auto"/>
        </w:rPr>
      </w:pPr>
    </w:p>
    <w:p>
      <w:pPr>
        <w:ind w:left="320"/>
        <w:spacing w:after="0" w:line="279" w:lineRule="auto"/>
        <w:rPr>
          <w:rFonts w:ascii="Arial" w:cs="Arial" w:eastAsia="Arial" w:hAnsi="Arial"/>
          <w:sz w:val="17"/>
          <w:szCs w:val="17"/>
          <w:color w:val="auto"/>
        </w:rPr>
      </w:pPr>
      <w:r>
        <w:rPr>
          <w:rFonts w:ascii="Arial" w:cs="Arial" w:eastAsia="Arial" w:hAnsi="Arial"/>
          <w:sz w:val="17"/>
          <w:szCs w:val="17"/>
          <w:color w:val="auto"/>
        </w:rPr>
        <w:t>During the quarter ended September 30, 2023, there were no changes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3" w:name="page84"/>
    <w:bookmarkEnd w:id="83"/>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color w:val="auto"/>
        </w:rPr>
        <w:t>Part II</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-115570</wp:posOffset>
            </wp:positionV>
            <wp:extent cx="581025" cy="1225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81025" cy="122555"/>
                    </a:xfrm>
                    <a:prstGeom prst="rect">
                      <a:avLst/>
                    </a:prstGeom>
                    <a:noFill/>
                  </pic:spPr>
                </pic:pic>
              </a:graphicData>
            </a:graphic>
          </wp:anchor>
        </w:drawing>
      </w:r>
    </w:p>
    <w:p>
      <w:pPr>
        <w:jc w:val="both"/>
        <w:spacing w:after="0" w:line="246" w:lineRule="auto"/>
        <w:rPr>
          <w:sz w:val="20"/>
          <w:szCs w:val="20"/>
          <w:color w:val="auto"/>
        </w:rPr>
      </w:pPr>
      <w:r>
        <w:rPr>
          <w:rFonts w:ascii="Arial" w:cs="Arial" w:eastAsia="Arial" w:hAnsi="Arial"/>
          <w:sz w:val="17"/>
          <w:szCs w:val="17"/>
          <w:color w:val="auto"/>
        </w:rPr>
        <w:t>In adition to the risk factors disclosed in Item 1A. Risk Factors of our Annual Report on Form 10-K for the year ended December 31, 2022 the following risk factors apply to the Company:</w:t>
      </w:r>
    </w:p>
    <w:p>
      <w:pPr>
        <w:spacing w:after="0" w:line="14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Adverse developments affecting the financial services industry, including recent bank failures and the resulting liquidity concerns, may have a material effect on our business, financial condition, results of operations, or cash flows.</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Recent developments and events, including the closures of Silicon Valley Bank and Signature Bank due to large-scale deposit withdrawals over a short period of time, created liquidity risks and concerns within the financial services industry, as well as decreased confidences in banks among depositors, investors, and other counterparties. In general, these events have caused volatility and disruption in the capital markets, as well as reduced valuations of equity and other securities of banks, which may increase the risk of a potential recession. These failures have also highlighted the importance of maintaining diversified funding sources. These market conditions and related factors may impact the competitive landscape for deposits in the financial services industry in an unpredictable manner.</w:t>
      </w:r>
    </w:p>
    <w:p>
      <w:pPr>
        <w:spacing w:after="0" w:line="166"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Specifically, these developments and events may materially adversely impact our business, financial condition, results of operations, and/or cash flows, including through potential liquidity pressures, reduced net interest margins, and potential increased credit losses. They may also adversely impact the market price and volatility of our common stock. Government responses to these events may also adversely impact us. Our deposits are insured up to applicable limits by FDIC and are subject to deposit insurance premiums and assessments. The FDIC may increase premiums or impose special assessments on all banks to replenish the Deposit Insurance Fund, which is being used to ensure that all depositors in Silicon Valley Bank and Signature Bank are made whole at no cost to taxpayers. The recent bank failures may also prompt changes to laws or regulations governing banks, which could impact our profitability and business.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 Unregistered Sales of Equity Securities and Use of Proceeds</w:t>
      </w:r>
    </w:p>
    <w:p>
      <w:pPr>
        <w:spacing w:after="0" w:line="19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Company maintains a Deferred Compensation and Stock Purchase Plan for Non-Employee Directors (the "Plan") pursuant to which non-employee directors can elect to receive shares of the Company's common stock in lieu of fees otherwise payable to the director for his or her service as a director. A director can elect to receive shares on a current basis or to defer receipt of the shares, in which case the shares are issued to a trust to be held for the account of the director and then generally distributed to the director after his or her retirement from the Board. Pursuant to this Plan, during the third quarter of 2023, the Company issued 523 shares of common stock to non-employee directors on a current basis and 4,995 shares of common stock to the trust for distribution to directors on a deferred basis. These shares were issued on October 1, 2023 representing aggregate fees of $0.09 million. The shares on a current basis were issued at a price of $16.96 per share and the shares on a deferred basis were issued at a price of $15.26 per share, representing 90% of the fair value of the shares on the credit date. The price per share was the consolidated closing bid price per share of the Company's common stock as of the date of issuance, as determined in accordance with NASDAQ Marketplace Rules. The Company issued the shares pursuant to an exemption from registration under Section 4(2) of the Securities Act of 1933 due to the fact that the issuance of the shares was made on a private basis pursuant to the Plan.</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4" w:name="page85"/>
    <w:bookmarkEnd w:id="84"/>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certain information relating to repurchases of common stock for the three-months ended September 30, 2023:</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7"/>
                <w:szCs w:val="17"/>
                <w:color w:val="auto"/>
                <w:w w:val="93"/>
              </w:rPr>
              <w:t>Total Number of</w:t>
            </w:r>
          </w:p>
        </w:tc>
        <w:tc>
          <w:tcPr>
            <w:tcW w:w="1460" w:type="dxa"/>
            <w:vAlign w:val="bottom"/>
          </w:tcPr>
          <w:p>
            <w:pPr>
              <w:jc w:val="center"/>
              <w:spacing w:after="0"/>
              <w:rPr>
                <w:sz w:val="20"/>
                <w:szCs w:val="20"/>
                <w:color w:val="auto"/>
              </w:rPr>
            </w:pPr>
            <w:r>
              <w:rPr>
                <w:rFonts w:ascii="Arial" w:cs="Arial" w:eastAsia="Arial" w:hAnsi="Arial"/>
                <w:sz w:val="17"/>
                <w:szCs w:val="17"/>
                <w:color w:val="auto"/>
                <w:w w:val="93"/>
              </w:rPr>
              <w:t>Remaining</w:t>
            </w:r>
          </w:p>
        </w:tc>
      </w:tr>
      <w:tr>
        <w:trPr>
          <w:trHeight w:val="206"/>
        </w:trPr>
        <w:tc>
          <w:tcPr>
            <w:tcW w:w="5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7"/>
                <w:szCs w:val="17"/>
                <w:color w:val="auto"/>
                <w:w w:val="87"/>
              </w:rPr>
              <w:t>Shares Purchased</w:t>
            </w:r>
          </w:p>
        </w:tc>
        <w:tc>
          <w:tcPr>
            <w:tcW w:w="1460" w:type="dxa"/>
            <w:vAlign w:val="bottom"/>
          </w:tcPr>
          <w:p>
            <w:pPr>
              <w:jc w:val="center"/>
              <w:spacing w:after="0"/>
              <w:rPr>
                <w:sz w:val="20"/>
                <w:szCs w:val="20"/>
                <w:color w:val="auto"/>
              </w:rPr>
            </w:pPr>
            <w:r>
              <w:rPr>
                <w:rFonts w:ascii="Arial" w:cs="Arial" w:eastAsia="Arial" w:hAnsi="Arial"/>
                <w:sz w:val="17"/>
                <w:szCs w:val="17"/>
                <w:color w:val="auto"/>
                <w:w w:val="95"/>
              </w:rPr>
              <w:t>Number of</w:t>
            </w:r>
          </w:p>
        </w:tc>
      </w:tr>
      <w:tr>
        <w:trPr>
          <w:trHeight w:val="206"/>
        </w:trPr>
        <w:tc>
          <w:tcPr>
            <w:tcW w:w="5140" w:type="dxa"/>
            <w:vAlign w:val="bottom"/>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Total Number of</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7"/>
                <w:szCs w:val="17"/>
                <w:color w:val="auto"/>
                <w:w w:val="89"/>
              </w:rPr>
              <w:t>as Part of a</w:t>
            </w:r>
          </w:p>
        </w:tc>
        <w:tc>
          <w:tcPr>
            <w:tcW w:w="1460" w:type="dxa"/>
            <w:vAlign w:val="bottom"/>
          </w:tcPr>
          <w:p>
            <w:pPr>
              <w:jc w:val="center"/>
              <w:spacing w:after="0"/>
              <w:rPr>
                <w:sz w:val="20"/>
                <w:szCs w:val="20"/>
                <w:color w:val="auto"/>
              </w:rPr>
            </w:pPr>
            <w:r>
              <w:rPr>
                <w:rFonts w:ascii="Arial" w:cs="Arial" w:eastAsia="Arial" w:hAnsi="Arial"/>
                <w:sz w:val="17"/>
                <w:szCs w:val="17"/>
                <w:color w:val="auto"/>
                <w:w w:val="91"/>
              </w:rPr>
              <w:t>Shares Authorized</w:t>
            </w:r>
          </w:p>
        </w:tc>
      </w:tr>
      <w:tr>
        <w:trPr>
          <w:trHeight w:val="206"/>
        </w:trPr>
        <w:tc>
          <w:tcPr>
            <w:tcW w:w="5140" w:type="dxa"/>
            <w:vAlign w:val="bottom"/>
          </w:tcPr>
          <w:p>
            <w:pPr>
              <w:spacing w:after="0"/>
              <w:rPr>
                <w:sz w:val="17"/>
                <w:szCs w:val="17"/>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7"/>
                <w:szCs w:val="17"/>
                <w:color w:val="auto"/>
                <w:w w:val="85"/>
              </w:rPr>
              <w:t>Shares Purchased</w:t>
            </w:r>
          </w:p>
        </w:tc>
        <w:tc>
          <w:tcPr>
            <w:tcW w:w="16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color w:val="auto"/>
              </w:rPr>
              <w:t>Average Price</w:t>
            </w:r>
          </w:p>
        </w:tc>
        <w:tc>
          <w:tcPr>
            <w:tcW w:w="1540" w:type="dxa"/>
            <w:vAlign w:val="bottom"/>
            <w:gridSpan w:val="2"/>
          </w:tcPr>
          <w:p>
            <w:pPr>
              <w:jc w:val="center"/>
              <w:ind w:right="80"/>
              <w:spacing w:after="0"/>
              <w:rPr>
                <w:sz w:val="20"/>
                <w:szCs w:val="20"/>
                <w:color w:val="auto"/>
              </w:rPr>
            </w:pPr>
            <w:r>
              <w:rPr>
                <w:rFonts w:ascii="Arial" w:cs="Arial" w:eastAsia="Arial" w:hAnsi="Arial"/>
                <w:sz w:val="17"/>
                <w:szCs w:val="17"/>
                <w:color w:val="auto"/>
                <w:w w:val="98"/>
              </w:rPr>
              <w:t>Publicly</w:t>
            </w:r>
          </w:p>
        </w:tc>
        <w:tc>
          <w:tcPr>
            <w:tcW w:w="1460" w:type="dxa"/>
            <w:vAlign w:val="bottom"/>
          </w:tcPr>
          <w:p>
            <w:pPr>
              <w:jc w:val="center"/>
              <w:spacing w:after="0"/>
              <w:rPr>
                <w:sz w:val="20"/>
                <w:szCs w:val="20"/>
                <w:color w:val="auto"/>
              </w:rPr>
            </w:pPr>
            <w:r>
              <w:rPr>
                <w:rFonts w:ascii="Arial" w:cs="Arial" w:eastAsia="Arial" w:hAnsi="Arial"/>
                <w:sz w:val="17"/>
                <w:szCs w:val="17"/>
                <w:color w:val="auto"/>
                <w:w w:val="89"/>
              </w:rPr>
              <w:t>for Purchase</w:t>
            </w:r>
          </w:p>
        </w:tc>
      </w:tr>
      <w:tr>
        <w:trPr>
          <w:trHeight w:val="244"/>
        </w:trPr>
        <w:tc>
          <w:tcPr>
            <w:tcW w:w="5140" w:type="dxa"/>
            <w:vAlign w:val="bottom"/>
            <w:tcBorders>
              <w:bottom w:val="single" w:sz="8" w:color="auto"/>
            </w:tcBorders>
          </w:tcPr>
          <w:p>
            <w:pPr>
              <w:ind w:left="2360"/>
              <w:spacing w:after="0"/>
              <w:rPr>
                <w:sz w:val="20"/>
                <w:szCs w:val="20"/>
                <w:color w:val="auto"/>
              </w:rPr>
            </w:pPr>
            <w:r>
              <w:rPr>
                <w:rFonts w:ascii="Arial" w:cs="Arial" w:eastAsia="Arial" w:hAnsi="Arial"/>
                <w:sz w:val="17"/>
                <w:szCs w:val="17"/>
                <w:color w:val="auto"/>
              </w:rPr>
              <w:t>Period</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90"/>
              </w:rPr>
              <w:t>Paid Per Share</w:t>
            </w:r>
          </w:p>
        </w:tc>
        <w:tc>
          <w:tcPr>
            <w:tcW w:w="8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Announced Plan</w:t>
            </w:r>
          </w:p>
        </w:tc>
        <w:tc>
          <w:tcPr>
            <w:tcW w:w="8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Under the Plan</w:t>
            </w:r>
          </w:p>
        </w:tc>
      </w:tr>
      <w:tr>
        <w:trPr>
          <w:trHeight w:val="213"/>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July 2023</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900,000</w:t>
            </w:r>
          </w:p>
        </w:tc>
      </w:tr>
      <w:tr>
        <w:trPr>
          <w:trHeight w:val="218"/>
        </w:trPr>
        <w:tc>
          <w:tcPr>
            <w:tcW w:w="5140" w:type="dxa"/>
            <w:vAlign w:val="bottom"/>
          </w:tcPr>
          <w:p>
            <w:pPr>
              <w:ind w:left="20"/>
              <w:spacing w:after="0"/>
              <w:rPr>
                <w:sz w:val="20"/>
                <w:szCs w:val="20"/>
                <w:color w:val="auto"/>
              </w:rPr>
            </w:pPr>
            <w:r>
              <w:rPr>
                <w:rFonts w:ascii="Arial" w:cs="Arial" w:eastAsia="Arial" w:hAnsi="Arial"/>
                <w:sz w:val="17"/>
                <w:szCs w:val="17"/>
                <w:color w:val="auto"/>
              </w:rPr>
              <w:t>August 2023</w:t>
            </w:r>
          </w:p>
        </w:tc>
        <w:tc>
          <w:tcPr>
            <w:tcW w:w="1460" w:type="dxa"/>
            <w:vAlign w:val="bottom"/>
          </w:tcPr>
          <w:p>
            <w:pPr>
              <w:jc w:val="right"/>
              <w:spacing w:after="0"/>
              <w:rPr>
                <w:sz w:val="20"/>
                <w:szCs w:val="20"/>
                <w:color w:val="auto"/>
              </w:rPr>
            </w:pPr>
            <w:r>
              <w:rPr>
                <w:rFonts w:ascii="Arial" w:cs="Arial" w:eastAsia="Arial" w:hAnsi="Arial"/>
                <w:sz w:val="17"/>
                <w:szCs w:val="17"/>
                <w:color w:val="auto"/>
              </w:rPr>
              <w:t>88,460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19.15</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88,401</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811,599</w:t>
            </w:r>
          </w:p>
        </w:tc>
      </w:tr>
      <w:tr>
        <w:trPr>
          <w:trHeight w:val="219"/>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September 2023</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19.34</w:t>
            </w:r>
          </w:p>
        </w:tc>
        <w:tc>
          <w:tcPr>
            <w:tcW w:w="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811,599</w:t>
            </w:r>
          </w:p>
        </w:tc>
      </w:tr>
      <w:tr>
        <w:trPr>
          <w:trHeight w:val="213"/>
        </w:trPr>
        <w:tc>
          <w:tcPr>
            <w:tcW w:w="5140" w:type="dxa"/>
            <w:vAlign w:val="bottom"/>
          </w:tcPr>
          <w:p>
            <w:pPr>
              <w:ind w:left="220"/>
              <w:spacing w:after="0"/>
              <w:rPr>
                <w:sz w:val="20"/>
                <w:szCs w:val="20"/>
                <w:color w:val="auto"/>
              </w:rPr>
            </w:pPr>
            <w:r>
              <w:rPr>
                <w:rFonts w:ascii="Arial" w:cs="Arial" w:eastAsia="Arial" w:hAnsi="Arial"/>
                <w:sz w:val="17"/>
                <w:szCs w:val="17"/>
                <w:color w:val="auto"/>
              </w:rPr>
              <w:t>Total</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89,844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19.15</w:t>
            </w:r>
          </w:p>
        </w:tc>
        <w:tc>
          <w:tcPr>
            <w:tcW w:w="8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88,401</w:t>
            </w:r>
          </w:p>
        </w:tc>
        <w:tc>
          <w:tcPr>
            <w:tcW w:w="8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811,599</w:t>
            </w:r>
          </w:p>
        </w:tc>
      </w:tr>
      <w:tr>
        <w:trPr>
          <w:trHeight w:val="20"/>
        </w:trPr>
        <w:tc>
          <w:tcPr>
            <w:tcW w:w="5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320" w:hanging="317"/>
        <w:spacing w:after="0" w:line="264" w:lineRule="auto"/>
        <w:tabs>
          <w:tab w:leader="none" w:pos="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August and September include 59 shares and 1,384 shares, respectively, withheld from the shares that would otherwise have been issued to certain officers in order to satisfy the the tax withholding obligations resulting from the vesting of restricted stock.</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Other Information</w:t>
      </w:r>
    </w:p>
    <w:p>
      <w:pPr>
        <w:spacing w:after="0" w:line="178" w:lineRule="exact"/>
        <w:rPr>
          <w:sz w:val="20"/>
          <w:szCs w:val="20"/>
          <w:color w:val="auto"/>
        </w:rPr>
      </w:pPr>
    </w:p>
    <w:p>
      <w:pPr>
        <w:spacing w:after="0" w:line="206" w:lineRule="exact"/>
        <w:rPr>
          <w:sz w:val="20"/>
          <w:szCs w:val="20"/>
          <w:color w:val="auto"/>
        </w:rPr>
      </w:pPr>
      <w:r>
        <w:rPr>
          <w:rFonts w:ascii="Arial" w:cs="Arial" w:eastAsia="Arial" w:hAnsi="Arial"/>
          <w:sz w:val="17"/>
          <w:szCs w:val="17"/>
          <w:color w:val="auto"/>
        </w:rPr>
        <w:t>During the period covered by this Quarterly Report on Form 10-Q, no director or officer of the Company adopted or terminated a "Rule 10b5-1 Trading Arrangement" or "Non-Rule 10b5</w:t>
      </w:r>
      <w:r>
        <w:rPr>
          <w:rFonts w:ascii="MS PGothic" w:cs="MS PGothic" w:eastAsia="MS PGothic" w:hAnsi="MS PGothic"/>
          <w:sz w:val="17"/>
          <w:szCs w:val="17"/>
          <w:color w:val="auto"/>
        </w:rPr>
        <w:t>‑</w:t>
      </w:r>
      <w:r>
        <w:rPr>
          <w:rFonts w:ascii="Arial" w:cs="Arial" w:eastAsia="Arial" w:hAnsi="Arial"/>
          <w:sz w:val="17"/>
          <w:szCs w:val="17"/>
          <w:color w:val="auto"/>
        </w:rPr>
        <w:t>1 Trading Arrangement," as each term is defined in Item 408(a) of Regulation S-K.</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Exhibits</w:t>
      </w:r>
    </w:p>
    <w:p>
      <w:pPr>
        <w:spacing w:after="0" w:line="217" w:lineRule="exact"/>
        <w:rPr>
          <w:sz w:val="20"/>
          <w:szCs w:val="20"/>
          <w:color w:val="auto"/>
        </w:rPr>
      </w:pPr>
    </w:p>
    <w:p>
      <w:pPr>
        <w:ind w:left="920" w:hanging="561"/>
        <w:spacing w:after="0"/>
        <w:tabs>
          <w:tab w:leader="none" w:pos="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following exhibits (listed by number corresponding to the Exhibit Table as Item 601 in Regulation S-K) are filed with this report:</w:t>
      </w:r>
    </w:p>
    <w:p>
      <w:pPr>
        <w:spacing w:after="0" w:line="23" w:lineRule="exact"/>
        <w:rPr>
          <w:rFonts w:ascii="Arial" w:cs="Arial" w:eastAsia="Arial" w:hAnsi="Arial"/>
          <w:sz w:val="17"/>
          <w:szCs w:val="17"/>
          <w:color w:val="auto"/>
        </w:rPr>
      </w:pPr>
    </w:p>
    <w:p>
      <w:pPr>
        <w:ind w:left="1600" w:right="20" w:hanging="683"/>
        <w:spacing w:after="0" w:line="245" w:lineRule="auto"/>
        <w:rPr>
          <w:rFonts w:ascii="Arial" w:cs="Arial" w:eastAsia="Arial" w:hAnsi="Arial"/>
          <w:sz w:val="17"/>
          <w:szCs w:val="17"/>
          <w:color w:val="auto"/>
        </w:rPr>
      </w:pPr>
      <w:r>
        <w:rPr>
          <w:rFonts w:ascii="Arial" w:cs="Arial" w:eastAsia="Arial" w:hAnsi="Arial"/>
          <w:sz w:val="17"/>
          <w:szCs w:val="17"/>
          <w:u w:val="single" w:color="auto"/>
          <w:color w:val="0000FF"/>
        </w:rPr>
        <w:t>31.1</w:t>
      </w:r>
      <w:r>
        <w:rPr>
          <w:rFonts w:ascii="Arial" w:cs="Arial" w:eastAsia="Arial" w:hAnsi="Arial"/>
          <w:sz w:val="17"/>
          <w:szCs w:val="17"/>
          <w:color w:val="auto"/>
        </w:rPr>
        <w:t>Certificate of the Chief Executive Officer of Independent Bank Corporation pursuant to Section 302 of the Sarbanes-Oxley Act of 2002 (18 U.S.C. 1350).</w:t>
      </w:r>
    </w:p>
    <w:p>
      <w:pPr>
        <w:ind w:left="1600" w:right="20" w:hanging="683"/>
        <w:spacing w:after="0" w:line="245" w:lineRule="auto"/>
        <w:rPr>
          <w:rFonts w:ascii="Arial" w:cs="Arial" w:eastAsia="Arial" w:hAnsi="Arial"/>
          <w:sz w:val="17"/>
          <w:szCs w:val="17"/>
          <w:color w:val="auto"/>
        </w:rPr>
      </w:pPr>
      <w:r>
        <w:rPr>
          <w:rFonts w:ascii="Arial" w:cs="Arial" w:eastAsia="Arial" w:hAnsi="Arial"/>
          <w:sz w:val="17"/>
          <w:szCs w:val="17"/>
          <w:u w:val="single" w:color="auto"/>
          <w:color w:val="0000FF"/>
        </w:rPr>
        <w:t>31.2</w:t>
      </w:r>
      <w:r>
        <w:rPr>
          <w:rFonts w:ascii="Arial" w:cs="Arial" w:eastAsia="Arial" w:hAnsi="Arial"/>
          <w:sz w:val="17"/>
          <w:szCs w:val="17"/>
          <w:color w:val="auto"/>
        </w:rPr>
        <w:t>Certificate of the Chief Financial Officer of Independent Bank Corporation pursuant to Section 302 of the Sarbanes-Oxley Act of 2002 (18 U.S.C. 1350).</w:t>
      </w:r>
    </w:p>
    <w:p>
      <w:pPr>
        <w:ind w:left="1600" w:right="20" w:hanging="683"/>
        <w:spacing w:after="0" w:line="245" w:lineRule="auto"/>
        <w:rPr>
          <w:rFonts w:ascii="Arial" w:cs="Arial" w:eastAsia="Arial" w:hAnsi="Arial"/>
          <w:sz w:val="17"/>
          <w:szCs w:val="17"/>
          <w:color w:val="auto"/>
        </w:rPr>
      </w:pPr>
      <w:r>
        <w:rPr>
          <w:rFonts w:ascii="Arial" w:cs="Arial" w:eastAsia="Arial" w:hAnsi="Arial"/>
          <w:sz w:val="17"/>
          <w:szCs w:val="17"/>
          <w:u w:val="single" w:color="auto"/>
          <w:color w:val="0000FF"/>
        </w:rPr>
        <w:t>32.1</w:t>
      </w:r>
      <w:r>
        <w:rPr>
          <w:rFonts w:ascii="Arial" w:cs="Arial" w:eastAsia="Arial" w:hAnsi="Arial"/>
          <w:sz w:val="17"/>
          <w:szCs w:val="17"/>
          <w:color w:val="auto"/>
        </w:rPr>
        <w:t>Certificate of the Chief Executive Officer of Independent Bank Corporation pursuant to Section 906 of the Sarbanes-Oxley Act of 2002 (18 U.S.C. 1350).</w:t>
      </w:r>
    </w:p>
    <w:p>
      <w:pPr>
        <w:ind w:left="1600" w:right="20" w:hanging="683"/>
        <w:spacing w:after="0" w:line="245" w:lineRule="auto"/>
        <w:rPr>
          <w:rFonts w:ascii="Arial" w:cs="Arial" w:eastAsia="Arial" w:hAnsi="Arial"/>
          <w:sz w:val="17"/>
          <w:szCs w:val="17"/>
          <w:color w:val="auto"/>
        </w:rPr>
      </w:pPr>
      <w:r>
        <w:rPr>
          <w:rFonts w:ascii="Arial" w:cs="Arial" w:eastAsia="Arial" w:hAnsi="Arial"/>
          <w:sz w:val="17"/>
          <w:szCs w:val="17"/>
          <w:u w:val="single" w:color="auto"/>
          <w:color w:val="0000FF"/>
        </w:rPr>
        <w:t>32.2</w:t>
      </w:r>
      <w:r>
        <w:rPr>
          <w:rFonts w:ascii="Arial" w:cs="Arial" w:eastAsia="Arial" w:hAnsi="Arial"/>
          <w:sz w:val="17"/>
          <w:szCs w:val="17"/>
          <w:color w:val="auto"/>
        </w:rPr>
        <w:t>Certificate of the Chief Financial Officer of Independent Bank Corporation pursuant to Section 906 of the Sarbanes-Oxley Act of 2002 (18 U.S.C. 1350).</w:t>
      </w:r>
    </w:p>
    <w:p>
      <w:pPr>
        <w:ind w:left="1600" w:right="20" w:hanging="677"/>
        <w:spacing w:after="0" w:line="245" w:lineRule="auto"/>
        <w:tabs>
          <w:tab w:leader="none" w:pos="1600" w:val="left"/>
        </w:tabs>
        <w:numPr>
          <w:ilvl w:val="1"/>
          <w:numId w:val="37"/>
        </w:numPr>
        <w:rPr>
          <w:rFonts w:ascii="Arial" w:cs="Arial" w:eastAsia="Arial" w:hAnsi="Arial"/>
          <w:sz w:val="17"/>
          <w:szCs w:val="17"/>
          <w:color w:val="auto"/>
        </w:rPr>
      </w:pPr>
      <w:r>
        <w:rPr>
          <w:rFonts w:ascii="Arial" w:cs="Arial" w:eastAsia="Arial" w:hAnsi="Arial"/>
          <w:sz w:val="17"/>
          <w:szCs w:val="17"/>
          <w:color w:val="auto"/>
        </w:rPr>
        <w:t>INS Inline XBRL Instance Document (the instance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-1268095</wp:posOffset>
            </wp:positionV>
            <wp:extent cx="7138670" cy="2540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8670" cy="2540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-760730</wp:posOffset>
            </wp:positionV>
            <wp:extent cx="7138670" cy="2540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8670" cy="2540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-253365</wp:posOffset>
            </wp:positionV>
            <wp:extent cx="7138670" cy="2540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8670" cy="254000"/>
                    </a:xfrm>
                    <a:prstGeom prst="rect">
                      <a:avLst/>
                    </a:prstGeom>
                    <a:noFill/>
                  </pic:spPr>
                </pic:pic>
              </a:graphicData>
            </a:graphic>
          </wp:anchor>
        </w:drawing>
      </w:r>
    </w:p>
    <w:p>
      <w:pPr>
        <w:ind w:left="1600" w:hanging="677"/>
        <w:spacing w:after="0"/>
        <w:tabs>
          <w:tab w:leader="none" w:pos="16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SCH 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1600" w:hanging="677"/>
        <w:spacing w:after="0"/>
        <w:tabs>
          <w:tab w:leader="none" w:pos="16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CAL Inline XBRL Taxonomy Extension Calculation Linkbase Document</w:t>
      </w:r>
    </w:p>
    <w:p>
      <w:pPr>
        <w:spacing w:after="0" w:line="24" w:lineRule="exact"/>
        <w:rPr>
          <w:sz w:val="20"/>
          <w:szCs w:val="20"/>
          <w:color w:val="auto"/>
        </w:rPr>
      </w:pPr>
    </w:p>
    <w:p>
      <w:pPr>
        <w:ind w:left="1600" w:hanging="677"/>
        <w:spacing w:after="0"/>
        <w:tabs>
          <w:tab w:leader="none" w:pos="16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DEF Inline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1600" w:hanging="677"/>
        <w:spacing w:after="0"/>
        <w:tabs>
          <w:tab w:leader="none" w:pos="16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LAB Inline XBRL Taxonomy Extension Label Linkbase Document</w:t>
      </w:r>
    </w:p>
    <w:p>
      <w:pPr>
        <w:spacing w:after="0" w:line="24" w:lineRule="exact"/>
        <w:rPr>
          <w:sz w:val="20"/>
          <w:szCs w:val="20"/>
          <w:color w:val="auto"/>
        </w:rPr>
      </w:pPr>
    </w:p>
    <w:p>
      <w:pPr>
        <w:ind w:left="1600" w:hanging="677"/>
        <w:spacing w:after="0"/>
        <w:tabs>
          <w:tab w:leader="none" w:pos="16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PRE Inline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1600" w:hanging="677"/>
        <w:spacing w:after="0"/>
        <w:tabs>
          <w:tab w:leader="none" w:pos="16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81"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5" w:name="page86"/>
    <w:bookmarkEnd w:id="85"/>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SIGNATURES</w:t>
      </w:r>
    </w:p>
    <w:p>
      <w:pPr>
        <w:spacing w:after="0" w:line="19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64" w:lineRule="exact"/>
        <w:rPr>
          <w:sz w:val="20"/>
          <w:szCs w:val="20"/>
          <w:color w:val="auto"/>
        </w:rPr>
      </w:pPr>
    </w:p>
    <w:p>
      <w:pPr>
        <w:ind w:left="20"/>
        <w:spacing w:after="0"/>
        <w:tabs>
          <w:tab w:leader="none" w:pos="2280" w:val="left"/>
          <w:tab w:leader="none" w:pos="6000" w:val="left"/>
          <w:tab w:leader="none" w:pos="820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November 3,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Gavin A. Mohr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14605</wp:posOffset>
            </wp:positionV>
            <wp:extent cx="678624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86245" cy="8255"/>
                    </a:xfrm>
                    <a:prstGeom prst="rect">
                      <a:avLst/>
                    </a:prstGeom>
                    <a:noFill/>
                  </pic:spPr>
                </pic:pic>
              </a:graphicData>
            </a:graphic>
          </wp:anchor>
        </w:drawing>
      </w:r>
    </w:p>
    <w:p>
      <w:pPr>
        <w:spacing w:after="0" w:line="17" w:lineRule="exact"/>
        <w:rPr>
          <w:sz w:val="20"/>
          <w:szCs w:val="20"/>
          <w:color w:val="auto"/>
        </w:rPr>
      </w:pPr>
    </w:p>
    <w:p>
      <w:pPr>
        <w:ind w:left="7380"/>
        <w:spacing w:after="0"/>
        <w:rPr>
          <w:sz w:val="20"/>
          <w:szCs w:val="20"/>
          <w:color w:val="auto"/>
        </w:rPr>
      </w:pPr>
      <w:r>
        <w:rPr>
          <w:rFonts w:ascii="Arial" w:cs="Arial" w:eastAsia="Arial" w:hAnsi="Arial"/>
          <w:sz w:val="17"/>
          <w:szCs w:val="17"/>
          <w:color w:val="auto"/>
        </w:rPr>
        <w:t>Gavin A. Mohr, Principal Financial Officer</w:t>
      </w:r>
    </w:p>
    <w:p>
      <w:pPr>
        <w:spacing w:after="0" w:line="282" w:lineRule="exact"/>
        <w:rPr>
          <w:sz w:val="20"/>
          <w:szCs w:val="20"/>
          <w:color w:val="auto"/>
        </w:rPr>
      </w:pPr>
    </w:p>
    <w:p>
      <w:pPr>
        <w:ind w:left="20"/>
        <w:spacing w:after="0"/>
        <w:tabs>
          <w:tab w:leader="none" w:pos="2280" w:val="left"/>
          <w:tab w:leader="none" w:pos="6000" w:val="left"/>
          <w:tab w:leader="none" w:pos="798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November 3,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James J. Twarozynski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14605</wp:posOffset>
            </wp:positionV>
            <wp:extent cx="678624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86245" cy="8255"/>
                    </a:xfrm>
                    <a:prstGeom prst="rect">
                      <a:avLst/>
                    </a:prstGeom>
                    <a:noFill/>
                  </pic:spPr>
                </pic:pic>
              </a:graphicData>
            </a:graphic>
          </wp:anchor>
        </w:drawing>
      </w:r>
    </w:p>
    <w:p>
      <w:pPr>
        <w:spacing w:after="0" w:line="17" w:lineRule="exact"/>
        <w:rPr>
          <w:sz w:val="20"/>
          <w:szCs w:val="20"/>
          <w:color w:val="auto"/>
        </w:rPr>
      </w:pPr>
    </w:p>
    <w:p>
      <w:pPr>
        <w:ind w:left="7060"/>
        <w:spacing w:after="0"/>
        <w:rPr>
          <w:sz w:val="20"/>
          <w:szCs w:val="20"/>
          <w:color w:val="auto"/>
        </w:rPr>
      </w:pPr>
      <w:r>
        <w:rPr>
          <w:rFonts w:ascii="Arial" w:cs="Arial" w:eastAsia="Arial" w:hAnsi="Arial"/>
          <w:sz w:val="17"/>
          <w:szCs w:val="17"/>
          <w:color w:val="auto"/>
        </w:rPr>
        <w:t>James J. Twarozynski,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240"/>
          </w:cols>
          <w:pgMar w:left="320" w:top="127"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7"/>
          <w:szCs w:val="17"/>
          <w:color w:val="auto"/>
        </w:rPr>
        <w:t>EXHIBIT 31.1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I, William B. Kessel, certify that:</w:t>
      </w:r>
    </w:p>
    <w:p>
      <w:pPr>
        <w:spacing w:after="0" w:line="178" w:lineRule="exact"/>
        <w:rPr>
          <w:sz w:val="20"/>
          <w:szCs w:val="20"/>
          <w:color w:val="auto"/>
        </w:rPr>
      </w:pPr>
    </w:p>
    <w:p>
      <w:pPr>
        <w:ind w:left="620" w:hanging="617"/>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Independent Bank Corporation;</w:t>
      </w:r>
    </w:p>
    <w:p>
      <w:pPr>
        <w:spacing w:after="0" w:line="21" w:lineRule="exact"/>
        <w:rPr>
          <w:rFonts w:ascii="Arial" w:cs="Arial" w:eastAsia="Arial" w:hAnsi="Arial"/>
          <w:sz w:val="17"/>
          <w:szCs w:val="17"/>
          <w:color w:val="auto"/>
        </w:rPr>
      </w:pPr>
    </w:p>
    <w:p>
      <w:pPr>
        <w:ind w:left="620" w:hanging="617"/>
        <w:spacing w:after="0" w:line="287" w:lineRule="auto"/>
        <w:tabs>
          <w:tab w:leader="none" w:pos="6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20" w:hanging="617"/>
        <w:spacing w:after="0" w:line="253" w:lineRule="auto"/>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20" w:hanging="617"/>
        <w:spacing w:after="0" w:line="253" w:lineRule="auto"/>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jc w:val="both"/>
        <w:ind w:left="1240" w:hanging="618"/>
        <w:spacing w:after="0" w:line="253" w:lineRule="auto"/>
        <w:tabs>
          <w:tab w:leader="none" w:pos="1231" w:val="left"/>
        </w:tabs>
        <w:numPr>
          <w:ilvl w:val="1"/>
          <w:numId w:val="4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240" w:hanging="618"/>
        <w:spacing w:after="0" w:line="253" w:lineRule="auto"/>
        <w:tabs>
          <w:tab w:leader="none" w:pos="1228" w:val="left"/>
        </w:tabs>
        <w:numPr>
          <w:ilvl w:val="1"/>
          <w:numId w:val="4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40" w:hanging="618"/>
        <w:spacing w:after="0" w:line="269" w:lineRule="auto"/>
        <w:tabs>
          <w:tab w:leader="none" w:pos="1231"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40" w:hanging="618"/>
        <w:spacing w:after="0" w:line="253" w:lineRule="auto"/>
        <w:tabs>
          <w:tab w:leader="none" w:pos="1228" w:val="left"/>
        </w:tabs>
        <w:numPr>
          <w:ilvl w:val="1"/>
          <w:numId w:val="4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ind w:left="620" w:hanging="617"/>
        <w:spacing w:after="0" w:line="253" w:lineRule="auto"/>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240" w:hanging="618"/>
        <w:spacing w:after="0" w:line="253" w:lineRule="auto"/>
        <w:tabs>
          <w:tab w:leader="none" w:pos="1231" w:val="left"/>
        </w:tabs>
        <w:numPr>
          <w:ilvl w:val="1"/>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hanging="618"/>
        <w:spacing w:after="0" w:line="266" w:lineRule="auto"/>
        <w:tabs>
          <w:tab w:leader="none" w:pos="1228" w:val="left"/>
        </w:tabs>
        <w:numPr>
          <w:ilvl w:val="1"/>
          <w:numId w:val="4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controls over financial reporting.</w:t>
      </w:r>
    </w:p>
    <w:p>
      <w:pPr>
        <w:spacing w:after="0" w:line="188"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INDEPENDENT BANK CORPORATION</w:t>
      </w:r>
    </w:p>
    <w:p>
      <w:pPr>
        <w:spacing w:after="0" w:line="294" w:lineRule="exact"/>
        <w:rPr>
          <w:sz w:val="20"/>
          <w:szCs w:val="20"/>
          <w:color w:val="auto"/>
        </w:rPr>
      </w:pPr>
    </w:p>
    <w:p>
      <w:pPr>
        <w:ind w:left="20"/>
        <w:spacing w:after="0"/>
        <w:tabs>
          <w:tab w:leader="none" w:pos="6160" w:val="left"/>
        </w:tabs>
        <w:rPr>
          <w:sz w:val="20"/>
          <w:szCs w:val="20"/>
          <w:color w:val="auto"/>
        </w:rPr>
      </w:pPr>
      <w:r>
        <w:rPr>
          <w:rFonts w:ascii="Arial" w:cs="Arial" w:eastAsia="Arial" w:hAnsi="Arial"/>
          <w:sz w:val="17"/>
          <w:szCs w:val="17"/>
          <w:color w:val="auto"/>
        </w:rPr>
        <w:t>Date: November 3, 2023</w:t>
      </w:r>
      <w:r>
        <w:rPr>
          <w:sz w:val="20"/>
          <w:szCs w:val="20"/>
          <w:color w:val="auto"/>
        </w:rPr>
        <w:tab/>
      </w:r>
      <w:r>
        <w:rPr>
          <w:rFonts w:ascii="Arial" w:cs="Arial" w:eastAsia="Arial" w:hAnsi="Arial"/>
          <w:sz w:val="16"/>
          <w:szCs w:val="16"/>
          <w:color w:val="auto"/>
        </w:rPr>
        <w:t>/s/ William B. Kessel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31115</wp:posOffset>
            </wp:positionV>
            <wp:extent cx="322516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225165" cy="8255"/>
                    </a:xfrm>
                    <a:prstGeom prst="rect">
                      <a:avLst/>
                    </a:prstGeom>
                    <a:noFill/>
                  </pic:spPr>
                </pic:pic>
              </a:graphicData>
            </a:graphic>
          </wp:anchor>
        </w:drawing>
      </w:r>
    </w:p>
    <w:p>
      <w:pPr>
        <w:spacing w:after="0" w:line="42"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William B. Kessel</w:t>
      </w:r>
    </w:p>
    <w:p>
      <w:pPr>
        <w:spacing w:after="0" w:line="24"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President and Chief Executive Officer</w:t>
      </w:r>
    </w:p>
    <w:p>
      <w:pPr>
        <w:sectPr>
          <w:pgSz w:w="11900" w:h="16838" w:orient="portrait"/>
          <w:cols w:equalWidth="0" w:num="1">
            <w:col w:w="11240"/>
          </w:cols>
          <w:pgMar w:left="320" w:top="1068"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7"/>
          <w:szCs w:val="17"/>
          <w:color w:val="auto"/>
        </w:rPr>
        <w:t>EXHIBIT 31.2</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I, Gavin A. Mohr, certify that:</w:t>
      </w:r>
    </w:p>
    <w:p>
      <w:pPr>
        <w:spacing w:after="0" w:line="178" w:lineRule="exact"/>
        <w:rPr>
          <w:sz w:val="20"/>
          <w:szCs w:val="20"/>
          <w:color w:val="auto"/>
        </w:rPr>
      </w:pPr>
    </w:p>
    <w:p>
      <w:pPr>
        <w:ind w:left="620" w:hanging="617"/>
        <w:spacing w:after="0"/>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Independent Bank Corporation;</w:t>
      </w:r>
    </w:p>
    <w:p>
      <w:pPr>
        <w:spacing w:after="0" w:line="21" w:lineRule="exact"/>
        <w:rPr>
          <w:rFonts w:ascii="Arial" w:cs="Arial" w:eastAsia="Arial" w:hAnsi="Arial"/>
          <w:sz w:val="17"/>
          <w:szCs w:val="17"/>
          <w:color w:val="auto"/>
        </w:rPr>
      </w:pPr>
    </w:p>
    <w:p>
      <w:pPr>
        <w:ind w:left="620" w:hanging="617"/>
        <w:spacing w:after="0" w:line="287" w:lineRule="auto"/>
        <w:tabs>
          <w:tab w:leader="none" w:pos="6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20" w:hanging="617"/>
        <w:spacing w:after="0" w:line="253" w:lineRule="auto"/>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20" w:hanging="617"/>
        <w:spacing w:after="0" w:line="253" w:lineRule="auto"/>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jc w:val="both"/>
        <w:ind w:left="1240" w:hanging="618"/>
        <w:spacing w:after="0" w:line="253" w:lineRule="auto"/>
        <w:tabs>
          <w:tab w:leader="none" w:pos="1231"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240" w:hanging="618"/>
        <w:spacing w:after="0" w:line="253" w:lineRule="auto"/>
        <w:tabs>
          <w:tab w:leader="none" w:pos="1228"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40" w:hanging="618"/>
        <w:spacing w:after="0" w:line="269" w:lineRule="auto"/>
        <w:tabs>
          <w:tab w:leader="none" w:pos="1231"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40" w:hanging="618"/>
        <w:spacing w:after="0" w:line="253" w:lineRule="auto"/>
        <w:tabs>
          <w:tab w:leader="none" w:pos="1228" w:val="left"/>
        </w:tabs>
        <w:numPr>
          <w:ilvl w:val="1"/>
          <w:numId w:val="4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ind w:left="620" w:hanging="617"/>
        <w:spacing w:after="0" w:line="253" w:lineRule="auto"/>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240" w:hanging="618"/>
        <w:spacing w:after="0" w:line="253" w:lineRule="auto"/>
        <w:tabs>
          <w:tab w:leader="none" w:pos="1231"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hanging="618"/>
        <w:spacing w:after="0" w:line="266" w:lineRule="auto"/>
        <w:tabs>
          <w:tab w:leader="none" w:pos="1228" w:val="left"/>
        </w:tabs>
        <w:numPr>
          <w:ilvl w:val="1"/>
          <w:numId w:val="4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controls over financial reporting.</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16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Arial" w:cs="Arial" w:eastAsia="Arial" w:hAnsi="Arial"/>
                <w:sz w:val="17"/>
                <w:szCs w:val="17"/>
                <w:color w:val="auto"/>
              </w:rPr>
              <w:t>INDEPENDENT BANK CORPORATION</w:t>
            </w:r>
          </w:p>
        </w:tc>
      </w:tr>
      <w:tr>
        <w:trPr>
          <w:trHeight w:val="478"/>
        </w:trPr>
        <w:tc>
          <w:tcPr>
            <w:tcW w:w="6160" w:type="dxa"/>
            <w:vAlign w:val="bottom"/>
          </w:tcPr>
          <w:p>
            <w:pPr>
              <w:spacing w:after="0"/>
              <w:rPr>
                <w:sz w:val="20"/>
                <w:szCs w:val="20"/>
                <w:color w:val="auto"/>
              </w:rPr>
            </w:pPr>
            <w:r>
              <w:rPr>
                <w:rFonts w:ascii="Arial" w:cs="Arial" w:eastAsia="Arial" w:hAnsi="Arial"/>
                <w:sz w:val="17"/>
                <w:szCs w:val="17"/>
                <w:color w:val="auto"/>
              </w:rPr>
              <w:t>Date: November 3, 2023</w:t>
            </w:r>
          </w:p>
        </w:tc>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Gavin A. Mohr</w:t>
            </w:r>
          </w:p>
        </w:tc>
      </w:tr>
      <w:tr>
        <w:trPr>
          <w:trHeight w:val="211"/>
        </w:trPr>
        <w:tc>
          <w:tcPr>
            <w:tcW w:w="6160" w:type="dxa"/>
            <w:vAlign w:val="bottom"/>
          </w:tcPr>
          <w:p>
            <w:pPr>
              <w:spacing w:after="0"/>
              <w:rPr>
                <w:sz w:val="18"/>
                <w:szCs w:val="18"/>
                <w:color w:val="auto"/>
              </w:rPr>
            </w:pPr>
          </w:p>
        </w:tc>
        <w:tc>
          <w:tcPr>
            <w:tcW w:w="5060" w:type="dxa"/>
            <w:vAlign w:val="bottom"/>
          </w:tcPr>
          <w:p>
            <w:pPr>
              <w:ind w:left="580"/>
              <w:spacing w:after="0"/>
              <w:rPr>
                <w:sz w:val="20"/>
                <w:szCs w:val="20"/>
                <w:color w:val="auto"/>
              </w:rPr>
            </w:pPr>
            <w:r>
              <w:rPr>
                <w:rFonts w:ascii="Arial" w:cs="Arial" w:eastAsia="Arial" w:hAnsi="Arial"/>
                <w:sz w:val="17"/>
                <w:szCs w:val="17"/>
                <w:color w:val="auto"/>
              </w:rPr>
              <w:t>Gavin A. Mohr</w:t>
            </w:r>
          </w:p>
        </w:tc>
      </w:tr>
      <w:tr>
        <w:trPr>
          <w:trHeight w:val="219"/>
        </w:trPr>
        <w:tc>
          <w:tcPr>
            <w:tcW w:w="6160" w:type="dxa"/>
            <w:vAlign w:val="bottom"/>
          </w:tcPr>
          <w:p>
            <w:pPr>
              <w:spacing w:after="0"/>
              <w:rPr>
                <w:sz w:val="19"/>
                <w:szCs w:val="19"/>
                <w:color w:val="auto"/>
              </w:rPr>
            </w:pPr>
          </w:p>
        </w:tc>
        <w:tc>
          <w:tcPr>
            <w:tcW w:w="5060" w:type="dxa"/>
            <w:vAlign w:val="bottom"/>
          </w:tcPr>
          <w:p>
            <w:pPr>
              <w:ind w:left="580"/>
              <w:spacing w:after="0"/>
              <w:rPr>
                <w:sz w:val="20"/>
                <w:szCs w:val="20"/>
                <w:color w:val="auto"/>
              </w:rPr>
            </w:pPr>
            <w:r>
              <w:rPr>
                <w:rFonts w:ascii="Arial" w:cs="Arial" w:eastAsia="Arial" w:hAnsi="Arial"/>
                <w:sz w:val="17"/>
                <w:szCs w:val="17"/>
                <w:color w:val="auto"/>
              </w:rPr>
              <w:t>Chief Financial Officer</w:t>
            </w:r>
          </w:p>
        </w:tc>
      </w:tr>
    </w:tbl>
    <w:p>
      <w:pPr>
        <w:sectPr>
          <w:pgSz w:w="11900" w:h="16838" w:orient="portrait"/>
          <w:cols w:equalWidth="0" w:num="1">
            <w:col w:w="11240"/>
          </w:cols>
          <w:pgMar w:left="320" w:top="1068"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7"/>
          <w:szCs w:val="17"/>
          <w:color w:val="auto"/>
        </w:rPr>
        <w:t>EXHIBIT 32.1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CERTIFICATE OF THE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CHIEF EXECUTIVE OFFICER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INDEPENDENT BANK CORPORATION</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Pursuant to Section 906 of the Sarbanes-Oxley Act of 2002 (18 U.S.C. 1350):</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 William B. Kessel, President and Chief Executive Officer of Independent Bank Corporation, certify, to the best of my knowledge and belief, pursuant to</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Section 906 of the Sarbanes-Oxley Act of 2002 (18 U.S.C. 1350) that:</w:t>
      </w:r>
    </w:p>
    <w:p>
      <w:pPr>
        <w:spacing w:after="0" w:line="180" w:lineRule="exact"/>
        <w:rPr>
          <w:sz w:val="20"/>
          <w:szCs w:val="20"/>
          <w:color w:val="auto"/>
        </w:rPr>
      </w:pPr>
    </w:p>
    <w:p>
      <w:pPr>
        <w:ind w:left="1240" w:hanging="618"/>
        <w:spacing w:after="0" w:line="279" w:lineRule="auto"/>
        <w:tabs>
          <w:tab w:leader="none" w:pos="1234"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quarterly report on Form 10-Q for the quarterly period ended September 30, 2023, which this statement accompanies, fully complies with requirements of Section 13(a) or 15(d) of the Securities Exchange Act of 1934 and;</w:t>
      </w:r>
    </w:p>
    <w:p>
      <w:pPr>
        <w:spacing w:after="0" w:line="125" w:lineRule="exact"/>
        <w:rPr>
          <w:rFonts w:ascii="Arial" w:cs="Arial" w:eastAsia="Arial" w:hAnsi="Arial"/>
          <w:sz w:val="17"/>
          <w:szCs w:val="17"/>
          <w:color w:val="auto"/>
        </w:rPr>
      </w:pPr>
    </w:p>
    <w:p>
      <w:pPr>
        <w:ind w:left="1240" w:hanging="618"/>
        <w:spacing w:after="0" w:line="279" w:lineRule="auto"/>
        <w:tabs>
          <w:tab w:leader="none" w:pos="1234"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information contained in this quarterly report on Form 10-Q for the quarterly period ended September 30, 2023, fairly presents, in all material respects, the financial condition and results of operations of Independent Bank Corporation.</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18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7"/>
                <w:szCs w:val="17"/>
                <w:color w:val="auto"/>
              </w:rPr>
              <w:t>INDEPENDENT BANK CORPORATION</w:t>
            </w:r>
          </w:p>
        </w:tc>
      </w:tr>
      <w:tr>
        <w:trPr>
          <w:trHeight w:val="478"/>
        </w:trPr>
        <w:tc>
          <w:tcPr>
            <w:tcW w:w="6180" w:type="dxa"/>
            <w:vAlign w:val="bottom"/>
          </w:tcPr>
          <w:p>
            <w:pPr>
              <w:spacing w:after="0"/>
              <w:rPr>
                <w:sz w:val="20"/>
                <w:szCs w:val="20"/>
                <w:color w:val="auto"/>
              </w:rPr>
            </w:pPr>
            <w:r>
              <w:rPr>
                <w:rFonts w:ascii="Arial" w:cs="Arial" w:eastAsia="Arial" w:hAnsi="Arial"/>
                <w:sz w:val="17"/>
                <w:szCs w:val="17"/>
                <w:color w:val="auto"/>
              </w:rPr>
              <w:t>Date: November 3, 2023</w:t>
            </w:r>
          </w:p>
        </w:tc>
        <w:tc>
          <w:tcPr>
            <w:tcW w:w="504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/s/ William B. Kessel</w:t>
            </w:r>
          </w:p>
        </w:tc>
      </w:tr>
      <w:tr>
        <w:trPr>
          <w:trHeight w:val="211"/>
        </w:trPr>
        <w:tc>
          <w:tcPr>
            <w:tcW w:w="6180" w:type="dxa"/>
            <w:vAlign w:val="bottom"/>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7"/>
                <w:szCs w:val="17"/>
                <w:color w:val="auto"/>
              </w:rPr>
              <w:t>William B. Kessel</w:t>
            </w:r>
          </w:p>
        </w:tc>
      </w:tr>
      <w:tr>
        <w:trPr>
          <w:trHeight w:val="219"/>
        </w:trPr>
        <w:tc>
          <w:tcPr>
            <w:tcW w:w="6180" w:type="dxa"/>
            <w:vAlign w:val="bottom"/>
          </w:tcPr>
          <w:p>
            <w:pPr>
              <w:spacing w:after="0"/>
              <w:rPr>
                <w:sz w:val="19"/>
                <w:szCs w:val="19"/>
                <w:color w:val="auto"/>
              </w:rPr>
            </w:pPr>
          </w:p>
        </w:tc>
        <w:tc>
          <w:tcPr>
            <w:tcW w:w="5040" w:type="dxa"/>
            <w:vAlign w:val="bottom"/>
          </w:tcPr>
          <w:p>
            <w:pPr>
              <w:ind w:left="700"/>
              <w:spacing w:after="0"/>
              <w:rPr>
                <w:sz w:val="20"/>
                <w:szCs w:val="20"/>
                <w:color w:val="auto"/>
              </w:rPr>
            </w:pPr>
            <w:r>
              <w:rPr>
                <w:rFonts w:ascii="Arial" w:cs="Arial" w:eastAsia="Arial" w:hAnsi="Arial"/>
                <w:sz w:val="17"/>
                <w:szCs w:val="17"/>
                <w:color w:val="auto"/>
              </w:rPr>
              <w:t>President and Chief Executive Officer</w:t>
            </w:r>
          </w:p>
        </w:tc>
      </w:tr>
    </w:tbl>
    <w:p>
      <w:pPr>
        <w:spacing w:after="0" w:line="24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ectPr>
          <w:pgSz w:w="11900" w:h="16838" w:orient="portrait"/>
          <w:cols w:equalWidth="0" w:num="1">
            <w:col w:w="11240"/>
          </w:cols>
          <w:pgMar w:left="320" w:top="1068"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7"/>
          <w:szCs w:val="17"/>
          <w:color w:val="auto"/>
        </w:rPr>
        <w:t>EXHIBIT 32.2</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CERTIFICATE OF THE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CHIEF FINANCIAL OFFICER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INDEPENDENT BANK CORPORATION</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Pursuant to Section 906 of the Sarbanes-Oxley Act of 2002 (18 U.S.C. 1350):</w:t>
      </w:r>
    </w:p>
    <w:p>
      <w:pPr>
        <w:spacing w:after="0" w:line="178"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I, Gavin A. Mohr, Chief Financial Officer of Independent Bank Corporation, certify, to the best of my knowledge and belief, pursuant to Section 906 of the Sarbanes-Oxley Act of 2002 (18 U.S.C. 1350) that:</w:t>
      </w:r>
    </w:p>
    <w:p>
      <w:pPr>
        <w:spacing w:after="0" w:line="139" w:lineRule="exact"/>
        <w:rPr>
          <w:sz w:val="20"/>
          <w:szCs w:val="20"/>
          <w:color w:val="auto"/>
        </w:rPr>
      </w:pPr>
    </w:p>
    <w:p>
      <w:pPr>
        <w:ind w:left="1240" w:hanging="618"/>
        <w:spacing w:after="0" w:line="279" w:lineRule="auto"/>
        <w:tabs>
          <w:tab w:leader="none" w:pos="1234"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quarterly report on Form 10-Q for the quarterly period ended September 30, 2023, which this statement accompanies, fully complies with requirements of Section 13(a) or 15(d) of the Securities Exchange Act of 1934 and;</w:t>
      </w:r>
    </w:p>
    <w:p>
      <w:pPr>
        <w:spacing w:after="0" w:line="125" w:lineRule="exact"/>
        <w:rPr>
          <w:rFonts w:ascii="Arial" w:cs="Arial" w:eastAsia="Arial" w:hAnsi="Arial"/>
          <w:sz w:val="17"/>
          <w:szCs w:val="17"/>
          <w:color w:val="auto"/>
        </w:rPr>
      </w:pPr>
    </w:p>
    <w:p>
      <w:pPr>
        <w:ind w:left="1240" w:hanging="618"/>
        <w:spacing w:after="0" w:line="279" w:lineRule="auto"/>
        <w:tabs>
          <w:tab w:leader="none" w:pos="1234"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information contained in this quarterly report on Form 10-Q for the quarterly period ended September 30, 2023, fairly presents, in all material respects, the financial condition and results of operations of Independent Bank Corporation.</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16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Arial" w:cs="Arial" w:eastAsia="Arial" w:hAnsi="Arial"/>
                <w:sz w:val="17"/>
                <w:szCs w:val="17"/>
                <w:color w:val="auto"/>
              </w:rPr>
              <w:t>INDEPENDENT BANK CORPORATION</w:t>
            </w:r>
          </w:p>
        </w:tc>
      </w:tr>
      <w:tr>
        <w:trPr>
          <w:trHeight w:val="478"/>
        </w:trPr>
        <w:tc>
          <w:tcPr>
            <w:tcW w:w="6160" w:type="dxa"/>
            <w:vAlign w:val="bottom"/>
          </w:tcPr>
          <w:p>
            <w:pPr>
              <w:spacing w:after="0"/>
              <w:rPr>
                <w:sz w:val="20"/>
                <w:szCs w:val="20"/>
                <w:color w:val="auto"/>
              </w:rPr>
            </w:pPr>
            <w:r>
              <w:rPr>
                <w:rFonts w:ascii="Arial" w:cs="Arial" w:eastAsia="Arial" w:hAnsi="Arial"/>
                <w:sz w:val="17"/>
                <w:szCs w:val="17"/>
                <w:color w:val="auto"/>
              </w:rPr>
              <w:t>Date: November 3, 2023</w:t>
            </w:r>
          </w:p>
        </w:tc>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Gavin A. Mohr</w:t>
            </w:r>
          </w:p>
        </w:tc>
      </w:tr>
      <w:tr>
        <w:trPr>
          <w:trHeight w:val="211"/>
        </w:trPr>
        <w:tc>
          <w:tcPr>
            <w:tcW w:w="6160" w:type="dxa"/>
            <w:vAlign w:val="bottom"/>
          </w:tcPr>
          <w:p>
            <w:pPr>
              <w:spacing w:after="0"/>
              <w:rPr>
                <w:sz w:val="18"/>
                <w:szCs w:val="18"/>
                <w:color w:val="auto"/>
              </w:rPr>
            </w:pPr>
          </w:p>
        </w:tc>
        <w:tc>
          <w:tcPr>
            <w:tcW w:w="5060" w:type="dxa"/>
            <w:vAlign w:val="bottom"/>
          </w:tcPr>
          <w:p>
            <w:pPr>
              <w:ind w:left="580"/>
              <w:spacing w:after="0"/>
              <w:rPr>
                <w:sz w:val="20"/>
                <w:szCs w:val="20"/>
                <w:color w:val="auto"/>
              </w:rPr>
            </w:pPr>
            <w:r>
              <w:rPr>
                <w:rFonts w:ascii="Arial" w:cs="Arial" w:eastAsia="Arial" w:hAnsi="Arial"/>
                <w:sz w:val="17"/>
                <w:szCs w:val="17"/>
                <w:color w:val="auto"/>
              </w:rPr>
              <w:t>Gavin A. Mohr</w:t>
            </w:r>
          </w:p>
        </w:tc>
      </w:tr>
      <w:tr>
        <w:trPr>
          <w:trHeight w:val="219"/>
        </w:trPr>
        <w:tc>
          <w:tcPr>
            <w:tcW w:w="6160" w:type="dxa"/>
            <w:vAlign w:val="bottom"/>
          </w:tcPr>
          <w:p>
            <w:pPr>
              <w:spacing w:after="0"/>
              <w:rPr>
                <w:sz w:val="19"/>
                <w:szCs w:val="19"/>
                <w:color w:val="auto"/>
              </w:rPr>
            </w:pPr>
          </w:p>
        </w:tc>
        <w:tc>
          <w:tcPr>
            <w:tcW w:w="5060" w:type="dxa"/>
            <w:vAlign w:val="bottom"/>
          </w:tcPr>
          <w:p>
            <w:pPr>
              <w:ind w:left="580"/>
              <w:spacing w:after="0"/>
              <w:rPr>
                <w:sz w:val="20"/>
                <w:szCs w:val="20"/>
                <w:color w:val="auto"/>
              </w:rPr>
            </w:pPr>
            <w:r>
              <w:rPr>
                <w:rFonts w:ascii="Arial" w:cs="Arial" w:eastAsia="Arial" w:hAnsi="Arial"/>
                <w:sz w:val="17"/>
                <w:szCs w:val="17"/>
                <w:color w:val="auto"/>
              </w:rPr>
              <w:t>Chief Financial Officer</w:t>
            </w:r>
          </w:p>
        </w:tc>
      </w:tr>
    </w:tbl>
    <w:p>
      <w:pPr>
        <w:spacing w:after="0" w:line="24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sectPr>
      <w:pgSz w:w="11900" w:h="16838" w:orient="portrait"/>
      <w:cols w:equalWidth="0" w:num="1">
        <w:col w:w="11240"/>
      </w:cols>
      <w:pgMar w:left="320" w:top="10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decimal"/>
      <w:start w:val="1"/>
    </w:lvl>
  </w:abstractNum>
  <w:abstractNum w:abstractNumId="2">
    <w:nsid w:val="79838CB2"/>
    <w:multiLevelType w:val="hybridMultilevel"/>
    <w:lvl w:ilvl="0">
      <w:lvlJc w:val="left"/>
      <w:lvlText w:val="%1."/>
      <w:numFmt w:val="decimal"/>
      <w:start w:val="2"/>
    </w:lvl>
  </w:abstractNum>
  <w:abstractNum w:abstractNumId="3">
    <w:nsid w:val="4353D0CD"/>
    <w:multiLevelType w:val="hybridMultilevel"/>
    <w:lvl w:ilvl="0">
      <w:lvlJc w:val="left"/>
      <w:lvlText w:val="%1."/>
      <w:numFmt w:val="decimal"/>
      <w:start w:val="3"/>
    </w:lvl>
  </w:abstractNum>
  <w:abstractNum w:abstractNumId="4">
    <w:nsid w:val="B03E0C6"/>
    <w:multiLevelType w:val="hybridMultilevel"/>
    <w:lvl w:ilvl="0">
      <w:lvlJc w:val="left"/>
      <w:lvlText w:val="%1."/>
      <w:numFmt w:val="decimal"/>
      <w:start w:val="4"/>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1."/>
      <w:numFmt w:val="decimal"/>
      <w:start w:val="5"/>
    </w:lvl>
  </w:abstractNum>
  <w:abstractNum w:abstractNumId="7">
    <w:nsid w:val="71F32454"/>
    <w:multiLevelType w:val="hybridMultilevel"/>
    <w:lvl w:ilvl="0">
      <w:lvlJc w:val="left"/>
      <w:lvlText w:val="%1."/>
      <w:numFmt w:val="decimal"/>
      <w:start w:val="6"/>
    </w:lvl>
  </w:abstractNum>
  <w:abstractNum w:abstractNumId="8">
    <w:nsid w:val="2CA88611"/>
    <w:multiLevelType w:val="hybridMultilevel"/>
    <w:lvl w:ilvl="0">
      <w:lvlJc w:val="left"/>
      <w:lvlText w:val="\endash "/>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1"/>
      <w:numFmt w:val="decimal"/>
      <w:start w:val="926"/>
    </w:lvl>
  </w:abstractNum>
  <w:abstractNum w:abstractNumId="11">
    <w:nsid w:val="3A95F874"/>
    <w:multiLevelType w:val="hybridMultilevel"/>
    <w:lvl w:ilvl="0">
      <w:lvlJc w:val="left"/>
      <w:lvlText w:val="%1"/>
      <w:numFmt w:val="decimal"/>
      <w:start w:val="765"/>
    </w:lvl>
  </w:abstractNum>
  <w:abstractNum w:abstractNumId="12">
    <w:nsid w:val="8138641"/>
    <w:multiLevelType w:val="hybridMultilevel"/>
    <w:lvl w:ilvl="0">
      <w:lvlJc w:val="left"/>
      <w:lvlText w:val="%1"/>
      <w:numFmt w:val="decimal"/>
      <w:start w:val="785"/>
    </w:lvl>
  </w:abstractNum>
  <w:abstractNum w:abstractNumId="13">
    <w:nsid w:val="1E7FF521"/>
    <w:multiLevelType w:val="hybridMultilevel"/>
    <w:lvl w:ilvl="0">
      <w:lvlJc w:val="left"/>
      <w:lvlText w:val="%1."/>
      <w:numFmt w:val="decimal"/>
      <w:start w:val="8"/>
    </w:lvl>
  </w:abstractNum>
  <w:abstractNum w:abstractNumId="14">
    <w:nsid w:val="7C3DBD3D"/>
    <w:multiLevelType w:val="hybridMultilevel"/>
    <w:lvl w:ilvl="0">
      <w:lvlJc w:val="left"/>
      <w:lvlText w:val="%1."/>
      <w:numFmt w:val="decimal"/>
      <w:start w:val="10"/>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1"/>
      <w:numFmt w:val="decimal"/>
      <w:start w:val="1"/>
    </w:lvl>
    <w:lvl w:ilvl="1">
      <w:lvlJc w:val="left"/>
      <w:lvlText w:val="(%2)"/>
      <w:numFmt w:val="decimal"/>
      <w:start w:val="1"/>
    </w:lvl>
  </w:abstractNum>
  <w:abstractNum w:abstractNumId="17">
    <w:nsid w:val="22221A70"/>
    <w:multiLevelType w:val="hybridMultilevel"/>
    <w:lvl w:ilvl="0">
      <w:lvlJc w:val="left"/>
      <w:lvlText w:val="%1."/>
      <w:numFmt w:val="decimal"/>
      <w:start w:val="11"/>
    </w:lvl>
    <w:lvl w:ilvl="1">
      <w:lvlJc w:val="left"/>
      <w:lvlText w:val="%2"/>
      <w:numFmt w:val="decimal"/>
      <w:start w:val="1"/>
    </w:lvl>
  </w:abstractNum>
  <w:abstractNum w:abstractNumId="18">
    <w:nsid w:val="4516DDE9"/>
    <w:multiLevelType w:val="hybridMultilevel"/>
    <w:lvl w:ilvl="0">
      <w:lvlJc w:val="left"/>
      <w:lvlText w:val="(%1)"/>
      <w:numFmt w:val="decimal"/>
      <w:start w:val="1"/>
    </w:lvl>
  </w:abstractNum>
  <w:abstractNum w:abstractNumId="19">
    <w:nsid w:val="3006C83E"/>
    <w:multiLevelType w:val="hybridMultilevel"/>
    <w:lvl w:ilvl="0">
      <w:lvlJc w:val="left"/>
      <w:lvlText w:val="(%1)"/>
      <w:numFmt w:val="decimal"/>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1."/>
      <w:numFmt w:val="decimal"/>
      <w:start w:val="12"/>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1."/>
      <w:numFmt w:val="decimal"/>
      <w:start w:val="13"/>
    </w:lvl>
  </w:abstractNum>
  <w:abstractNum w:abstractNumId="25">
    <w:nsid w:val="3804823E"/>
    <w:multiLevelType w:val="hybridMultilevel"/>
    <w:lvl w:ilvl="0">
      <w:lvlJc w:val="left"/>
      <w:lvlText w:val="%1."/>
      <w:numFmt w:val="decimal"/>
      <w:start w:val="14"/>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1."/>
      <w:numFmt w:val="decimal"/>
      <w:start w:val="16"/>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decimal"/>
      <w:start w:val="1"/>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1)"/>
      <w:numFmt w:val="lowerLetter"/>
      <w:start w:val="1"/>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1)"/>
      <w:numFmt w:val="lowerLetter"/>
      <w:start w:val="1"/>
    </w:lvl>
    <w:lvl w:ilvl="1">
      <w:lvlJc w:val="left"/>
      <w:lvlText w:val="%2."/>
      <w:numFmt w:val="decimal"/>
      <w:start w:val="101"/>
    </w:lvl>
  </w:abstractNum>
  <w:abstractNum w:abstractNumId="37">
    <w:nsid w:val="6A2342EC"/>
    <w:multiLevelType w:val="hybridMultilevel"/>
    <w:lvl w:ilvl="0">
      <w:lvlJc w:val="left"/>
      <w:lvlText w:val="%1."/>
      <w:numFmt w:val="decimal"/>
      <w:start w:val="101"/>
    </w:lvl>
  </w:abstractNum>
  <w:abstractNum w:abstractNumId="38">
    <w:nsid w:val="2A487CB0"/>
    <w:multiLevelType w:val="hybridMultilevel"/>
    <w:lvl w:ilvl="0">
      <w:lvlJc w:val="left"/>
      <w:lvlText w:val="%1."/>
      <w:numFmt w:val="decimal"/>
      <w:start w:val="101"/>
    </w:lvl>
  </w:abstractNum>
  <w:abstractNum w:abstractNumId="39">
    <w:nsid w:val="1D4ED43B"/>
    <w:multiLevelType w:val="hybridMultilevel"/>
    <w:lvl w:ilvl="0">
      <w:lvlJc w:val="left"/>
      <w:lvlText w:val="%1."/>
      <w:numFmt w:val="decimal"/>
      <w:start w:val="101"/>
    </w:lvl>
  </w:abstractNum>
  <w:abstractNum w:abstractNumId="40">
    <w:nsid w:val="725A06FB"/>
    <w:multiLevelType w:val="hybridMultilevel"/>
    <w:lvl w:ilvl="0">
      <w:lvlJc w:val="left"/>
      <w:lvlText w:val="%1."/>
      <w:numFmt w:val="decimal"/>
      <w:start w:val="101"/>
    </w:lvl>
  </w:abstractNum>
  <w:abstractNum w:abstractNumId="41">
    <w:nsid w:val="2CD89A32"/>
    <w:multiLevelType w:val="hybridMultilevel"/>
    <w:lvl w:ilvl="0">
      <w:lvlJc w:val="left"/>
      <w:lvlText w:val="%1."/>
      <w:numFmt w:val="decimal"/>
      <w:start w:val="101"/>
    </w:lvl>
  </w:abstractNum>
  <w:abstractNum w:abstractNumId="42">
    <w:nsid w:val="57E4CCAF"/>
    <w:multiLevelType w:val="hybridMultilevel"/>
    <w:lvl w:ilvl="0">
      <w:lvlJc w:val="left"/>
      <w:lvlText w:val="%1"/>
      <w:numFmt w:val="decimal"/>
      <w:start w:val="104"/>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2023-11-03T08:48:02Z</dcterms:created>
  <dcterms:modified xsi:type="dcterms:W3CDTF">2023-11-03T08:48:02Z</dcterms:modified>
</cp:coreProperties>
</file>