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Budden Joan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INDEPENDENT BANK CORP /MI/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IBCP</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800"/>
              <w:spacing w:after="0"/>
              <w:rPr>
                <w:sz w:val="20"/>
                <w:szCs w:val="20"/>
                <w:color w:val="auto"/>
              </w:rPr>
            </w:pPr>
            <w:r>
              <w:rPr>
                <w:rFonts w:ascii="Arial" w:cs="Arial" w:eastAsia="Arial" w:hAnsi="Arial"/>
                <w:sz w:val="12"/>
                <w:szCs w:val="12"/>
                <w:b w:val="1"/>
                <w:bCs w:val="1"/>
                <w:color w:val="auto"/>
                <w:w w:val="95"/>
              </w:rPr>
              <w:t>2. Transaction</w:t>
            </w:r>
          </w:p>
        </w:tc>
        <w:tc>
          <w:tcPr>
            <w:tcW w:w="2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right"/>
              <w:ind w:right="421"/>
              <w:spacing w:after="0"/>
              <w:rPr>
                <w:sz w:val="20"/>
                <w:szCs w:val="20"/>
                <w:color w:val="auto"/>
              </w:rPr>
            </w:pPr>
            <w:r>
              <w:rPr>
                <w:rFonts w:ascii="Times New Roman" w:cs="Times New Roman" w:eastAsia="Times New Roman" w:hAnsi="Times New Roman"/>
                <w:sz w:val="17"/>
                <w:szCs w:val="17"/>
                <w:color w:val="0000FF"/>
              </w:rPr>
              <w:t>810</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181"/>
              <w:spacing w:after="0"/>
              <w:rPr>
                <w:sz w:val="20"/>
                <w:szCs w:val="20"/>
                <w:color w:val="auto"/>
              </w:rPr>
            </w:pPr>
            <w:r>
              <w:rPr>
                <w:rFonts w:ascii="Times New Roman" w:cs="Times New Roman" w:eastAsia="Times New Roman" w:hAnsi="Times New Roman"/>
                <w:sz w:val="17"/>
                <w:szCs w:val="17"/>
                <w:color w:val="0000FF"/>
              </w:rPr>
              <w:t>6,307.81</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293.36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1"/>
                <w:szCs w:val="11"/>
                <w:color w:val="auto"/>
              </w:rPr>
            </w:pPr>
          </w:p>
        </w:tc>
        <w:tc>
          <w:tcPr>
            <w:tcW w:w="4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2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V</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293.36</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33.71</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35,609.23</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16.8393 shares acquired through dividend reinvestment program (DRIP) during the second quarter.</w:t>
      </w:r>
    </w:p>
    <w:p>
      <w:pPr>
        <w:spacing w:after="0" w:line="44" w:lineRule="exact"/>
        <w:rPr>
          <w:rFonts w:ascii="Times New Roman" w:cs="Times New Roman" w:eastAsia="Times New Roman" w:hAnsi="Times New Roman"/>
          <w:sz w:val="13"/>
          <w:szCs w:val="13"/>
          <w:color w:val="008000"/>
        </w:rPr>
      </w:pPr>
    </w:p>
    <w:p>
      <w:pPr>
        <w:ind w:left="40" w:right="6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9667"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2026-07-02T10:12:18Z</dcterms:created>
  <dcterms:modified xsi:type="dcterms:W3CDTF">2026-07-02T10:12:18Z</dcterms:modified>
</cp:coreProperties>
</file>