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699135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724535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8"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Annual Report Pursuant to Section 13 or 15(d) of the Securities Exchange Act of 1934 for the fiscal year ended December 31, 2025 or</w:t>
      </w:r>
    </w:p>
    <w:p>
      <w:pPr>
        <w:spacing w:after="0" w:line="25" w:lineRule="exact"/>
        <w:rPr>
          <w:sz w:val="24"/>
          <w:szCs w:val="24"/>
          <w:color w:val="auto"/>
        </w:rPr>
      </w:pPr>
    </w:p>
    <w:p>
      <w:pPr>
        <w:ind w:left="4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Transition Report Pursuant to Section 13 or 15(d) of the Securities Exchange Act of 1934 for the transition period from _____________to_____________</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8520" w:type="dxa"/>
            <w:vAlign w:val="bottom"/>
          </w:tcPr>
          <w:p>
            <w:pPr>
              <w:jc w:val="right"/>
              <w:ind w:right="3911"/>
              <w:spacing w:after="0"/>
              <w:rPr>
                <w:sz w:val="20"/>
                <w:szCs w:val="20"/>
                <w:color w:val="auto"/>
              </w:rPr>
            </w:pPr>
            <w:r>
              <w:rPr>
                <w:rFonts w:ascii="Times New Roman" w:cs="Times New Roman" w:eastAsia="Times New Roman" w:hAnsi="Times New Roman"/>
                <w:sz w:val="18"/>
                <w:szCs w:val="18"/>
                <w:color w:val="auto"/>
              </w:rPr>
              <w:t>0-7818</w:t>
            </w:r>
          </w:p>
        </w:tc>
      </w:tr>
      <w:tr>
        <w:trPr>
          <w:trHeight w:val="26"/>
        </w:trPr>
        <w:tc>
          <w:tcPr>
            <w:tcW w:w="2700" w:type="dxa"/>
            <w:vAlign w:val="bottom"/>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5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Michigan</w:t>
            </w:r>
          </w:p>
        </w:tc>
        <w:tc>
          <w:tcPr>
            <w:tcW w:w="5580" w:type="dxa"/>
            <w:vAlign w:val="bottom"/>
          </w:tcPr>
          <w:p>
            <w:pPr>
              <w:jc w:val="right"/>
              <w:ind w:right="2271"/>
              <w:spacing w:after="0"/>
              <w:rPr>
                <w:sz w:val="20"/>
                <w:szCs w:val="20"/>
                <w:color w:val="auto"/>
              </w:rPr>
            </w:pPr>
            <w:r>
              <w:rPr>
                <w:rFonts w:ascii="Times New Roman" w:cs="Times New Roman" w:eastAsia="Times New Roman" w:hAnsi="Times New Roman"/>
                <w:sz w:val="18"/>
                <w:szCs w:val="18"/>
                <w:color w:val="auto"/>
              </w:rPr>
              <w:t>38-2032782</w:t>
            </w:r>
          </w:p>
        </w:tc>
      </w:tr>
      <w:tr>
        <w:trPr>
          <w:trHeight w:val="26"/>
        </w:trPr>
        <w:tc>
          <w:tcPr>
            <w:tcW w:w="5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4"/>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80"/>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4200 East Beltline, Grand Rapids, Michigan</w:t>
            </w:r>
          </w:p>
        </w:tc>
        <w:tc>
          <w:tcPr>
            <w:tcW w:w="5580" w:type="dxa"/>
            <w:vAlign w:val="bottom"/>
          </w:tcPr>
          <w:p>
            <w:pPr>
              <w:jc w:val="right"/>
              <w:ind w:right="2471"/>
              <w:spacing w:after="0"/>
              <w:rPr>
                <w:sz w:val="20"/>
                <w:szCs w:val="20"/>
                <w:color w:val="auto"/>
              </w:rPr>
            </w:pPr>
            <w:r>
              <w:rPr>
                <w:rFonts w:ascii="Times New Roman" w:cs="Times New Roman" w:eastAsia="Times New Roman" w:hAnsi="Times New Roman"/>
                <w:sz w:val="18"/>
                <w:szCs w:val="18"/>
                <w:color w:val="auto"/>
              </w:rPr>
              <w:t>49525</w:t>
            </w:r>
          </w:p>
        </w:tc>
      </w:tr>
      <w:tr>
        <w:trPr>
          <w:trHeight w:val="26"/>
        </w:trPr>
        <w:tc>
          <w:tcPr>
            <w:tcW w:w="5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4"/>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94"/>
        </w:trPr>
        <w:tc>
          <w:tcPr>
            <w:tcW w:w="56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(616) 527-5820</w:t>
            </w:r>
          </w:p>
        </w:tc>
      </w:tr>
      <w:tr>
        <w:trPr>
          <w:trHeight w:val="26"/>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000" w:type="dxa"/>
            <w:vAlign w:val="bottom"/>
            <w:tcBorders>
              <w:bottom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ind w:right="931"/>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41"/>
        </w:trPr>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Stock, No Par Value</w:t>
            </w:r>
          </w:p>
        </w:tc>
        <w:tc>
          <w:tcPr>
            <w:tcW w:w="1000" w:type="dxa"/>
            <w:vAlign w:val="bottom"/>
          </w:tcPr>
          <w:p>
            <w:pPr>
              <w:spacing w:after="0"/>
              <w:rPr>
                <w:sz w:val="20"/>
                <w:szCs w:val="20"/>
                <w:color w:val="auto"/>
              </w:rPr>
            </w:pPr>
          </w:p>
        </w:tc>
        <w:tc>
          <w:tcPr>
            <w:tcW w:w="2760" w:type="dxa"/>
            <w:vAlign w:val="bottom"/>
            <w:tcBorders>
              <w:right w:val="single" w:sz="8" w:color="auto"/>
            </w:tcBorders>
          </w:tcPr>
          <w:p>
            <w:pPr>
              <w:jc w:val="center"/>
              <w:ind w:right="951"/>
              <w:spacing w:after="0"/>
              <w:rPr>
                <w:sz w:val="20"/>
                <w:szCs w:val="20"/>
                <w:color w:val="auto"/>
              </w:rPr>
            </w:pPr>
            <w:r>
              <w:rPr>
                <w:rFonts w:ascii="Times New Roman" w:cs="Times New Roman" w:eastAsia="Times New Roman" w:hAnsi="Times New Roman"/>
                <w:sz w:val="18"/>
                <w:szCs w:val="18"/>
                <w:color w:val="auto"/>
                <w:w w:val="99"/>
              </w:rPr>
              <w:t>IBCP</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6"/>
        </w:trPr>
        <w:tc>
          <w:tcPr>
            <w:tcW w:w="37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39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76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28"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right="3980"/>
        <w:spacing w:after="0" w:line="255" w:lineRule="auto"/>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Non-accelerated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Smaller reporting company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Emerging growth company </w:t>
      </w:r>
      <w:r>
        <w:rPr>
          <w:rFonts w:ascii="Wingdings" w:cs="Wingdings" w:eastAsia="Wingdings" w:hAnsi="Wingdings"/>
          <w:sz w:val="18"/>
          <w:szCs w:val="18"/>
          <w:b w:val="1"/>
          <w:bCs w:val="1"/>
          <w:color w:val="auto"/>
        </w:rPr>
        <w:t>o</w:t>
      </w:r>
    </w:p>
    <w:p>
      <w:pPr>
        <w:spacing w:after="0" w:line="209"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90"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 of the Act).</w:t>
      </w:r>
    </w:p>
    <w:p>
      <w:pPr>
        <w:spacing w:after="0" w:line="2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as of June 30, 2025, was $655,032,770.</w:t>
      </w:r>
    </w:p>
    <w:p>
      <w:pPr>
        <w:sectPr>
          <w:pgSz w:w="11900" w:h="16838" w:orient="portrait"/>
          <w:cols w:equalWidth="0" w:num="1">
            <w:col w:w="11240"/>
          </w:cols>
          <w:pgMar w:left="320" w:top="1327"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March 5, 2026 was 20,588,446</w:t>
      </w:r>
    </w:p>
    <w:p>
      <w:pPr>
        <w:spacing w:after="0" w:line="24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Documents incorporated by reference: Portions of our definitive proxy statement and annual report, to be delivered to shareholders in connection with the April 21, 2026 Annual Meeting of Shareholders, are incorporated by reference into Part I, Part II, Part III, and Part IV of this Form 10-K.</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Exhibit Index appears on Pages 25-26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774065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00" w:lineRule="exact"/>
        <w:rPr>
          <w:sz w:val="20"/>
          <w:szCs w:val="20"/>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5" w:lineRule="exact"/>
        <w:rPr>
          <w:rFonts w:ascii="Times New Roman" w:cs="Times New Roman" w:eastAsia="Times New Roman" w:hAnsi="Times New Roman"/>
          <w:sz w:val="18"/>
          <w:szCs w:val="18"/>
          <w:color w:val="auto"/>
        </w:rPr>
      </w:pPr>
    </w:p>
    <w:p>
      <w:pPr>
        <w:ind w:left="800" w:hanging="473"/>
        <w:spacing w:after="0" w:line="247" w:lineRule="auto"/>
        <w:tabs>
          <w:tab w:leader="none" w:pos="7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those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our current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PART I</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BUSINESS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 The bank was founded as First National Bank in Ionia in 1864. Over the years, we have grown both organically and as the result of acquisitions of community banks, bank branches, and other organizations within the financial services industry. Our most recent acquisition was our acquisition of Traverse City State Bank in April 2018.</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debt and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56 branches, one drive-thru facility, and five Michigan based loan production offices. We also have one loan production facility in Ohio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bank competes with other commercial banks, savings banks, credit unions, mortgage banking companies, fintech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bank had total loans (excluding loans held for sale) of $4.276 billion and total deposits of $4.762 billion.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735 full-time employees and 91 part-time employees. We compete for talent and human resources with other financial services organizations within our geographic market, which is largely the lower peninsula of Michigan. We strive to be an employer of choice by offering competitive compensation and benefits as well as fostering strong employee relations through our culture, training and growth opportunities, and similar measures. As a community-oriented bank, we believe it is especially important for our employees to engage with the communities in our market areas, and we encourage and provide opportunities for our employees to volunteer with local organizations in the markets served by our bank branches.</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to general banking services, we also offer investment services through a third party agreement with Cetera Investment Services LLC and title insurance services.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4" w:name="page5"/>
    <w:bookmarkEnd w:id="4"/>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a consolidated basis, our principal sources of revenue are interest and fees on loans, other interest income, and non-interest income. The sources of revenue for the three most recent years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2023</w:t>
            </w:r>
          </w:p>
        </w:tc>
      </w:tr>
      <w:tr>
        <w:trPr>
          <w:trHeight w:val="26"/>
        </w:trPr>
        <w:tc>
          <w:tcPr>
            <w:tcW w:w="6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0"/>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r>
      <w:tr>
        <w:trPr>
          <w:trHeight w:val="24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r>
      <w:tr>
        <w:trPr>
          <w:trHeight w:val="26"/>
        </w:trPr>
        <w:tc>
          <w:tcPr>
            <w:tcW w:w="6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r>
      <w:tr>
        <w:trPr>
          <w:trHeight w:val="234"/>
        </w:trPr>
        <w:tc>
          <w:tcPr>
            <w:tcW w:w="6300" w:type="dxa"/>
            <w:vAlign w:val="bottom"/>
          </w:tcPr>
          <w:p>
            <w:pPr>
              <w:spacing w:after="0"/>
              <w:rPr>
                <w:sz w:val="20"/>
                <w:szCs w:val="20"/>
                <w:color w:val="auto"/>
              </w:rPr>
            </w:pP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
        </w:trPr>
        <w:tc>
          <w:tcPr>
            <w:tcW w:w="6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Supervision and Regulation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Bank Corporation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u w:val="single" w:color="auto"/>
          <w:color w:val="auto"/>
        </w:rPr>
        <w:t>Investments and Activities</w:t>
      </w:r>
      <w:r>
        <w:rPr>
          <w:rFonts w:ascii="Times New Roman" w:cs="Times New Roman" w:eastAsia="Times New Roman" w:hAnsi="Times New Roman"/>
          <w:sz w:val="18"/>
          <w:szCs w:val="18"/>
          <w:color w:val="auto"/>
        </w:rPr>
        <w:t>. Federal law places restrictions on the ability of our holding company to engage in certain transactions, make investments,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(directly or indirectly through a subsidiary) in various activities.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U.S. Department of Treasury,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Capital Requirements</w:t>
      </w:r>
      <w:r>
        <w:rPr>
          <w:rFonts w:ascii="Times New Roman" w:cs="Times New Roman" w:eastAsia="Times New Roman" w:hAnsi="Times New Roman"/>
          <w:sz w:val="18"/>
          <w:szCs w:val="18"/>
          <w:color w:val="auto"/>
        </w:rPr>
        <w:t>. The Federal Reserve uses capital adequacy guidelines in its examination and regulation of bank holding companies. If capital falls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minimum guidelines, a bank holding company may, among other things, be denied approval to acquire or establish additional banks or non-bank businesses.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current federal regulations, our holding company is required to maintain the following minimum capital ratios: (1) a minimum ratio of 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As of December 31, 2025, our holding company's capital ratios exceeded minimum requirements for the well-capitalized category.</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Tier 1 capital as of December 31, 2025 includes $38.6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include trust preferred securities as Tier 1 capital; however, these additional limitations do not apply to our outstanding trust preferred securities.</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Historically, most of our revenues have been received in the form of dividends paid by our bank. We can also make requests for returns of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Change in Control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exceptions, the Change in Bank Control Act ("Control Act") and regulations promulgated thereunder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Federal Securities Regulation</w:t>
      </w:r>
      <w:r>
        <w:rPr>
          <w:rFonts w:ascii="Times New Roman" w:cs="Times New Roman" w:eastAsia="Times New Roman" w:hAnsi="Times New Roman"/>
          <w:sz w:val="18"/>
          <w:szCs w:val="18"/>
          <w:color w:val="auto"/>
        </w:rPr>
        <w:t>. Our common stock is registered under the Securities Exchange Act of 1934, as amended (the "Exchange Act").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subject to the information, proxy solicitation, insider trading and other restrictions and requirements of the Securities and Exchange Commission ("SEC") under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Bank</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i w:val="1"/>
          <w:iCs w:val="1"/>
          <w:u w:val="single" w:color="auto"/>
          <w:color w:val="auto"/>
        </w:rPr>
        <w:t>Deposit Insurance</w:t>
      </w:r>
      <w:r>
        <w:rPr>
          <w:rFonts w:ascii="Times New Roman" w:cs="Times New Roman" w:eastAsia="Times New Roman" w:hAnsi="Times New Roman"/>
          <w:sz w:val="18"/>
          <w:szCs w:val="18"/>
          <w:color w:val="auto"/>
        </w:rPr>
        <w:t>. As an FDIC-insured institution, our bank is required to pay deposit insurance premium assessments to the FDIC. Under the FDIC’s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risk-based assessment system for deposit insurance premiums, our bank’s assessment rate is based on a formula using financial data and supervisory ratings.</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Michigan DIFS Assessments</w:t>
      </w:r>
      <w:r>
        <w:rPr>
          <w:rFonts w:ascii="Times New Roman" w:cs="Times New Roman" w:eastAsia="Times New Roman" w:hAnsi="Times New Roman"/>
          <w:sz w:val="18"/>
          <w:szCs w:val="18"/>
          <w:color w:val="auto"/>
        </w:rPr>
        <w:t>. Michigan banks are required to pay supervisory fees to the Michigan DIFS to fund their operations. The amount of supervisory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paid by a bank is based upon the bank's total assets, with surcharges imposed for certain banks with lower supervisory ratings.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Capital Requirements</w:t>
      </w:r>
      <w:r>
        <w:rPr>
          <w:rFonts w:ascii="Times New Roman" w:cs="Times New Roman" w:eastAsia="Times New Roman" w:hAnsi="Times New Roman"/>
          <w:sz w:val="18"/>
          <w:szCs w:val="18"/>
          <w:color w:val="auto"/>
        </w:rPr>
        <w:t>. The Federal Reserve has established the following minimum capital standards for state-chartered, FDIC-insured member banks,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bank: (1) a minimum ratio of 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It is important to note that these regulatory capital rules provide minimum requirements, and higher capital levels may be required if warranted by the particular circumstances or risk profiles of</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8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Tier 1</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Equity Tier 1</w:t>
            </w:r>
          </w:p>
        </w:tc>
        <w:tc>
          <w:tcPr>
            <w:tcW w:w="148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Leverage</w:t>
            </w:r>
          </w:p>
        </w:tc>
      </w:tr>
      <w:tr>
        <w:trPr>
          <w:trHeight w:val="236"/>
        </w:trPr>
        <w:tc>
          <w:tcPr>
            <w:tcW w:w="50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Ratio</w:t>
            </w:r>
          </w:p>
        </w:tc>
      </w:tr>
      <w:tr>
        <w:trPr>
          <w:trHeight w:val="26"/>
        </w:trPr>
        <w:tc>
          <w:tcPr>
            <w:tcW w:w="5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capitalized</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 or above</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8% or above</w:t>
            </w: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6.5% or above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or above</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Adequately capitalized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8% or above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6% or above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4.5% or above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 or above</w:t>
            </w:r>
          </w:p>
        </w:tc>
      </w:tr>
      <w:tr>
        <w:trPr>
          <w:trHeight w:val="26"/>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Undercapitalized</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Less than 8%</w:t>
            </w: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Less than 6%</w:t>
            </w: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Less than 4.5%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4%</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Significantly undercapitalized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Less than 6%</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Less than 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3%</w:t>
            </w:r>
          </w:p>
        </w:tc>
      </w:tr>
      <w:tr>
        <w:trPr>
          <w:trHeight w:val="26"/>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Critically undercapitalized</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equity to total assets of 2% or less</w:t>
            </w:r>
          </w:p>
        </w:tc>
        <w:tc>
          <w:tcPr>
            <w:tcW w:w="1480" w:type="dxa"/>
            <w:vAlign w:val="bottom"/>
            <w:shd w:val="clear" w:color="auto" w:fill="CCEEFF"/>
          </w:tcPr>
          <w:p>
            <w:pPr>
              <w:spacing w:after="0"/>
              <w:rPr>
                <w:sz w:val="20"/>
                <w:szCs w:val="20"/>
                <w:color w:val="auto"/>
              </w:rPr>
            </w:pPr>
          </w:p>
        </w:tc>
      </w:tr>
      <w:tr>
        <w:trPr>
          <w:trHeight w:val="26"/>
        </w:trPr>
        <w:tc>
          <w:tcPr>
            <w:tcW w:w="50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bank's ratios exceeded minimum requirements for the well-capitalized category.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debentures; and ultimately, appointing a receiver for the institution.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Under Michigan law, banks are restricted as to the maximum amount of dividends they may pay on their common stock. Our bank may not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except out of its net income after deducting its losses and provision for credit losses. In addition, a Michigan bank may not declare or pay a dividend unless the bank will have a surplus amounting to at least 20 percent of its capital after the payment of the dividend.</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plus (b) the bank's retained net income for the preceding two years.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Insider Transactions</w:t>
      </w:r>
      <w:r>
        <w:rPr>
          <w:rFonts w:ascii="Times New Roman" w:cs="Times New Roman" w:eastAsia="Times New Roman" w:hAnsi="Times New Roman"/>
          <w:sz w:val="18"/>
          <w:szCs w:val="18"/>
          <w:color w:val="auto"/>
        </w:rPr>
        <w:t>. Our bank is subject to certain restrictions imposed by the Federal Reserve Act on "covered transactions" with us or our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investments in our stock or other securities issued by us or our subsidiaries, the acceptance of our stock or other securities issued by us or our subsidiaries as collateral for loans, and extensions of credit to us or our subsidiaries. Certain limitations and reporting requirements are also placed on the deposit rates paid, and the amounts and terms of extensions of credit, by our bank to the directors and officers of the holding company, the bank, and the subsidiaries of the bank; to the principal shareholders of the holding company; and to "related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Safety and Soundness Standards</w:t>
      </w:r>
      <w:r>
        <w:rPr>
          <w:rFonts w:ascii="Times New Roman" w:cs="Times New Roman" w:eastAsia="Times New Roman" w:hAnsi="Times New Roman"/>
          <w:sz w:val="18"/>
          <w:szCs w:val="18"/>
          <w:color w:val="auto"/>
        </w:rPr>
        <w:t>. Pursuant to the Federal Deposit Insurance Corporation Improvement Act of 1991 ("FDICIA"), the FDIC adopted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Investment and Other Activities</w:t>
      </w:r>
      <w:r>
        <w:rPr>
          <w:rFonts w:ascii="Times New Roman" w:cs="Times New Roman" w:eastAsia="Times New Roman" w:hAnsi="Times New Roman"/>
          <w:sz w:val="18"/>
          <w:szCs w:val="18"/>
          <w:color w:val="auto"/>
        </w:rPr>
        <w:t>. Under federal law and regulations, FDIC-insured state banks are prohibited, subject to certain exceptions, from making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Consumer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bank's business includes making a variety of types of loans to individuals. In making these loans, our bank is subject to state usury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Electronic Funds Transfer Act, and the Federal Deposit Insurance Act. Violation of these laws could result in the imposition of significant damages and fines upon our bank and its directors and officers.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number of consumer protection laws were implemented following the 2008 recession, including the Dodd-Frank Act, adopted in 2010. The Dodd-Frank Act created the Consumer Financial Protection Bureau ("CFPB"), which was given the power to issue and enforce certain consumer protection laws. The CFPB has issued a number of consumer protection regulations, including regulations that impact residential mortgage lending and servicing.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experienced, and expect to continue to experience, increased costs and expenses related to compliance with these consumer protection regulations as well as new regulations that may be implemented in the future.</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Community Reinvestment Act</w:t>
      </w:r>
      <w:r>
        <w:rPr>
          <w:rFonts w:ascii="Times New Roman" w:cs="Times New Roman" w:eastAsia="Times New Roman" w:hAnsi="Times New Roman"/>
          <w:sz w:val="18"/>
          <w:szCs w:val="18"/>
          <w:color w:val="auto"/>
        </w:rPr>
        <w:t>. The Community Reinvestment Act (CRA) requires federal banking regulators to assess the record of financial institutions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the credit needs of the communities they serve, including low- and moderate-income neighborhoods, consistent with safe and sound operations. In October 2023, federal banking regulators issued a final rule to modernize and strengthen CRA regulations. The final rule includes revised assessment area standards, new retail lending and community development tests, and updated data collection and reporting requirements. The federal banking regulators have proposed rescinding the new rules and are currently applying the prior regulatory framework under the CRA. Our bank has a longstanding commitment to community development and reinvestment in the areas it serves and continually monitors developments related to CRA requirements.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Anti-Money Laundering and the USA PATRIOT Act</w:t>
      </w:r>
      <w:r>
        <w:rPr>
          <w:rFonts w:ascii="Times New Roman" w:cs="Times New Roman" w:eastAsia="Times New Roman" w:hAnsi="Times New Roman"/>
          <w:sz w:val="18"/>
          <w:szCs w:val="18"/>
          <w:color w:val="auto"/>
        </w:rPr>
        <w:t>. The bank is subject to a number of financial recordkeeping and anti-money laundering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including the Bank Secrecy Act and the USA PATRIOT Act, as well as similar rules and guidelines implemented and enforced by the Department of the Treasury's Financial Crimes Enforcement Network ("FinCEN") and the Federal Financial Institutions Examination Council ("FFIEC"). These laws and regulations require the bank to take certain steps to prevent the use of the bank or its systems from facilitating the flow of illegal or illicit money or terrorist funds. These regulations include FinCEN's Customer Due Diligence Requirements for Financial Institutions, which is designed to identify and verify the identity of natural persons (known as beneficial owners) of legal entity customers who own, control and profit from companies when those companies open accounts.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2018 Regulatory Reform</w:t>
      </w:r>
      <w:r>
        <w:rPr>
          <w:rFonts w:ascii="Times New Roman" w:cs="Times New Roman" w:eastAsia="Times New Roman" w:hAnsi="Times New Roman"/>
          <w:sz w:val="18"/>
          <w:szCs w:val="18"/>
          <w:color w:val="auto"/>
        </w:rPr>
        <w:t>. In May 2018, the Economic Growth, Regulatory Relief and Consumer Protection Act (the "2018 Act") was enacted to modify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certain financial reform rules and regulations, including some of those implemented under the Dodd-Frank Act. While the 2018 Act maintained most of the regulatory structure established by the Dodd-Frank Act, it amended certain aspects of the regulatory framework for small depository institutions with assets of less than $10 billion and for large banks with assets of more than $50 billion.</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2018 Act also included regulatory relief for community banks regarding regulatory examination cycles, call reports, the Volcker Rule (proprietary trading prohibitions), mortgage disclosures, and risk weights for certain high-risk commercial real estate loans.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Anti-Money Laundering Act of 2020</w:t>
      </w:r>
      <w:r>
        <w:rPr>
          <w:rFonts w:ascii="Times New Roman" w:cs="Times New Roman" w:eastAsia="Times New Roman" w:hAnsi="Times New Roman"/>
          <w:sz w:val="18"/>
          <w:szCs w:val="18"/>
          <w:color w:val="auto"/>
        </w:rPr>
        <w:t>. The National Defense Authorization Act for Fiscal Year 2021 (the "NDAA") enacted January 1, 2021 over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presidential veto, includes a number of significant new requirements intended to enhance U.S. anti-money laundering efforts. These provisions, many of which are contained within a section of the NDAA known as the Anti-Money Laundering Act of 2020 (the "AMLA"), include establishment of a beneficial ownership registration database, the creation of two new criminal offenses regarding money laundering, new penalties for Bank Secrecy Act violations, and increased whistleblower rewards and protections. Under these new laws, various government agencies will also be tasked with identification of policy priorities, establishment of streamlined processes, creation of information sharing programs, and regular reporting to Congress in an effort to modernize anti-money laundering enforcement.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Branching Authority</w:t>
      </w:r>
      <w:r>
        <w:rPr>
          <w:rFonts w:ascii="Times New Roman" w:cs="Times New Roman" w:eastAsia="Times New Roman" w:hAnsi="Times New Roman"/>
          <w:sz w:val="18"/>
          <w:szCs w:val="18"/>
          <w:color w:val="auto"/>
        </w:rPr>
        <w:t>. Michigan banks, such as our bank, have the authority under Michigan law to establish branches anywhere in the State of Michigan,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receipt of all required regulatory approvals. Banks may establish interstate branch networks through acquisitions of other banks. The establishment of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Inflation Reduction Act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16, 2022, the Inflation Reduction Act of 2022 was signed into law. The Inflation Reduction Act of 2022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 excise tax on net stock repurchases, effective January 1, 2023. We do not expect that this new excise tax will have a material impact on our operations or results.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One Big Beautiful Bill</w:t>
      </w:r>
      <w:r>
        <w:rPr>
          <w:rFonts w:ascii="Times New Roman" w:cs="Times New Roman" w:eastAsia="Times New Roman" w:hAnsi="Times New Roman"/>
          <w:sz w:val="18"/>
          <w:szCs w:val="18"/>
          <w:color w:val="auto"/>
        </w:rPr>
        <w:t>. In 2025, Congress enacted H.R. 1, the Reconciliation Act of 2025 (commonly referred to as the "One Big Beautiful Bill"),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contains numerous provisions affecting financial institutions, their customers, and the broader economy. The legislation makes permanent many of the individual and business tax provisions originally enacted in the Tax Cuts and Jobs Act of 2017, including the reduced individual income tax rates, the increased standard deduction, the 20% qualified business income deduction for pass-through entities under section 199A, the increased estate and gift tax exemption, and 100% bonus depreciation for qualified property. The legislation also modifies the business interest deduction limitation under Section 163(j) to restore the add-back of depreciation, amortization, and depletion when calculating adjusted taxable income, and increases the Section 179 expensing limit to $2.5 million.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legislation includes several provisions that may directly benefit our bank and its customers. The state and local tax ("SALT") deduction cap is increased from $10,000 to $40,000 for tax years 2025 and 2026, which may positively affect our customers in Michigan and support residential real estate demand in our service area. Additionally, the legislation provides that 25% of interest received by qualified lenders, including FDIC-insured depository institutions, on loans secured by agricultural or rural real estate is excluded from gross income. The legislation also creates new deductions for qualified tips, qualified overtime compensation, and interest on loans for U.S.-assembled passenger vehicles, which may affect consumer financial capacity and demand for certain loan products.</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With respect to financial institution regulation, the legislation reduces the CFPB’s funding cap from 12% to 6.5% of the Federal Reserve System's combined earnings, which may result in reduced CFPB enforcement activity and rulemaking.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legislation also imposes a 1% excise tax on certain outbound cash remittance transfers, which may impose compliance and collection obligations on financial institutions that serve as remittance transfer providers.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ultimate impact of this legislation on our operations, financial condition, and results of operations will depend on the implementation of these provisions by the applicable regulatory and taxing authorities and cannot yet be fully determined.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Future Legislation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 Information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Our annual reports on Forms 10-K, quarterly reports on Forms 10-Q, current reports on Forms 8-K, and all amendments to those reports are available free of charge through our website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xml:space="preserve"> as soon as reasonably practicable after filing with the SEC.</w:t>
      </w:r>
    </w:p>
    <w:p>
      <w:pPr>
        <w:spacing w:after="0" w:line="1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in our common stock involves risks, including (among others) the following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Relating to the Financial Services Industry</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Pressures from various global and national macroeconomic events, including heightened inflation, uncertainty regarding future interest rates, foreign currency exchange rate fluctuations, recent adverse weather conditions and natural disasters, ongoing conflict in the Middle East, the continuation of the Russia-Ukraine war, and potential governmental responses to these events have created, and continue to create, significant economic uncertainty and could materially and adversely impact our financial condition and performance. In addition, pursuit of new initiatives announced by the Trump administration may create some degree of volatility in our customers’ businesses, regulation of the financial services industry, and the markets in which we operate.</w:t>
      </w:r>
    </w:p>
    <w:p>
      <w:pPr>
        <w:spacing w:after="0" w:line="16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 extent to which these macroeconomic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economic downturns and other adverse impacts from these macroeconomic factors could result in the delinquency of outstanding loans, which could have a material adverse impact on our earnings. We continue to closely monitor and analyze the higher risk segments within our portfolio in light of the high degree of uncertainty that exists with respect to the impact of the fluid global economic conditions on the future performance of our loan portfolio.</w:t>
      </w:r>
    </w:p>
    <w:p>
      <w:pPr>
        <w:spacing w:after="0" w:line="1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Governmental monetary and fiscal policies may adversely affect the financial services industry and therefore impact our financial condition and results of operations.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value of capitalized mortgage loan servicing rights,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Volatility and disruptions in global capital and credit markets may adversely impact our business, financial condition and results of operations.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Adverse developments affecting the financial services industry, including bank failures and the resulting liquidity concerns, may have a material effect on our business, financial condition, results of operations, or cash flows.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Events within the financial services industry within recent years, including the closures of several banks in 2023 due to large-scale deposit withdrawals over a short period of time, created liquidity risks and concerns within the industry, as well as decreased confidence in banks among depositors, investors, and other counterparties. In general, these events caused some degree of volatility and disruption in the capital markets, as well as reduced valuations of equity and other securities of banks. These failures also highlighted the importance of maintaining diversified funding sources. These market conditions and related factors may impact the competitive landscape for deposits in the financial services industry in an unpredictable manner.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Specifically, these events may materially adversely impact our business, financial condition, results of operations, and/or cash flows, including through potential liquidity pressures, reduced net interest margins, and potential increased credit losses. They may also adversely impact the market price and volatility of our common stock. Government responses to these events may also adversely impact us. Our deposits are insured up to applicable limits by FDIC and are subject to deposit insurance premiums and assessments. The FDIC may increase premiums or impose special assessments on all banks to replenish the Deposit Insurance Fund to ensure that all depositors in failed banks are made whole at no cost to taxpayers. The 2023 bank failures may also prompt changes to laws or regulations governing banks, which could impact our profitability and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soundness of other financial institutions could adversely affect us.</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can lead to market-wide liquidity problems and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regulation or oversight may have a material adverse impact on our operations.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extensive regulation, supervision and examination by the Federal Reserve, the FDIC, the Michigan DIFS, the SEC and other regulatory bodies. Such regulation and supervision govern the activities in which we may engage. Regulatory authorities have extensive discretion in their supervisory and enforcement activities, including the imposition of restrictions on our operations, limitations related to our securities, the classification of our assets, and the determination of the level of our allowance for credit losses. Any change in such regulation and oversight, whether in the form of regulatory policy, regulations, legislation or supervisory action, may have a material adverse impact on our business, financial condition or results of operations.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Additional regulatory focus on the financial services industry is common in connection with an economic downturn, as the industry experienced following the most recent financial crisis. As a result, the adverse effects on our business relating to any future economic downturn could be exacerbated by additional regulations and regulatory scrutiny that accompanied or followed any such downturn.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 It is difficult to predict what impact the Trump administration will have on these risks. Any actions by the administration to scale back regulations or regulatory oversight may become subject to judicial or other challenges, which may increase the degree of uncertainty associated with this risk factor.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We are subject to liquidity risk in our operations, which could adversely impact our ability to fund various obligations.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cybersecurity risks, including attacks targeting our systems and customers' systems.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business involves the collection, transmission, and storage of large amounts of sensitive data, including personally identifiable information of our customers and employees. The cybersecurity risks our business face include cyberattacks, other unauthorized access to data, loss or destruction of data, unavailability of service, and similar events. We are also susceptible to cybersecurity risks faced by third party vendors on which we rely for components of our business infrastructure and data processing and which often have access to the sensitive data of our customers.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While we have not to date experienced a security breach that has had a material impact on us, our business is very susceptible to cybersecurity risks, and it is possible we could experience a significant breach in the future that could materially impact our financial condition or results of operations. A material data breach or other cybersecurity incident affecting our business could result in significant reputational risk, loss of customers, legal claims, additional costs, financial loss, regulatory penalties, and similar damages. Risks and exposures related to cybersecurity attacks are expected to remain high for the foreseeable future due to the rapidly evolving nature and sophistication of these threats, the continuing expansion of internet and mobile banking, and similar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 of artificial intelligence and machine learning technologies may expose us to regulatory, operational, and competitive risks.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artificial intelligence ("AI") and machine learning technologies in certain aspects of our operations. While these technologies can provide significant benefits, they also present risks that could adversely affect our business. AI systems may produce inaccurate or biased outputs, which could result in regulatory compliance failures. The use of AI in lending decisions is subject to increasing regulatory scrutiny, particularly with respect to fair lending requirements under the Equal Credit Opportunity Act and the Fair Housing Act. Regulators may challenge the use of AI models that produce results that are based upon potential bias, even if such impacts are unintentional. Additionally, we face competitive pressures from fintech companies and other financial institutions that may be able to deploy AI technologies more aggressively or effectively than we can. Errors or failures in AI systems could result in operational disruptions, financial losses, reputational harm, or regulatory sanctions. As AI technology continues to evolve rapidly, there is significant uncertainty regarding future regulatory requirements and industry standards applicable to the use of AI by financial institutions. The regulatory landscape for AI in banking is still developing, and new regulations or guidance could require us to modify or discontinue certain uses of AI, incur significant compliance costs, or face enforcement 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significant portion of our deposits are uninsured, which could result in funding pressures and liquidity constraints during times of financial stress.</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portion of our deposits exceeds the $250,000 FDIC insurance limit. As of December 31, 2025, our estimated uninsured deposits totaled approximately $1.176 billion, representing approximately 24.8% of our total deposits. Uninsured deposits may be more likely to be withdrawn during times of financial stress, which could result in funding pressures and liquidity constraints. In 2023, the failures of Silicon Valley Bank and Signature Bank highlighted the risks associated with high concentrations of uninsured deposits, as rapid deposit withdrawals contributed to those institutions' failures. We believe our depositor base is relatively diversified, and we take steps to manage uninsured deposit risk, including monitoring deposit concentrations, diversifying funding sources, and maintaining access to contingent liquidity facilities. However, there can be no assurance these measures will be effective in preventing deposit outflows during periods of market stress. A significant loss of deposits could require us to seek alternative funding sources, which may be more expensive or unavailable on acceptable terms, and could adversely affect our liquidity,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concentration in commercial real estate loans exposes us to increased credit risk and regulatory scrutiny.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2025, our loans secured by commercial real estate (CRE) totaled approximately $1.055 billion representing approximately 24.7% of our total loan portfolio. The commercial real estate market has experienced increased stress with higher interest rates and changes in tenant demand adversely affecting property values and cash flows in certain segments of the CRE market. Regulatory agencies have increased their scrutiny of CRE lending concentrations, particularly with respect to office properties and other property types experiencing elevated stress. An extended period of stress in the commercial real estate market could result in increased loan delinquencies, higher credit losses, and reduced collateral values, which could adversely affect our financial condition and results of operations. We actively monitor our CRE portfolio and underwriting standards; however, there can be no assurance that these measures will be sufficient to avoid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third-party service providers for critical business functions, which exposes us to operational, cybersecurity, and regulatory risks.</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rely on third-party service providers for significant components of our business operations, including core data processing systems, payment processing, cybersecurity monitoring, and other critical functions. Our core data processing systems are largely outsourced to third-party providers. This reliance on third parties creates concentration risk, as disruptions to our key service providers' operations, financial condition, or security could directly impact our ability to serve customers and conduct business. Cybersecurity incidents affecting our third-party vendors could result in unauthorized access to customer data, operational disruptions, and regulatory liability. In addition, our third-party providers may fail to comply with applicable laws and regulations, which could expose us to regulatory sanctions and reputational harm. Contract negotiations with critical vendors may result in unfavorable terms, and we may have limited ability to switch providers without significant cost and operational disruption. Regulatory agencies increasingly scrutinize financial institutions' third-party risk management practices, and we may face increased compliance costs and regulatory expectations in this area. Failure to effectively manage third-party risks could adversely affect our business, financial condition, and results of operations.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Operational difficulties, including failure of technology infrastructure and the increasing occurrence and sophistication of attempts at fraudulent activity, could adversely affect our business and operations.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financial services industry is also experiencing a rapid increase in the frequency and sophistication of fraudulent attacks, driven by the proliferation of AI-powered tools, deepfake technology, and organized, transnational crime rings. We are subject to evolving, complex threats designed to bypass traditional security controls. Our failure to successfully anticipate or mitigate these evolving schemes could lead to increased financial losses, higher operational costs, regulatory penalties, and significant reputational damage.</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be subject to disruptions of our operating systems arising from events that are wholly or partially beyond our control, which may include, for example, computer viruses, cyberattacks,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4" w:name="page15"/>
    <w:bookmarkEnd w:id="14"/>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occurrence of any failure or interruption in our operations or information systems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Changes in the financial markets, including fluctuations in interest rates and their impact on deposit pricing, could adversely affect our net interest income and financial condition.</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which have the potential to change significantly with the Trump administration;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of reducing risk exposures might not be effective.</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More Specific to Our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credit risk inherent in our loan portfolios, and our allowance for credit losses may not be sufficient to cover actual credit losses.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$23.1 million and $6.0 million at December 31, 2025, and December 31, 2024, respectively. Our allowance for credit losses coverage ratio of non-performing loans was 274.33% and 989.32% at December 31, 2025, and December 31, 2024, respectively. The decrease in this coverage ratio in 2025 was primarily due to an increase in commercial non-performing loans that was partially offset by an increase in the allowance for credit losses. In determining the size of the allowance for credit losses, we rely on our experience and our evaluation of current economic conditions. If our assumptions or judgments prove to be incorrect, our current allowance for credit losses may not be sufficient to cover certain credit losses inherent in our loan portfolio, and adjustments may be necessary to account for different economic conditions or adverse developments in our loan portfolio. Material additions to our allowance for credit losses would adversely impact our operating results.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federal and state regulators periodically review our allowance for credit losses and may require us to increase our provision for credit losses or recognize additional loan charge-offs, notwithstanding any internal analysis that has been performed. Any increase in our allowance for credit losses or loan charge-offs required by these regulatory agencies could have a material adverse effect on our results of operations and financial condition.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We have credit risk in our securities portfolio.</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and securities held to maturity in our portfolio totaled approximately $51.4 million and $39.8 million, respectively as of December 31, 2025 (compared to approximately $62.7 million and $53.9, respectively as of December 31, 2024). We believe these unrealized losses are temporary in nature and are expected to be recovered within a reasonable time period as we believe we have the ability to hold the securities to maturity or until such time as the unrealized losses reverse. We evaluate securities available for sale for impairment related to credit losses at least quarterly and more frequently when economic or market concerns warrant such evaluation. Those evaluations may result in a provision for credit losses recorded in our earnings. We measure expected credit losses on securities held to maturity ("HTM") on a collective basis by major security type with each type sharing similar risk characteristics, and we consider historical credit loss information. We may, in the future, experience losses in our securities portfolios which may result in credit losses that could materially adversely affect our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mortgage-banking revenues are susceptible to substantial variations, due in part to factors we do not control, such as market interest rates.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$6.8 million on mortgage loans during 2025 compared to $6.6 million during 2024 and $7.4 million during 2023.</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An adverse outcome in certain overdraft fee litigation that has been brought against the bank could have a material adverse effect on our results of operations.</w:t>
      </w:r>
    </w:p>
    <w:p>
      <w:pPr>
        <w:spacing w:after="0" w:line="14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are currently a defendant in three putative class action lawsuits challenging aspects of our overdraft and/or insufficient funds fee practices, including allegations that fees were assessed in circumstances where transactions were authorized on a positive balance but later settled against a negative balance and/or that multiple fees were charged on re-presented items. For additional information, please see Note 11 – Commitments and Contingent Liabilities in the Notes to Consolidated Financial Statements in our annual report, to be delivered to shareholders in connection with the April 21, 2026 Annual Meeting of Shareholders (filed as exhibit 13 to this report on Form 10-K) for more information. An adverse outcome in any of these matters, through judgment or settlement, could result in monetary damages, restitution, remedial relief requiring changes to our products, disclosures, and systems, and an increase in legal and compliance costs, any of which could be material to our results of operations. Similar lawsuits against other financial institutions nationwide have resulted in substantial settlements, and plaintiffs’ firms continue to actively pursue these claims. Recent public settlements in overdraft-related litigation include payments by multiple institutions, reflecting the potential exposure in this area.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parent company must rely on dividends or returns of capital from our bank for most of its cash flow.</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future strategic acquisitions or divestitures may present additional risks to our business and operations.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risks and difficulties in connection with any future decisions to downsize, sell or close units or otherwise change our business mix.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capital requirements may adversely affect us.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capital requirements applicable to banks and bank holding companies have been substantially revised in recent years.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Maintaining higher levels of capital may reduce our profitability and otherwise adversely affect our business, financial condition, or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Declines in the businesses or industries of our customers could cause increased credit losses, which could adversely affect us.</w:t>
      </w:r>
    </w:p>
    <w:p>
      <w:pPr>
        <w:spacing w:after="0" w:line="17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Our business customer base consists, in part, of customers in businesses and industries that are sensitive to global economic conditions and supply chain factors, including businesses that operate within the automotive, real estate, retail, commercial and industrial (C&amp;I), hotel, entertainment, and food service industries. Any decline in any of these industries or business sectors could cause increased credit losses, which in turn could adversely affect us.</w:t>
      </w:r>
    </w:p>
    <w:p>
      <w:pPr>
        <w:spacing w:after="0" w:line="1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utilize technology to efficiently and effectively develop, market, and deliver new products and services to our customers.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or offer new technology-driven products and services or be successful in marketing or supporting these products and services to our customers, which could have a material adverse impact on our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digital assets and technologies may disrupt our business and adversely affect our results.</w:t>
      </w:r>
    </w:p>
    <w:p>
      <w:pPr>
        <w:spacing w:after="0" w:line="183"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Rapid innovation in financial technology - including stablecoins and other digital assets, distributed ledger technologies,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payment networks, embedded banking, and artificial intelligence - may change how consumers and businesses store value, make payments, access credit, and obtain financial services. These innovations could reduce our deposits (e.g., if customers hold value in stablecoins rather than bank accounts), compress or eliminate payment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and interchange revenues, and increase competition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providers and larger technology firms with greater resources and scale. They may also require significant investments in systems, talent, cybersecurity, vendor oversight, and compliance, and expose us to new operational, fraud, liquidity, Bank Secrecy Act/anti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consumer protection,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risks. Legal and regulatory frameworks applicable to digital assets and related activities remain uncertain and may evolve rapidly; changes could restrict our ability to participate in or provide services to these markets, or increase our compliance costs and potential liabilities. If we are unable to adapt our products, pricing, and technology in a timely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effective manner, or if customers migrate to alternative platforms, our growth, funding, net interest margin, fee income, and overall financial condition could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product and pricing pressures among financial institutions within our markets may change.</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including credit unions, in terms of products and pricing. We also compete with fintech companies, securities brokerage firms, insurance companies, and other non-depository institutions with respect to some of</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products and services we offer. If we are unable to compete effectively in products and pricing in our markets, business could decline, which could have a material adverse effect on our business, financial condition or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customer behavior may adversely impact our business, financial condition and results of operations.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maintain and expand customer relationships may differ from expectations.</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particularly as financial products and services similar to those we offer become more widely available and accessible via the internet and other technology. Failure to create new customer relationships and to maintain and expand existing customer relationships to the extent anticipated may adversely impact our earnings.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retain key officers and employees may change.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Catastrophic events, including, but not limited to, hurricanes, tornadoes, earthquakes, fires, floods, and pandemic outbreaks may adversely affect the general economy, financial and capital markets, specific industries, and us.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appropriately apply certain critical accounting policies could result in our misstatement of our financial results and condition.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Accounting policies and processes are fundamental to how we record and report our financial condition and results of operations. We must exercise judgment in selecting and applying many of these accounting policies and processes so they comply with U.S. generally accepted accounting principles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subject to internal controls and applied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21, 2026 Annual Meeting of Shareholders (filed as exhibit 13 to this report on Form 10-K).</w:t>
      </w:r>
    </w:p>
    <w:p>
      <w:pPr>
        <w:spacing w:after="0" w:line="18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1B.</w:t>
      </w:r>
      <w:r>
        <w:rPr>
          <w:sz w:val="20"/>
          <w:szCs w:val="20"/>
          <w:color w:val="auto"/>
        </w:rPr>
        <w:tab/>
      </w:r>
      <w:r>
        <w:rPr>
          <w:rFonts w:ascii="Times New Roman" w:cs="Times New Roman" w:eastAsia="Times New Roman" w:hAnsi="Times New Roman"/>
          <w:sz w:val="17"/>
          <w:szCs w:val="17"/>
          <w:u w:val="single" w:color="auto"/>
          <w:color w:val="auto"/>
        </w:rPr>
        <w:t>UNRESOLVED STAFF COMMENTS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1C.</w:t>
      </w:r>
      <w:r>
        <w:rPr>
          <w:sz w:val="20"/>
          <w:szCs w:val="20"/>
          <w:color w:val="auto"/>
        </w:rPr>
        <w:tab/>
      </w:r>
      <w:r>
        <w:rPr>
          <w:rFonts w:ascii="Times New Roman" w:cs="Times New Roman" w:eastAsia="Times New Roman" w:hAnsi="Times New Roman"/>
          <w:sz w:val="17"/>
          <w:szCs w:val="17"/>
          <w:u w:val="single" w:color="auto"/>
          <w:color w:val="auto"/>
        </w:rPr>
        <w:t>CYBERSECURITY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Assessment, Identification, and Management Processes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cybersecurity processes have been integrated into our risk management system.</w:t>
      </w:r>
    </w:p>
    <w:p>
      <w:pPr>
        <w:spacing w:after="0" w:line="17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employ a comprehensive cybersecurity risk assessment program designed to evaluate threats, vulnerabilities, and the potential impact on our operations, data, and financial condition. This program is regularly reviewed and updated to address emerging risks. Our process for addressing risk is based on banking industry best practices outlined by the FFIEC and in National Institute of Standards and Technology (“NIST”) frameworks.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engage various third-party service providers in connection with our cybersecurity processes.</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routinely engage consultants and other third parties to assist in the continued improvement and maintenance of our cybersecurity risk assessment program. These engagements are designed to enhance our cybersecurity posture, and we work closely with these experts to help us identify and address risks and vulnerabilities. Examples of these engagements include third party security assessments, security monitoring, and program review.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closely oversee and monitor third-party cybersecurity service providers.</w:t>
      </w:r>
    </w:p>
    <w:p>
      <w:pPr>
        <w:spacing w:after="0" w:line="17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maintain policies and procedures to oversee and identify cybersecurity risks associated with our third-party service providers, especially those with access to customer and employee data. Our selection and oversight of these providers incorporate cybersecurity considerations, including contractual and other mechanisms to mitigate risks. Our third-party oversight process follows published best practices and frameworks from NIST and FFIEC to account for risks throughout the entire engagement with our third-party vendors.</w:t>
      </w:r>
    </w:p>
    <w:p>
      <w:pPr>
        <w:spacing w:after="0" w:line="13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consistently engage in proactive measures aimed at preventing, detecting, and effectively minimizing the impact of cybersecurity incidents. We maintain an incident response plan to swiftly respond to breaches, protect customer data, and minimize disruption to our operations. The incident response process is consistently tested and reviewed through simulated incidents and tabletop exercises with key stakeholders. To bolster our incident response process, we have robust business continuity, contingency, and recovery plans to ensure operational resilience during a cybersecurity incident.</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We have not experienced a material cybersecurity breach, but risks from cybersecurity threats may impact our business strategy, results of operations, and financial condition.</w:t>
      </w:r>
    </w:p>
    <w:p>
      <w:pPr>
        <w:spacing w:after="0" w:line="13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No risks from any current or previous cybersecurity threats have materially affected or are reasonably likely to materially affect our business strategy, results of operations, or financial condition, except to the extent that such strategy, operations, and conditions are affected by our employment of the cybersecurity risk assessment programs and procedures discussed in this Item. We have not, as of the date of this filing, experienced a cybersecurity breach that has materially affected our business or financial condition. However, because our business involves the collection, transmission, and storage of sensitive customer and employee data, we are susceptible to various cybersecurity threats, including cyberattacks, unauthorized access, and similar events. We employ ongoing processes and strategies to guard against those threats, as discussed in this Item.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recognize the value and importance of cybersecurity and data protection and understand the potential harm to our business from cybersecurity incidents.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place a high priority on mitigating risks associated with cybersecurity threats and any cybersecurity incidents.</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Our Board of Directors and Chief Executive Officer, in collaboration with our Chief Operating Officer and Chief Risk Officer, oversee cybersecurity processes, risks, and threats.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9" w:name="page20"/>
    <w:bookmarkEnd w:id="19"/>
    <w:p>
      <w:pPr>
        <w:jc w:val="both"/>
        <w:spacing w:after="0" w:line="239" w:lineRule="auto"/>
        <w:rPr>
          <w:sz w:val="20"/>
          <w:szCs w:val="20"/>
          <w:color w:val="auto"/>
        </w:rPr>
      </w:pPr>
      <w:r>
        <w:rPr>
          <w:rFonts w:ascii="Times New Roman" w:cs="Times New Roman" w:eastAsia="Times New Roman" w:hAnsi="Times New Roman"/>
          <w:sz w:val="18"/>
          <w:szCs w:val="18"/>
          <w:color w:val="auto"/>
        </w:rPr>
        <w:t>Rather than designate one specific board committee to cybersecurity risk management, our entire Board of Directors is responsible for overseeing our risk management. Our Chief Risk Officer is responsible for overseeing our risk management generally, working closely with our internal audit department. Our Chief Risk Officer regularly reports directly to the Board of Directors with respect to all areas of risk management.</w:t>
      </w:r>
    </w:p>
    <w:p>
      <w:pPr>
        <w:spacing w:after="0" w:line="1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With regard to cybersecurity specifically, we have a Chief Information Security Officer who reports directly to our Chief Operating Officer, with a dotted-line reporting relationship to our Chief Executive Officer, and collaborates regularly with our Chief Risk Officer and Risk Team. Our Chief Information Security Officer meets with the Chief Executive Officer on a standard cadence and chairs a committee focused on cybersecurity with monthly reports made to our Risk Committee. Minutes from these meetings as well as select materials are shared with the full Board of Directors, and our Chief Information Security Officer delivers an annual report to our Board of Directors.</w:t>
      </w:r>
    </w:p>
    <w:p>
      <w:pPr>
        <w:spacing w:after="0" w:line="1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entire management team is actively engaged in assessing and managing material risks from cybersecurity threats. We have established a robust framework for identifying, preventing, mitigating, and remediating such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an extensive and experienced team responsible for cybersecurity risk management.</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current Chief Information Security Officer has a comprehensive information security background with over 20 years of experience in managing or assisting in managing cybersecurity risks across multiple industries with the majority of that experience at community banking institutions. Our Chief Information Security Officer holds multiple industry certifications from groups such as ISC2 and GIAC.</w:t>
      </w:r>
    </w:p>
    <w:p>
      <w:pPr>
        <w:spacing w:after="0" w:line="13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To support the Chief Information Security Officer in managing cybersecurity and our Chief Risk Officer in managing cybersecurity risks, we have established a cross-functional cybersecurity team that includes experts in various aspects of information security. This team of employees includes individuals with many years of prior combined work experience in cybersecurity and data protection. These individuals are responsible for the day-to-day implementation of our cybersecurity program, including providing immediate notice to our Chief Information Security Officer, Chief Operating Officer and our Chief Risk Officer of any potential cybersecurity incidents.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employ robust and comprehensive processes to respond to cybersecurity risks.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 a comprehensive set of processes to monitor and mitigate cybersecurity risks. These processes include:</w:t>
      </w:r>
    </w:p>
    <w:p>
      <w:pPr>
        <w:spacing w:after="0" w:line="166" w:lineRule="exact"/>
        <w:rPr>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24x7x365 Security Alert Monitoring</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Monitoring</w:t>
      </w:r>
    </w:p>
    <w:p>
      <w:pPr>
        <w:ind w:left="640" w:hanging="313"/>
        <w:spacing w:after="0" w:line="23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Firewalls</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Assessment</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Security Assessments</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Awareness Training Programs</w:t>
      </w:r>
    </w:p>
    <w:p>
      <w:pPr>
        <w:ind w:left="640" w:hanging="313"/>
        <w:spacing w:after="0" w:line="23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Management</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Plans</w:t>
      </w: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Encryption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processes are regularly reviewed and updated to adapt to evolving cybersecurity threats.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cybersecurity personnel provide regular reports to the Board of Directors.</w:t>
      </w:r>
    </w:p>
    <w:p>
      <w:pPr>
        <w:spacing w:after="0" w:line="17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As noted above, our Chief Risk Officer, Chief Information Security Officer, and cybersecurity team provide regular reports to the Board regarding cybersecurity risks, as well as a review of the processes described above. In particular, our Chief Risk Officer provides reports at every regularly scheduled Board meeting regarding our most material risks and the degree of exposure to these risks. Our management personnel are also required to provide more frequent updates to the Enterprise Risk Committee on major developments regarding cybersecurity matters. The Committee, in turn, provides regular updates to the Board on these matters.</w:t>
      </w:r>
    </w:p>
    <w:p>
      <w:pPr>
        <w:spacing w:after="0" w:line="18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7"/>
          <w:szCs w:val="17"/>
          <w:u w:val="single" w:color="auto"/>
          <w:color w:val="auto"/>
        </w:rPr>
        <w:t>PROPERTIES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our bank operate a total of 79 facilities in Michigan and one leased facility in Ohio. We own 56 and lease 23 of the facilities in Michigan.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With the exception of the potential remodeling of certain facilities to provide for the efficient use of workspace or to maintain an appropriate appearance, each property is considered reasonably adequate for current and anticipated needs.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20" w:name="page21"/>
    <w:bookmarkEnd w:id="20"/>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3.</w:t>
      </w:r>
      <w:r>
        <w:rPr>
          <w:sz w:val="20"/>
          <w:szCs w:val="20"/>
          <w:color w:val="auto"/>
        </w:rPr>
        <w:tab/>
      </w:r>
      <w:r>
        <w:rPr>
          <w:rFonts w:ascii="Times New Roman" w:cs="Times New Roman" w:eastAsia="Times New Roman" w:hAnsi="Times New Roman"/>
          <w:sz w:val="17"/>
          <w:szCs w:val="17"/>
          <w:u w:val="single" w:color="auto"/>
          <w:color w:val="auto"/>
        </w:rPr>
        <w:t>LEGAL PROCEEDINGS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involved in various litigation matters in the ordinary course of business, which currently include three putative class action complaints brought against the Bank alleging that its practice of charging overdraft and other fees was not consistent with the disclosures the Bank made to consumers. </w:t>
      </w:r>
      <w:r>
        <w:rPr>
          <w:rFonts w:ascii="Times New Roman" w:cs="Times New Roman" w:eastAsia="Times New Roman" w:hAnsi="Times New Roman"/>
          <w:sz w:val="18"/>
          <w:szCs w:val="18"/>
          <w:color w:val="231F20"/>
        </w:rPr>
        <w:t>While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these matters do not involve a claim for damages that requires disclosure under this Item, please see Note 11 – Commitments and Contingent Liabilities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Notes to Consolidated Financial Statements in our annual report, to be delivered to shareholders in connection with the April 21, 2026 Annual Meeting of Shareholders (filed as exhibit 13 to this report on Form 10-K) for more information.</w:t>
      </w:r>
    </w:p>
    <w:p>
      <w:pPr>
        <w:spacing w:after="0" w:line="1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7"/>
          <w:szCs w:val="17"/>
          <w:u w:val="single" w:color="auto"/>
          <w:color w:val="auto"/>
        </w:rPr>
        <w:t>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ITEM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EXECUTIVE OFFICERS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 these officers and any other person pursuant to which the officer was appointed.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information with respect to our executive officers at March 6, 2026.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First elected</w:t>
            </w:r>
          </w:p>
        </w:tc>
        <w:tc>
          <w:tcPr>
            <w:tcW w:w="300" w:type="dxa"/>
            <w:vAlign w:val="bottom"/>
            <w:gridSpan w:val="2"/>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80" w:type="dxa"/>
            <w:vAlign w:val="bottom"/>
            <w:gridSpan w:val="7"/>
          </w:tcPr>
          <w:p>
            <w:pPr>
              <w:jc w:val="center"/>
              <w:ind w:left="511"/>
              <w:spacing w:after="0" w:line="194" w:lineRule="exact"/>
              <w:rPr>
                <w:sz w:val="20"/>
                <w:szCs w:val="20"/>
                <w:color w:val="auto"/>
              </w:rPr>
            </w:pPr>
            <w:r>
              <w:rPr>
                <w:rFonts w:ascii="Times New Roman" w:cs="Times New Roman" w:eastAsia="Times New Roman" w:hAnsi="Times New Roman"/>
                <w:sz w:val="18"/>
                <w:szCs w:val="18"/>
                <w:color w:val="auto"/>
                <w:w w:val="98"/>
              </w:rPr>
              <w:t>as an executive</w:t>
            </w:r>
          </w:p>
        </w:tc>
      </w:tr>
      <w:tr>
        <w:trPr>
          <w:trHeight w:val="193"/>
        </w:trPr>
        <w:tc>
          <w:tcPr>
            <w:tcW w:w="41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Name (Age)</w:t>
            </w:r>
          </w:p>
        </w:tc>
        <w:tc>
          <w:tcPr>
            <w:tcW w:w="5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color w:val="auto"/>
                <w:w w:val="99"/>
              </w:rPr>
              <w:t>officer</w:t>
            </w:r>
          </w:p>
        </w:tc>
        <w:tc>
          <w:tcPr>
            <w:tcW w:w="200" w:type="dxa"/>
            <w:vAlign w:val="bottom"/>
          </w:tcPr>
          <w:p>
            <w:pPr>
              <w:spacing w:after="0"/>
              <w:rPr>
                <w:sz w:val="16"/>
                <w:szCs w:val="16"/>
                <w:color w:val="auto"/>
              </w:rPr>
            </w:pPr>
          </w:p>
        </w:tc>
      </w:tr>
      <w:tr>
        <w:trPr>
          <w:trHeight w:val="314"/>
        </w:trPr>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B. Kessel (61)</w:t>
            </w: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580" w:type="dxa"/>
            <w:vAlign w:val="bottom"/>
            <w:tcBorders>
              <w:bottom w:val="single" w:sz="8" w:color="CCEEFF"/>
            </w:tcBorders>
            <w:gridSpan w:val="4"/>
            <w:shd w:val="clear" w:color="auto" w:fill="CCEEFF"/>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1"/>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Gavin A. Mohr (42)</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580" w:type="dxa"/>
            <w:vAlign w:val="bottom"/>
            <w:gridSpan w:val="4"/>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Stefanie M. Kimball (66)</w:t>
            </w: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Risk Officer</w:t>
            </w:r>
          </w:p>
        </w:tc>
        <w:tc>
          <w:tcPr>
            <w:tcW w:w="1580" w:type="dxa"/>
            <w:vAlign w:val="bottom"/>
            <w:tcBorders>
              <w:bottom w:val="single" w:sz="8" w:color="CCEEFF"/>
            </w:tcBorders>
            <w:gridSpan w:val="4"/>
            <w:shd w:val="clear" w:color="auto" w:fill="CCEEFF"/>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1"/>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Joel Rahn (59)</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Commercial Banking</w:t>
            </w:r>
          </w:p>
        </w:tc>
        <w:tc>
          <w:tcPr>
            <w:tcW w:w="1580" w:type="dxa"/>
            <w:vAlign w:val="bottom"/>
            <w:gridSpan w:val="4"/>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R. Daniel (62)</w:t>
            </w: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Operations and Retail Banking(1)</w:t>
            </w:r>
          </w:p>
        </w:tc>
        <w:tc>
          <w:tcPr>
            <w:tcW w:w="1580" w:type="dxa"/>
            <w:vAlign w:val="bottom"/>
            <w:tcBorders>
              <w:bottom w:val="single" w:sz="8" w:color="CCEEFF"/>
            </w:tcBorders>
            <w:gridSpan w:val="4"/>
            <w:shd w:val="clear" w:color="auto" w:fill="CCEEFF"/>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1"/>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Patrick J. Ervin (60)</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Mortgage Banking</w:t>
            </w:r>
          </w:p>
        </w:tc>
        <w:tc>
          <w:tcPr>
            <w:tcW w:w="1580" w:type="dxa"/>
            <w:vAlign w:val="bottom"/>
            <w:gridSpan w:val="4"/>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S. Michaels (59)</w:t>
            </w: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Officer(2)</w:t>
            </w:r>
          </w:p>
        </w:tc>
        <w:tc>
          <w:tcPr>
            <w:tcW w:w="1580" w:type="dxa"/>
            <w:vAlign w:val="bottom"/>
            <w:tcBorders>
              <w:bottom w:val="single" w:sz="8" w:color="CCEEFF"/>
            </w:tcBorders>
            <w:gridSpan w:val="4"/>
            <w:shd w:val="clear" w:color="auto" w:fill="CCEEFF"/>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1"/>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J. Stodolak (65)</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Retail Banking(3)</w:t>
            </w:r>
          </w:p>
        </w:tc>
        <w:tc>
          <w:tcPr>
            <w:tcW w:w="1580" w:type="dxa"/>
            <w:vAlign w:val="bottom"/>
            <w:gridSpan w:val="4"/>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1"/>
        </w:trPr>
        <w:tc>
          <w:tcPr>
            <w:tcW w:w="4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J. Twarozynski (60)</w:t>
            </w: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580" w:type="dxa"/>
            <w:vAlign w:val="bottom"/>
            <w:gridSpan w:val="4"/>
            <w:shd w:val="clear" w:color="auto" w:fill="CCEEFF"/>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6"/>
        </w:trPr>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75" w:lineRule="exact"/>
        <w:rPr>
          <w:sz w:val="20"/>
          <w:szCs w:val="20"/>
          <w:color w:val="auto"/>
        </w:rPr>
      </w:pPr>
    </w:p>
    <w:p>
      <w:pPr>
        <w:ind w:left="640" w:hanging="63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Mr. Daniel is retiring from Independent Bank in March 2026.</w:t>
      </w:r>
    </w:p>
    <w:p>
      <w:pPr>
        <w:spacing w:after="0" w:line="25"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Michaels joined Independent Bank in February of 2012 as a part of our information and technology team and was promoted to Senior Vice President and Chief Information Officer in January, 2020. He was promoted to Executive Vice President and Chief Operating Officer in January, 2025.</w:t>
      </w:r>
    </w:p>
    <w:p>
      <w:pPr>
        <w:spacing w:after="0" w:line="1" w:lineRule="exact"/>
        <w:rPr>
          <w:rFonts w:ascii="Times New Roman" w:cs="Times New Roman" w:eastAsia="Times New Roman" w:hAnsi="Times New Roman"/>
          <w:sz w:val="18"/>
          <w:szCs w:val="18"/>
          <w:color w:val="auto"/>
        </w:rPr>
      </w:pPr>
    </w:p>
    <w:p>
      <w:pPr>
        <w:ind w:left="640" w:right="20" w:hanging="633"/>
        <w:spacing w:after="0" w:line="255" w:lineRule="auto"/>
        <w:tabs>
          <w:tab w:leader="none" w:pos="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Stodolak joined Independent Bank in September of 2000 and has been leading the Bank’s retail network and consumer lending program. He was promoted to Executive Vice President, Retail Banking on January 1, 2026.</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u w:val="single" w:color="auto"/>
          <w:color w:val="auto"/>
        </w:rPr>
        <w:t>PART II.</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7"/>
          <w:szCs w:val="17"/>
          <w:u w:val="single" w:color="auto"/>
          <w:color w:val="auto"/>
        </w:rPr>
        <w:t>MARKET FOR OUR COMMON EQUITY, RELATED STOCKHOLDER MATTERS AND ISSUER PURCHASES OF EQUITY SECURITIES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set forth under the caption "Quarterly Summary" in our annual report, to be delivered to shareholders in connection with the April 21, 2026 Annual Meeting of Shareholders (filed as exhibit 13 to this report on Form 10-K), is incorporated herein by reference.</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2025, we issued 348 shares of common stock to non-employee directors on a current basis and 1,847 shares of common stock to the trust for distribution to directors on a deferred basis. These shares were issued on October 1, 2025, representing aggregate fees of $0.06 million. The shares issued on a current basis were issued at a price of $30.98 per share and the shares to be issued on a deferred basis were issued at a price of $27.88 per share, representing 90% of the fair value of the shares on the credit date. The per-share value used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purchases of common stock for the three- months ended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Authorized</w:t>
            </w:r>
          </w:p>
        </w:tc>
      </w:tr>
      <w:tr>
        <w:trPr>
          <w:trHeight w:val="210"/>
        </w:trPr>
        <w:tc>
          <w:tcPr>
            <w:tcW w:w="5060" w:type="dxa"/>
            <w:vAlign w:val="bottom"/>
          </w:tcPr>
          <w:p>
            <w:pPr>
              <w:spacing w:after="0"/>
              <w:rPr>
                <w:sz w:val="18"/>
                <w:szCs w:val="18"/>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Total Number of</w:t>
            </w:r>
          </w:p>
        </w:tc>
        <w:tc>
          <w:tcPr>
            <w:tcW w:w="200" w:type="dxa"/>
            <w:vAlign w:val="bottom"/>
          </w:tcPr>
          <w:p>
            <w:pPr>
              <w:spacing w:after="0"/>
              <w:rPr>
                <w:sz w:val="18"/>
                <w:szCs w:val="18"/>
                <w:color w:val="auto"/>
              </w:rPr>
            </w:pPr>
          </w:p>
        </w:tc>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Average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 Purchase</w:t>
            </w:r>
          </w:p>
        </w:tc>
      </w:tr>
      <w:tr>
        <w:trPr>
          <w:trHeight w:val="262"/>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520" w:type="dxa"/>
            <w:vAlign w:val="bottom"/>
            <w:tcBorders>
              <w:bottom w:val="single" w:sz="8" w:color="auto"/>
            </w:tcBorders>
          </w:tcPr>
          <w:p>
            <w:pPr>
              <w:jc w:val="right"/>
              <w:spacing w:after="0" w:line="262" w:lineRule="exact"/>
              <w:rPr>
                <w:sz w:val="20"/>
                <w:szCs w:val="20"/>
                <w:color w:val="auto"/>
              </w:rPr>
            </w:pPr>
            <w:r>
              <w:rPr>
                <w:rFonts w:ascii="Times New Roman" w:cs="Times New Roman" w:eastAsia="Times New Roman" w:hAnsi="Times New Roman"/>
                <w:sz w:val="18"/>
                <w:szCs w:val="18"/>
                <w:color w:val="auto"/>
                <w:w w:val="95"/>
              </w:rPr>
              <w:t xml:space="preserve">Shares Purchased </w:t>
            </w:r>
            <w:r>
              <w:rPr>
                <w:rFonts w:ascii="Times New Roman" w:cs="Times New Roman" w:eastAsia="Times New Roman" w:hAnsi="Times New Roman"/>
                <w:sz w:val="23"/>
                <w:szCs w:val="23"/>
                <w:color w:val="auto"/>
                <w:w w:val="95"/>
                <w:vertAlign w:val="superscript"/>
              </w:rPr>
              <w:t>(1)</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Paid Per 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Announced Plan</w:t>
            </w:r>
          </w:p>
        </w:tc>
        <w:tc>
          <w:tcPr>
            <w:tcW w:w="1500" w:type="dxa"/>
            <w:vAlign w:val="bottom"/>
            <w:tcBorders>
              <w:bottom w:val="single" w:sz="8" w:color="auto"/>
            </w:tcBorders>
          </w:tcPr>
          <w:p>
            <w:pPr>
              <w:jc w:val="center"/>
              <w:spacing w:after="0" w:line="262" w:lineRule="exact"/>
              <w:rPr>
                <w:sz w:val="20"/>
                <w:szCs w:val="20"/>
                <w:color w:val="auto"/>
              </w:rPr>
            </w:pPr>
            <w:r>
              <w:rPr>
                <w:rFonts w:ascii="Times New Roman" w:cs="Times New Roman" w:eastAsia="Times New Roman" w:hAnsi="Times New Roman"/>
                <w:sz w:val="18"/>
                <w:szCs w:val="18"/>
                <w:color w:val="auto"/>
                <w:w w:val="95"/>
              </w:rPr>
              <w:t>Under the Plan</w:t>
            </w:r>
            <w:r>
              <w:rPr>
                <w:rFonts w:ascii="Times New Roman" w:cs="Times New Roman" w:eastAsia="Times New Roman" w:hAnsi="Times New Roman"/>
                <w:sz w:val="23"/>
                <w:szCs w:val="23"/>
                <w:color w:val="auto"/>
                <w:w w:val="95"/>
                <w:vertAlign w:val="superscript"/>
              </w:rPr>
              <w:t>(2)</w:t>
            </w:r>
          </w:p>
        </w:tc>
      </w:tr>
      <w:tr>
        <w:trPr>
          <w:trHeight w:val="24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833,992</w:t>
            </w:r>
          </w:p>
        </w:tc>
      </w:tr>
      <w:tr>
        <w:trPr>
          <w:trHeight w:val="24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81,735</w:t>
            </w:r>
          </w:p>
        </w:tc>
        <w:tc>
          <w:tcPr>
            <w:tcW w:w="20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32.76</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81,438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752,554</w:t>
            </w:r>
          </w:p>
        </w:tc>
      </w:tr>
      <w:tr>
        <w:trPr>
          <w:trHeight w:val="26"/>
        </w:trPr>
        <w:tc>
          <w:tcPr>
            <w:tcW w:w="5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59,712</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33.42</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59,667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141,447</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37.37</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141,105</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firstLine="7"/>
        <w:spacing w:after="0" w:line="261"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and December include shares withheld from the shares that would otherwise have been issued to certain officers in order to satisfy the tax withholding obligations resulting from the vesting of restricted stock of 297 shares and 45 shares, respectively.</w:t>
      </w:r>
    </w:p>
    <w:p>
      <w:pPr>
        <w:spacing w:after="0" w:line="163" w:lineRule="exact"/>
        <w:rPr>
          <w:rFonts w:ascii="Times New Roman" w:cs="Times New Roman" w:eastAsia="Times New Roman" w:hAnsi="Times New Roman"/>
          <w:sz w:val="18"/>
          <w:szCs w:val="18"/>
          <w:color w:val="auto"/>
        </w:rPr>
      </w:pPr>
    </w:p>
    <w:p>
      <w:pPr>
        <w:jc w:val="both"/>
        <w:ind w:firstLine="7"/>
        <w:spacing w:after="0" w:line="239"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plan we had in place for 2025 was announced on December 17, 2024, and expired on December 31, 2025. It authorized the repurchase during 2025 of up to 1,100,000 shares of our outstanding common stock. On December 16, 2025, we announced our 2026 share repurchase plan, which authorizes us to buy back up to 1,100,000 shares of our outstanding common stock</w:t>
      </w:r>
    </w:p>
    <w:p>
      <w:pPr>
        <w:spacing w:after="0" w:line="19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2" w:name="page23"/>
    <w:bookmarkEnd w:id="22"/>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MANAGEMENT'S DISCUSSION AND ANALYSIS OF FINANCIAL CONDITION AND RESULTS OF OPERATIONS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 "Management's Discussion and Analysis of Financial Condition and Results of Operations" in our annual report, to be delivered to shareholders in connection with the April 21, 2026 Annual Meeting of Shareholders (filed as exhibit 13 to this report on Form 10-K), is incorporated herein by reference.</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7A.</w:t>
      </w:r>
      <w:r>
        <w:rPr>
          <w:sz w:val="20"/>
          <w:szCs w:val="20"/>
          <w:color w:val="auto"/>
        </w:rPr>
        <w:tab/>
      </w:r>
      <w:r>
        <w:rPr>
          <w:rFonts w:ascii="Times New Roman" w:cs="Times New Roman" w:eastAsia="Times New Roman" w:hAnsi="Times New Roman"/>
          <w:sz w:val="17"/>
          <w:szCs w:val="17"/>
          <w:u w:val="single" w:color="auto"/>
          <w:color w:val="auto"/>
        </w:rPr>
        <w:t>QUANTITATIVE AND QUALITATIVE DISCLOSURES ABOUT MARKET RISK</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in "Management's Discussion and Analysis of Financial Condition and Results of Operations" under the caption "Asset/liability management" in our annual report, to be delivered to shareholders in connection with the April 21, 2026 Annual Meeting of Shareholders (filed as exhibit 13 to this report on Form 10-K), is incorporated herein by reference.</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8.</w:t>
      </w:r>
      <w:r>
        <w:rPr>
          <w:sz w:val="20"/>
          <w:szCs w:val="20"/>
          <w:color w:val="auto"/>
        </w:rPr>
        <w:tab/>
      </w:r>
      <w:r>
        <w:rPr>
          <w:rFonts w:ascii="Times New Roman" w:cs="Times New Roman" w:eastAsia="Times New Roman" w:hAnsi="Times New Roman"/>
          <w:sz w:val="17"/>
          <w:szCs w:val="17"/>
          <w:u w:val="single" w:color="auto"/>
          <w:color w:val="auto"/>
        </w:rPr>
        <w:t>FINANCIAL STATEMENTS AND SUPPLEMENTARY DATA</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consolidated financial statements and the independent auditor's report are set forth in our annual report, to be delivered to shareholders in connection with the April 21, 2026 Annual Meeting of Shareholders (filed as exhibit 13 to this report on Form 10-K),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134225" cy="169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Financial Condition at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supplementary data required by this item set forth under the caption "Quarterly Financial Data (Unaudited)" in our annual report, to be delivered to shareholders in connection with the April 21, 2026 Annual Meeting of Shareholders (filed as exhibit 13 to this report on Form 10-K), is incorporated herein by reference.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portions of our annual report, to be delivered to shareholders in connection with the April 21, 2026 Annual Meeting of Shareholders (filed as exhibit 13 to this report on Form 10-K), which are not specifically incorporated by reference as part of this Form 10-K are not deemed to be a part of this report.</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9.</w:t>
      </w:r>
      <w:r>
        <w:rPr>
          <w:sz w:val="20"/>
          <w:szCs w:val="20"/>
          <w:color w:val="auto"/>
        </w:rPr>
        <w:tab/>
      </w:r>
      <w:r>
        <w:rPr>
          <w:rFonts w:ascii="Times New Roman" w:cs="Times New Roman" w:eastAsia="Times New Roman" w:hAnsi="Times New Roman"/>
          <w:sz w:val="17"/>
          <w:szCs w:val="17"/>
          <w:u w:val="single" w:color="auto"/>
          <w:color w:val="auto"/>
        </w:rPr>
        <w:t>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9A.</w:t>
      </w:r>
      <w:r>
        <w:rPr>
          <w:sz w:val="20"/>
          <w:szCs w:val="20"/>
          <w:color w:val="auto"/>
        </w:rPr>
        <w:tab/>
      </w:r>
      <w:r>
        <w:rPr>
          <w:rFonts w:ascii="Times New Roman" w:cs="Times New Roman" w:eastAsia="Times New Roman" w:hAnsi="Times New Roman"/>
          <w:sz w:val="17"/>
          <w:szCs w:val="17"/>
          <w:u w:val="single" w:color="auto"/>
          <w:color w:val="auto"/>
        </w:rPr>
        <w:t>CONTROLS AND PROCEDURES</w:t>
      </w:r>
    </w:p>
    <w:p>
      <w:pPr>
        <w:spacing w:after="0" w:line="220" w:lineRule="exact"/>
        <w:rPr>
          <w:sz w:val="20"/>
          <w:szCs w:val="20"/>
          <w:color w:val="auto"/>
        </w:rPr>
      </w:pPr>
    </w:p>
    <w:p>
      <w:pPr>
        <w:jc w:val="both"/>
        <w:ind w:left="640" w:hanging="633"/>
        <w:spacing w:after="0" w:line="284"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Evaluation of Disclosure Controls and Procedures</w:t>
      </w:r>
      <w:r>
        <w:rPr>
          <w:rFonts w:ascii="Times New Roman" w:cs="Times New Roman" w:eastAsia="Times New Roman" w:hAnsi="Times New Roman"/>
          <w:sz w:val="17"/>
          <w:szCs w:val="17"/>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2025 (the "Evaluation Date"), have concluded that, as of such date, our disclosure controls and procedures were effective.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3" w:name="page24"/>
    <w:bookmarkEnd w:id="23"/>
    <w:p>
      <w:pPr>
        <w:jc w:val="both"/>
        <w:ind w:left="640" w:hanging="633"/>
        <w:spacing w:after="0" w:line="25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 Over Financial Reporting</w:t>
      </w:r>
      <w:r>
        <w:rPr>
          <w:rFonts w:ascii="Times New Roman" w:cs="Times New Roman" w:eastAsia="Times New Roman" w:hAnsi="Times New Roman"/>
          <w:sz w:val="18"/>
          <w:szCs w:val="18"/>
          <w:color w:val="auto"/>
        </w:rPr>
        <w:t>. "Management's Annual Report on Internal Control Over Financial Reporting" and our independent registered public accounting firm's audit of internal control over financial reporting as of December 31, 2025 included within the "Report of Independent Registered Public Accounting Firm," each as set forth in our annual report, to be delivered to shareholders in connection with the April 21, 2026 Annual Meeting of Shareholders (filed as exhibit 13 to this report on Form 10-K) are incorporated herein by reference.</w:t>
      </w:r>
    </w:p>
    <w:p>
      <w:pPr>
        <w:spacing w:after="0" w:line="18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9B.</w:t>
      </w:r>
      <w:r>
        <w:rPr>
          <w:sz w:val="20"/>
          <w:szCs w:val="20"/>
          <w:color w:val="auto"/>
        </w:rPr>
        <w:tab/>
      </w:r>
      <w:r>
        <w:rPr>
          <w:rFonts w:ascii="Times New Roman" w:cs="Times New Roman" w:eastAsia="Times New Roman" w:hAnsi="Times New Roman"/>
          <w:sz w:val="17"/>
          <w:szCs w:val="17"/>
          <w:u w:val="single" w:color="auto"/>
          <w:color w:val="auto"/>
        </w:rPr>
        <w:t>OTHER INFORMATION</w:t>
      </w:r>
    </w:p>
    <w:p>
      <w:pPr>
        <w:spacing w:after="0" w:line="206"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color w:val="auto"/>
        </w:rPr>
        <w:t>During the fourth quarter of 2025, no director or officer of the Company adopted or terminated a "Rule 10b5-1 Trading Arrangement" or "Non-Rule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 as each term is defined in Item 408(a) of Regulation S-K.</w:t>
      </w:r>
    </w:p>
    <w:p>
      <w:pPr>
        <w:spacing w:after="0" w:line="200" w:lineRule="exact"/>
        <w:rPr>
          <w:sz w:val="20"/>
          <w:szCs w:val="20"/>
          <w:color w:val="auto"/>
        </w:rPr>
      </w:pPr>
    </w:p>
    <w:p>
      <w:pPr>
        <w:spacing w:after="0" w:line="2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9C.</w:t>
      </w:r>
      <w:r>
        <w:rPr>
          <w:sz w:val="20"/>
          <w:szCs w:val="20"/>
          <w:color w:val="auto"/>
        </w:rPr>
        <w:tab/>
      </w:r>
      <w:r>
        <w:rPr>
          <w:rFonts w:ascii="Times New Roman" w:cs="Times New Roman" w:eastAsia="Times New Roman" w:hAnsi="Times New Roman"/>
          <w:sz w:val="17"/>
          <w:szCs w:val="17"/>
          <w:u w:val="single" w:color="auto"/>
          <w:color w:val="auto"/>
        </w:rPr>
        <w:t>DISCLOSURE REGARDING FOREIGN JURISDICTIONS THAT PREVENT INSPECTIONS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PART III.</w:t>
      </w: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10.</w:t>
      </w:r>
      <w:r>
        <w:rPr>
          <w:sz w:val="20"/>
          <w:szCs w:val="20"/>
          <w:color w:val="auto"/>
        </w:rPr>
        <w:tab/>
      </w:r>
      <w:r>
        <w:rPr>
          <w:rFonts w:ascii="Times New Roman" w:cs="Times New Roman" w:eastAsia="Times New Roman" w:hAnsi="Times New Roman"/>
          <w:sz w:val="17"/>
          <w:szCs w:val="17"/>
          <w:u w:val="single" w:color="auto"/>
          <w:color w:val="auto"/>
        </w:rPr>
        <w:t>DIRECTORS, EXECUTIVE OFFICERS AND CORPORATE GOVERNANCE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DIRECTORS - The information with respect to our directors set forth under the caption "Proposal I Submitted for Your Vote -- Election of Directors" in our definitive proxy statement, to be delivered to shareholders in connection with the April 21, 2026 Annual Meeting of Shareholders, is incorporated herein by reference.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BENEFICIAL OWNERSHIP REPORTING – The information set forth under the caption "Delinquent Section 16(a) Reports" in our definitive proxy statement, to be delivered to shareholders in connection with the April 21, 2026 Annual Meeting of Shareholders, is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 Reference is made to the additional item under Part I of this report on Form 10-K.</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CODE OF ETHICS - We have adopted a "Code of Ethics for Chief Executive Officer and Senior Financial Officers" that applies to our Chief Executive Officer, Chief Financial Officer, Chief Accounting Officer and Controller. A copy of our Code of Ethics is posted on our website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under Investor Relations, and a printed copy is available upon request by writing to our Chief Financial Officer, Independent Bank Corporation, 4200 East Beltline, Grand Rapids, Michigan 49525.</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CORPORATE GOVERNANCE – Information relating to our audit committee, set forth under the captions "Board Committees and Functions" and "Determination of Independence of Board Members" in our definitive proxy statement, to be delivered to shareholders in connection with the April 21, 2026 Annual Meeting of Shareholders, is incorporated herein by reference.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INSIDER TRADING POLICY - Information relating to our insider trading policy, set forth under the caption “Insider Trading Policy” in our definitive proxy statement, to be delivered to shareholders in connection with the April 21, 2026 Annual Meeting of Shareholders, is incorporated herein by reference. A copy of our insider trading policy is filed as Exhibit 19 to this Annual Report on Form 10-K.</w:t>
      </w:r>
    </w:p>
    <w:p>
      <w:pPr>
        <w:spacing w:after="0" w:line="200" w:lineRule="exact"/>
        <w:rPr>
          <w:sz w:val="20"/>
          <w:szCs w:val="20"/>
          <w:color w:val="auto"/>
        </w:rPr>
      </w:pPr>
    </w:p>
    <w:p>
      <w:pPr>
        <w:spacing w:after="0" w:line="2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11.</w:t>
      </w:r>
      <w:r>
        <w:rPr>
          <w:sz w:val="20"/>
          <w:szCs w:val="20"/>
          <w:color w:val="auto"/>
        </w:rPr>
        <w:tab/>
      </w:r>
      <w:r>
        <w:rPr>
          <w:rFonts w:ascii="Times New Roman" w:cs="Times New Roman" w:eastAsia="Times New Roman" w:hAnsi="Times New Roman"/>
          <w:sz w:val="17"/>
          <w:szCs w:val="17"/>
          <w:u w:val="single" w:color="auto"/>
          <w:color w:val="auto"/>
        </w:rPr>
        <w:t>EXECUTIVE COMPENSATION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21, 2026 Annual Meeting of Shareholders,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4" w:name="page25"/>
    <w:bookmarkEnd w:id="24"/>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12.</w:t>
      </w:r>
      <w:r>
        <w:rPr>
          <w:sz w:val="20"/>
          <w:szCs w:val="20"/>
          <w:color w:val="auto"/>
        </w:rPr>
        <w:tab/>
      </w:r>
      <w:r>
        <w:rPr>
          <w:rFonts w:ascii="Times New Roman" w:cs="Times New Roman" w:eastAsia="Times New Roman" w:hAnsi="Times New Roman"/>
          <w:sz w:val="17"/>
          <w:szCs w:val="17"/>
          <w:u w:val="single" w:color="auto"/>
          <w:color w:val="auto"/>
        </w:rPr>
        <w:t>SECURITY OWNERSHIP OF CERTAIN BENEFICIAL OWNERS AND MANAGEMENT AND RELATED STOCKHOLDER MATTERS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21, 2026 Annual Meeting of Shareholders, is incorporated herein by reference.</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information regarding our equity compensation plans as of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 available</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future issuance</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securities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to be issued upon</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equity</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of</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plans (excluding</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options, warrants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outstanding options,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securities reflected</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and rights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column (a))</w:t>
            </w:r>
          </w:p>
        </w:tc>
      </w:tr>
      <w:tr>
        <w:trPr>
          <w:trHeight w:val="26"/>
        </w:trPr>
        <w:tc>
          <w:tcPr>
            <w:tcW w:w="6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7"/>
        </w:trPr>
        <w:tc>
          <w:tcPr>
            <w:tcW w:w="66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40"/>
        </w:trPr>
        <w:tc>
          <w:tcPr>
            <w:tcW w:w="6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 not approved by security holders</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90% of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9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13.</w:t>
      </w:r>
      <w:r>
        <w:rPr>
          <w:sz w:val="20"/>
          <w:szCs w:val="20"/>
          <w:color w:val="auto"/>
        </w:rPr>
        <w:tab/>
      </w:r>
      <w:r>
        <w:rPr>
          <w:rFonts w:ascii="Times New Roman" w:cs="Times New Roman" w:eastAsia="Times New Roman" w:hAnsi="Times New Roman"/>
          <w:sz w:val="17"/>
          <w:szCs w:val="17"/>
          <w:u w:val="single" w:color="auto"/>
          <w:color w:val="auto"/>
        </w:rPr>
        <w:t>CERTAIN RELATIONSHIPS AND RELATED TRANSACTIONS, AND DIRECTOR INDEPENDENCE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"Transactions Involving Management" and "Determination of Independence of Board Members" in our definitive proxy statement, to be delivered to shareholders in connection with the April 21, 2026 Annual Meeting of Shareholders, is incorporated herein by reference.</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14.</w:t>
      </w:r>
      <w:r>
        <w:rPr>
          <w:sz w:val="20"/>
          <w:szCs w:val="20"/>
          <w:color w:val="auto"/>
        </w:rPr>
        <w:tab/>
      </w:r>
      <w:r>
        <w:rPr>
          <w:rFonts w:ascii="Times New Roman" w:cs="Times New Roman" w:eastAsia="Times New Roman" w:hAnsi="Times New Roman"/>
          <w:sz w:val="17"/>
          <w:szCs w:val="17"/>
          <w:u w:val="single" w:color="auto"/>
          <w:color w:val="auto"/>
        </w:rPr>
        <w:t>PRINCIPAL ACCOUNTANT FEES AND SERVICES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set forth under the caption "Disclosure of Fees Paid to our Independent Auditors" in our definitive proxy statement, to be delivered to shareholders in connection with the April 21, 2026 Annual Meeting of Shareholders, is incorporated herein by reference.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t>PART IV.</w:t>
      </w: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15.</w:t>
      </w:r>
      <w:r>
        <w:rPr>
          <w:sz w:val="20"/>
          <w:szCs w:val="20"/>
          <w:color w:val="auto"/>
        </w:rPr>
        <w:tab/>
      </w:r>
      <w:r>
        <w:rPr>
          <w:rFonts w:ascii="Times New Roman" w:cs="Times New Roman" w:eastAsia="Times New Roman" w:hAnsi="Times New Roman"/>
          <w:sz w:val="17"/>
          <w:szCs w:val="17"/>
          <w:u w:val="single" w:color="auto"/>
          <w:color w:val="auto"/>
        </w:rPr>
        <w:t>EXHIBITS AND FINANCIAL STATEMENT SCHEDULES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Financial Statements</w:t>
            </w:r>
          </w:p>
        </w:tc>
        <w:tc>
          <w:tcPr>
            <w:tcW w:w="7480" w:type="dxa"/>
            <w:vAlign w:val="bottom"/>
          </w:tcPr>
          <w:p>
            <w:pPr>
              <w:spacing w:after="0"/>
              <w:rPr>
                <w:sz w:val="17"/>
                <w:szCs w:val="17"/>
                <w:color w:val="auto"/>
              </w:rPr>
            </w:pPr>
          </w:p>
        </w:tc>
      </w:tr>
      <w:tr>
        <w:trPr>
          <w:trHeight w:val="215"/>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 our financial statements are incorporated herein by reference as set forth in the annual report to be delivered to</w:t>
            </w:r>
          </w:p>
        </w:tc>
      </w:tr>
      <w:tr>
        <w:trPr>
          <w:trHeight w:val="213"/>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shareholders in connection with the April 21, 2026 Annual Meeting of Shareholders (filed as exhibit 13 to this report on Form</w:t>
            </w:r>
          </w:p>
        </w:tc>
      </w:tr>
      <w:tr>
        <w:trPr>
          <w:trHeight w:val="232"/>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r>
      <w:tr>
        <w:trPr>
          <w:trHeight w:val="408"/>
        </w:trPr>
        <w:tc>
          <w:tcPr>
            <w:tcW w:w="560" w:type="dxa"/>
            <w:vAlign w:val="bottom"/>
          </w:tcPr>
          <w:p>
            <w:pPr>
              <w:spacing w:after="0"/>
              <w:rPr>
                <w:sz w:val="24"/>
                <w:szCs w:val="24"/>
                <w:color w:val="auto"/>
              </w:rPr>
            </w:pPr>
          </w:p>
        </w:tc>
        <w:tc>
          <w:tcPr>
            <w:tcW w:w="144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2.</w:t>
            </w: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 (Numbered in accordance with Item 601 of Regulation S-K)</w:t>
            </w:r>
          </w:p>
        </w:tc>
      </w:tr>
      <w:tr>
        <w:trPr>
          <w:trHeight w:val="232"/>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Exhibit Index is located below.</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number and description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4225" cy="30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234" w:lineRule="exact"/>
        <w:rPr>
          <w:sz w:val="20"/>
          <w:szCs w:val="20"/>
          <w:color w:val="auto"/>
        </w:rPr>
      </w:pPr>
    </w:p>
    <w:p>
      <w:pPr>
        <w:ind w:left="920" w:right="580" w:hanging="896"/>
        <w:spacing w:after="0" w:line="277" w:lineRule="auto"/>
        <w:tabs>
          <w:tab w:leader="none" w:pos="920" w:val="left"/>
        </w:tabs>
        <w:numPr>
          <w:ilvl w:val="0"/>
          <w:numId w:val="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Annual report, relating to the April 21, 2026 Annual Meeting of Shareholders. This annual report will be delivered to our shareholders in compliance with Rule 14(a)-3 of the Securities Exchange Act of 1934, as amended.</w:t>
      </w:r>
    </w:p>
    <w:p>
      <w:pPr>
        <w:spacing w:after="0" w:line="3" w:lineRule="exact"/>
        <w:rPr>
          <w:sz w:val="20"/>
          <w:szCs w:val="20"/>
          <w:color w:val="auto"/>
        </w:rPr>
      </w:pPr>
    </w:p>
    <w:p>
      <w:pPr>
        <w:ind w:left="920" w:hanging="896"/>
        <w:spacing w:after="0"/>
        <w:tabs>
          <w:tab w:leader="none" w:pos="920" w:val="left"/>
        </w:tabs>
        <w:numPr>
          <w:ilvl w:val="0"/>
          <w:numId w:val="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4225" cy="169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40" w:lineRule="exact"/>
        <w:rPr>
          <w:sz w:val="20"/>
          <w:szCs w:val="20"/>
          <w:color w:val="auto"/>
        </w:rPr>
      </w:pPr>
    </w:p>
    <w:p>
      <w:pPr>
        <w:ind w:left="920" w:hanging="896"/>
        <w:spacing w:after="0"/>
        <w:tabs>
          <w:tab w:leader="none" w:pos="920"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Independent Registered Public Accounting Firm (Crowe LLP).</w:t>
      </w:r>
    </w:p>
    <w:p>
      <w:pPr>
        <w:spacing w:after="0" w:line="59" w:lineRule="exact"/>
        <w:rPr>
          <w:rFonts w:ascii="Times New Roman" w:cs="Times New Roman" w:eastAsia="Times New Roman" w:hAnsi="Times New Roman"/>
          <w:sz w:val="18"/>
          <w:szCs w:val="18"/>
          <w:u w:val="single" w:color="auto"/>
          <w:color w:val="0000FF"/>
        </w:rPr>
      </w:pPr>
    </w:p>
    <w:p>
      <w:pPr>
        <w:ind w:left="920" w:hanging="896"/>
        <w:spacing w:after="0"/>
        <w:tabs>
          <w:tab w:leader="none" w:pos="920"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Power of Attorney (included on page </w:t>
      </w:r>
      <w:r>
        <w:rPr>
          <w:rFonts w:ascii="Times New Roman" w:cs="Times New Roman" w:eastAsia="Times New Roman" w:hAnsi="Times New Roman"/>
          <w:sz w:val="18"/>
          <w:szCs w:val="18"/>
          <w:u w:val="single" w:color="auto"/>
          <w:color w:val="0000FF"/>
        </w:rPr>
        <w:t>27</w:t>
      </w:r>
      <w:r>
        <w:rPr>
          <w:rFonts w:ascii="Times New Roman" w:cs="Times New Roman" w:eastAsia="Times New Roman" w:hAnsi="Times New Roman"/>
          <w:sz w:val="18"/>
          <w:szCs w:val="18"/>
          <w:color w:val="auto"/>
        </w:rPr>
        <w: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Certificate of the Chief Executive Officer of Independent Bank Corporation pursuant to Section 302 of the Sarbanes-Oxley Act of 2002.</w:t>
            </w:r>
          </w:p>
        </w:tc>
      </w:tr>
      <w:tr>
        <w:trPr>
          <w:trHeight w:val="200"/>
        </w:trPr>
        <w:tc>
          <w:tcPr>
            <w:tcW w:w="3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900" w:type="dxa"/>
            <w:vAlign w:val="bottom"/>
          </w:tcPr>
          <w:p>
            <w:pPr>
              <w:ind w:left="580"/>
              <w:spacing w:after="0" w:line="201" w:lineRule="exact"/>
              <w:rPr>
                <w:sz w:val="20"/>
                <w:szCs w:val="20"/>
                <w:color w:val="auto"/>
              </w:rPr>
            </w:pPr>
            <w:r>
              <w:rPr>
                <w:rFonts w:ascii="Times New Roman" w:cs="Times New Roman" w:eastAsia="Times New Roman" w:hAnsi="Times New Roman"/>
                <w:sz w:val="18"/>
                <w:szCs w:val="18"/>
                <w:color w:val="auto"/>
              </w:rPr>
              <w:t>Certificate of the Chief Financial Officer of Independent Bank Corporation pursuant to Section 302 of the Sarbanes-Oxley Act of 2002.</w:t>
            </w:r>
          </w:p>
        </w:tc>
      </w:tr>
      <w:tr>
        <w:trPr>
          <w:trHeight w:val="47"/>
        </w:trPr>
        <w:tc>
          <w:tcPr>
            <w:tcW w:w="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900" w:type="dxa"/>
            <w:vAlign w:val="bottom"/>
            <w:tcBorders>
              <w:bottom w:val="single" w:sz="8" w:color="CCEEFF"/>
            </w:tcBorders>
            <w:shd w:val="clear" w:color="auto" w:fill="CCEEFF"/>
          </w:tcPr>
          <w:p>
            <w:pPr>
              <w:ind w:left="580"/>
              <w:spacing w:after="0" w:line="201" w:lineRule="exact"/>
              <w:rPr>
                <w:sz w:val="20"/>
                <w:szCs w:val="20"/>
                <w:color w:val="auto"/>
              </w:rPr>
            </w:pPr>
            <w:r>
              <w:rPr>
                <w:rFonts w:ascii="Times New Roman" w:cs="Times New Roman" w:eastAsia="Times New Roman" w:hAnsi="Times New Roman"/>
                <w:sz w:val="18"/>
                <w:szCs w:val="18"/>
                <w:color w:val="auto"/>
              </w:rPr>
              <w:t>Certificate of the Chief Executive Officer of Independent Bank Corporation pursuant to Section 906 of the Sarbanes-Oxley Act of 2002.</w:t>
            </w:r>
          </w:p>
        </w:tc>
      </w:tr>
      <w:tr>
        <w:trPr>
          <w:trHeight w:val="200"/>
        </w:trPr>
        <w:tc>
          <w:tcPr>
            <w:tcW w:w="20" w:type="dxa"/>
            <w:vAlign w:val="bottom"/>
          </w:tcPr>
          <w:p>
            <w:pPr>
              <w:spacing w:after="0"/>
              <w:rPr>
                <w:sz w:val="17"/>
                <w:szCs w:val="17"/>
                <w:color w:val="auto"/>
              </w:rPr>
            </w:pPr>
          </w:p>
        </w:tc>
        <w:tc>
          <w:tcPr>
            <w:tcW w:w="320" w:type="dxa"/>
            <w:vAlign w:val="bottom"/>
            <w:tcBorders>
              <w:bottom w:val="single" w:sz="8" w:color="0000FF"/>
            </w:tcBorders>
          </w:tcPr>
          <w:p>
            <w:pPr>
              <w:jc w:val="right"/>
              <w:spacing w:after="0" w:line="201"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900" w:type="dxa"/>
            <w:vAlign w:val="bottom"/>
          </w:tcPr>
          <w:p>
            <w:pPr>
              <w:ind w:left="580"/>
              <w:spacing w:after="0" w:line="201" w:lineRule="exact"/>
              <w:rPr>
                <w:sz w:val="20"/>
                <w:szCs w:val="20"/>
                <w:color w:val="auto"/>
              </w:rPr>
            </w:pPr>
            <w:r>
              <w:rPr>
                <w:rFonts w:ascii="Times New Roman" w:cs="Times New Roman" w:eastAsia="Times New Roman" w:hAnsi="Times New Roman"/>
                <w:sz w:val="18"/>
                <w:szCs w:val="18"/>
                <w:color w:val="auto"/>
              </w:rPr>
              <w:t>Certificate of the Chief Financial Officer of Independent Bank Corporation pursuant to Section 906 of the Sarbanes-Oxley Act of 2002.</w:t>
            </w:r>
          </w:p>
        </w:tc>
      </w:tr>
    </w:tbl>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101.INS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EXHIBITS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30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Incorporation (incorporated herein by reference to Exhibit 3.1 to our quarterly report on Form 10-Q filed November 3,</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2017).</w:t>
      </w:r>
    </w:p>
    <w:p>
      <w:pPr>
        <w:spacing w:after="0" w:line="41"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Bylaws (incorporated here by reference to Exhibit 3.2 to our annual report on Form 10-K filed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4225" cy="30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t>Description of Registrant’s Common Stock (incorporated here by reference to Exhibit 4 to our annual report on Form 10-K filed March 6,</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2020).</w:t>
      </w:r>
    </w:p>
    <w:p>
      <w:pPr>
        <w:spacing w:after="0" w:line="41"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The form of Indemnity Agreement, as executed with all of the directors of the registrant (incorporated herein by reference to Exhibit 10.3 to the Form S-4 we filed on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color w:val="0000EE"/>
        </w:rPr>
        <w:tab/>
        <w:t>The form of Management Continuity Agreement as executed with executive officers and certain senior managers (incorporated herein by reference to Exhibit 10.4 to the Form S-4 we filed on December 29, 2017).</w:t>
      </w:r>
    </w:p>
    <w:p>
      <w:pPr>
        <w:spacing w:after="0" w:line="3"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color w:val="0000EE"/>
        </w:rPr>
        <w:tab/>
        <w:t>2021 Independent Bank Corporation Long-Term Incentive Plan, effective April 20, 2021 (incorporated herein by reference to Appendix A to our proxy statement filed on Schedule 14A on 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color w:val="0000EE"/>
        </w:rPr>
        <w:tab/>
        <w:t>Amended and Restated Deferred Compensation and Stock Purchase Plan for Nonemployee Directors, as amended through March 19, 2019 (incorporated herein by reference to Exhibit 10.1 to our quarterly report on Form 10-Q filed May 3, 2019).</w:t>
      </w:r>
    </w:p>
    <w:p>
      <w:pPr>
        <w:spacing w:after="0" w:line="3" w:lineRule="exact"/>
        <w:rPr>
          <w:sz w:val="20"/>
          <w:szCs w:val="20"/>
          <w:color w:val="auto"/>
        </w:rPr>
      </w:pPr>
    </w:p>
    <w:p>
      <w:pPr>
        <w:ind w:left="920" w:right="100" w:hanging="893"/>
        <w:spacing w:after="0" w:line="277" w:lineRule="auto"/>
        <w:tabs>
          <w:tab w:leader="none" w:pos="900" w:val="left"/>
        </w:tabs>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0000FF"/>
        </w:rPr>
        <w:tab/>
        <w:t>Form of Restricted Share Agreement as executed with certain executive officers (incorporated herein by reference to Exhibit 10.9 to our annual report on Form 10-K filed 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right="100" w:hanging="893"/>
        <w:spacing w:after="0" w:line="277" w:lineRule="auto"/>
        <w:tabs>
          <w:tab w:leader="none" w:pos="900" w:val="left"/>
        </w:tabs>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color w:val="0000FF"/>
        </w:rPr>
        <w:tab/>
        <w:t>Form of Performance Share Award Agreement as executed with certain executive officers (incorporated herein by reference to Exhibit 10.10 to our annual report on Form 10-K filed March 7, 2025).</w:t>
      </w:r>
    </w:p>
    <w:p>
      <w:pPr>
        <w:spacing w:after="0" w:line="3"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color w:val="0000EE"/>
        </w:rPr>
        <w:tab/>
        <w:t>Summary of Independent Bank Corporation Management Incentive Compensation Plan (incorporated herein by reference to Exhibit 10.10 to our annual report on Form 10-K filed 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right="80" w:hanging="893"/>
        <w:spacing w:after="0" w:line="277" w:lineRule="auto"/>
        <w:tabs>
          <w:tab w:leader="none" w:pos="900" w:val="left"/>
        </w:tabs>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Executive Nonqualified Excess Plan, effective July 1, 2016 (incorporated herein by reference to Exhibit 10.11 to our annual report on Form 10-K filed March 7, 2025).</w:t>
      </w:r>
    </w:p>
    <w:p>
      <w:pPr>
        <w:spacing w:after="0" w:line="3" w:lineRule="exact"/>
        <w:rPr>
          <w:sz w:val="20"/>
          <w:szCs w:val="20"/>
          <w:color w:val="auto"/>
        </w:rPr>
      </w:pPr>
    </w:p>
    <w:p>
      <w:pPr>
        <w:ind w:left="920" w:hanging="896"/>
        <w:spacing w:after="0"/>
        <w:tabs>
          <w:tab w:leader="none" w:pos="920" w:val="left"/>
        </w:tabs>
        <w:numPr>
          <w:ilvl w:val="0"/>
          <w:numId w:val="1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Insider Trading Policy (incorporated herein by reference to Exhibit 19 to our annual report on Form 10-K filed March 7, 2025).</w:t>
      </w:r>
    </w:p>
    <w:p>
      <w:pPr>
        <w:spacing w:after="0" w:line="60" w:lineRule="exact"/>
        <w:rPr>
          <w:sz w:val="20"/>
          <w:szCs w:val="20"/>
          <w:color w:val="auto"/>
        </w:rPr>
      </w:pPr>
    </w:p>
    <w:p>
      <w:pPr>
        <w:ind w:left="920" w:right="60" w:hanging="896"/>
        <w:spacing w:after="0" w:line="277" w:lineRule="auto"/>
        <w:tabs>
          <w:tab w:leader="none" w:pos="920" w:val="left"/>
        </w:tabs>
        <w:numPr>
          <w:ilvl w:val="1"/>
          <w:numId w:val="1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Independent Bank Corporation Clawback Policy (incorporated herein by reference to Exhibit 97 to our annual report on Form 10-K filed March 8, 2024).</w:t>
      </w:r>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Represents a compensation plan.</w:t>
      </w:r>
    </w:p>
    <w:p>
      <w:pPr>
        <w:spacing w:after="0" w:line="16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16.</w:t>
      </w:r>
      <w:r>
        <w:rPr>
          <w:sz w:val="20"/>
          <w:szCs w:val="20"/>
          <w:color w:val="auto"/>
        </w:rPr>
        <w:tab/>
      </w:r>
      <w:r>
        <w:rPr>
          <w:rFonts w:ascii="Times New Roman" w:cs="Times New Roman" w:eastAsia="Times New Roman" w:hAnsi="Times New Roman"/>
          <w:sz w:val="17"/>
          <w:szCs w:val="17"/>
          <w:u w:val="single" w:color="auto"/>
          <w:color w:val="auto"/>
        </w:rPr>
        <w:t>FORM 10-K SUMMARY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s/Gavin A. Mohr</w:t>
            </w:r>
          </w:p>
        </w:tc>
        <w:tc>
          <w:tcPr>
            <w:tcW w:w="6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By: Gavin A. Mohr, Executive Vice President and Chief Financial</w:t>
            </w:r>
          </w:p>
        </w:tc>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80"/>
        </w:trPr>
        <w:tc>
          <w:tcPr>
            <w:tcW w:w="2640" w:type="dxa"/>
            <w:vAlign w:val="bottom"/>
            <w:tcBorders>
              <w:bottom w:val="single" w:sz="8" w:color="auto"/>
            </w:tcBorders>
          </w:tcPr>
          <w:p>
            <w:pPr>
              <w:spacing w:after="0"/>
              <w:rPr>
                <w:sz w:val="6"/>
                <w:szCs w:val="6"/>
                <w:color w:val="auto"/>
              </w:rPr>
            </w:pPr>
          </w:p>
        </w:tc>
        <w:tc>
          <w:tcPr>
            <w:tcW w:w="600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8"/>
              </w:rPr>
              <w:t>Officer (Principal Financial Officer)</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600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Gavin A. Mohr and each of them severally, as his or her attorney-in-fact, to sign in his or her name and on his or her behalf, as a director, and to file with the Securities and Exchange Commission any and all amendments to this Annual Report on Form 10-K.</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 President, Chief Executive</w:t>
            </w:r>
          </w:p>
        </w:tc>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 and Director (Principal Executive</w:t>
            </w:r>
          </w:p>
        </w:tc>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B. Kessel</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Gavin A. Mohr, Executive Vice President and Chief</w:t>
            </w: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720" w:type="dxa"/>
            <w:vAlign w:val="bottom"/>
            <w:vMerge w:val="continue"/>
          </w:tcPr>
          <w:p>
            <w:pPr>
              <w:spacing w:after="0"/>
              <w:rPr>
                <w:sz w:val="17"/>
                <w:szCs w:val="17"/>
                <w:color w:val="auto"/>
              </w:rPr>
            </w:pPr>
          </w:p>
        </w:tc>
        <w:tc>
          <w:tcPr>
            <w:tcW w:w="3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s/Gavin A. Mohr</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James J. Twarozynski, Senior Vice President and</w:t>
            </w: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720" w:type="dxa"/>
            <w:vAlign w:val="bottom"/>
            <w:vMerge w:val="continue"/>
          </w:tcPr>
          <w:p>
            <w:pPr>
              <w:spacing w:after="0"/>
              <w:rPr>
                <w:sz w:val="17"/>
                <w:szCs w:val="17"/>
                <w:color w:val="auto"/>
              </w:rPr>
            </w:pPr>
          </w:p>
        </w:tc>
        <w:tc>
          <w:tcPr>
            <w:tcW w:w="3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Accounting Officer (Principal Accounting</w:t>
            </w:r>
          </w:p>
        </w:tc>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s/James J. Twarozynski</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Stephen L. Gulis, Jr. Chairperson and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s/Stephen L. Gulis, Jr.</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Dennis W. Archer, Jr.,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s/Dennis W. Archer, Jr.</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Terance L. Beia,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s/Terance L. Beia</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J. Boer,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J. Boer</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Joan A. Budden,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s/Joan A. Budden</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J. Cok,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s/Michael J. Cok</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Christina L. Keller,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s/Christina L. Keller</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B. Kessel</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Ronia F. Kruse,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s/Ronia F. Kruse</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G. Wooldridge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s/Michael G. Wooldridge</w:t>
            </w: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6, 2026</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8"/>
        </w:trPr>
        <w:tc>
          <w:tcPr>
            <w:tcW w:w="3720" w:type="dxa"/>
            <w:vAlign w:val="bottom"/>
          </w:tcPr>
          <w:p>
            <w:pPr>
              <w:spacing w:after="0"/>
              <w:rPr>
                <w:sz w:val="24"/>
                <w:szCs w:val="24"/>
                <w:color w:val="auto"/>
              </w:rPr>
            </w:pPr>
          </w:p>
        </w:tc>
        <w:tc>
          <w:tcPr>
            <w:tcW w:w="38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27</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5"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160" w:type="dxa"/>
            <w:vAlign w:val="bottom"/>
          </w:tcPr>
          <w:p>
            <w:pPr>
              <w:spacing w:after="0"/>
              <w:rPr>
                <w:sz w:val="17"/>
                <w:szCs w:val="17"/>
                <w:color w:val="auto"/>
              </w:rPr>
            </w:pPr>
          </w:p>
        </w:tc>
      </w:tr>
      <w:tr>
        <w:trPr>
          <w:trHeight w:val="847"/>
        </w:trPr>
        <w:tc>
          <w:tcPr>
            <w:tcW w:w="1260" w:type="dxa"/>
            <w:vAlign w:val="bottom"/>
            <w:tcBorders>
              <w:top w:val="single" w:sz="8" w:color="0000FF"/>
            </w:tcBorders>
          </w:tcPr>
          <w:p>
            <w:pPr>
              <w:spacing w:after="0"/>
              <w:rPr>
                <w:sz w:val="24"/>
                <w:szCs w:val="24"/>
                <w:color w:val="auto"/>
              </w:rPr>
            </w:pPr>
          </w:p>
        </w:tc>
        <w:tc>
          <w:tcPr>
            <w:tcW w:w="78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Graph</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(PCAOB ID 173)</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6"/>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Quarterly Data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885"/>
        </w:trPr>
        <w:tc>
          <w:tcPr>
            <w:tcW w:w="90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37</w:t>
            </w:r>
          </w:p>
        </w:tc>
        <w:tc>
          <w:tcPr>
            <w:tcW w:w="2160" w:type="dxa"/>
            <w:vAlign w:val="bottom"/>
          </w:tcPr>
          <w:p>
            <w:pPr>
              <w:spacing w:after="0"/>
              <w:rPr>
                <w:sz w:val="24"/>
                <w:szCs w:val="24"/>
                <w:color w:val="auto"/>
              </w:rPr>
            </w:pPr>
          </w:p>
        </w:tc>
      </w:tr>
      <w:tr>
        <w:trPr>
          <w:trHeight w:val="113"/>
        </w:trPr>
        <w:tc>
          <w:tcPr>
            <w:tcW w:w="1260" w:type="dxa"/>
            <w:vAlign w:val="bottom"/>
            <w:tcBorders>
              <w:bottom w:val="single" w:sz="8" w:color="9A9A9A"/>
            </w:tcBorders>
          </w:tcPr>
          <w:p>
            <w:pPr>
              <w:spacing w:after="0"/>
              <w:rPr>
                <w:sz w:val="9"/>
                <w:szCs w:val="9"/>
                <w:color w:val="auto"/>
              </w:rPr>
            </w:pPr>
          </w:p>
        </w:tc>
        <w:tc>
          <w:tcPr>
            <w:tcW w:w="78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2020,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142480" cy="161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42480" cy="161290"/>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221615</wp:posOffset>
            </wp:positionV>
            <wp:extent cx="4744720" cy="3388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744720" cy="338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Period Ending</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2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12/31/25</w:t>
            </w:r>
          </w:p>
        </w:tc>
      </w:tr>
      <w:tr>
        <w:trPr>
          <w:trHeight w:val="220"/>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6"/>
              </w:rPr>
              <w:t>134.19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w:t>
            </w:r>
          </w:p>
        </w:tc>
      </w:tr>
      <w:tr>
        <w:trPr>
          <w:trHeight w:val="22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6"/>
              </w:rPr>
              <w:t>122.18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w:t>
            </w:r>
          </w:p>
        </w:tc>
      </w:tr>
      <w:tr>
        <w:trPr>
          <w:trHeight w:val="227"/>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Bank</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6"/>
              </w:rPr>
              <w:t>137.31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w:t>
            </w:r>
          </w:p>
        </w:tc>
      </w:tr>
      <w:tr>
        <w:trPr>
          <w:trHeight w:val="895"/>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3"/>
        </w:trPr>
        <w:tc>
          <w:tcPr>
            <w:tcW w:w="3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2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SUMMARY OF OPERATIONS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9"/>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 share amounts)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269,737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266,776</w:t>
            </w:r>
          </w:p>
        </w:tc>
        <w:tc>
          <w:tcPr>
            <w:tcW w:w="600" w:type="dxa"/>
            <w:vAlign w:val="bottom"/>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169,008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138,080</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89,722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100,528</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83,348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19,447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8,315</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149,561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129,765</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Net gains (losses) on securities available</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46,014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62,184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75,232</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138,233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135,096</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127,119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128,341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131,023</w:t>
            </w:r>
          </w:p>
        </w:tc>
        <w:tc>
          <w:tcPr>
            <w:tcW w:w="0" w:type="dxa"/>
            <w:vAlign w:val="bottom"/>
          </w:tcPr>
          <w:p>
            <w:pPr>
              <w:spacing w:after="0"/>
              <w:rPr>
                <w:sz w:val="1"/>
                <w:szCs w:val="1"/>
                <w:color w:val="auto"/>
              </w:rPr>
            </w:pPr>
          </w:p>
        </w:tc>
      </w:tr>
      <w:tr>
        <w:trPr>
          <w:trHeight w:val="22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81,291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77,788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77,313</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12,750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14,437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14,418</w:t>
            </w:r>
          </w:p>
        </w:tc>
        <w:tc>
          <w:tcPr>
            <w:tcW w:w="0" w:type="dxa"/>
            <w:vAlign w:val="bottom"/>
          </w:tcPr>
          <w:p>
            <w:pPr>
              <w:spacing w:after="0"/>
              <w:rPr>
                <w:sz w:val="1"/>
                <w:szCs w:val="1"/>
                <w:color w:val="auto"/>
              </w:rPr>
            </w:pPr>
          </w:p>
        </w:tc>
      </w:tr>
      <w:tr>
        <w:trPr>
          <w:trHeight w:val="22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68,541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63,351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62,895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 DATA</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BALANCES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5,505,720</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5,338,104</w:t>
            </w:r>
          </w:p>
        </w:tc>
        <w:tc>
          <w:tcPr>
            <w:tcW w:w="60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5,263,726</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4,999,787</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4,704,740</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4,276,285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4,038,825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3,790,901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3,465,352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2,905,045</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63,445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54,658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52,435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47,252</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4,761,682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4,654,088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4,622,879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4,379,069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4,117,090</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502,951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404,449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347,596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398,484</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77,003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86,006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30,009</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39,433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39,357</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debentures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39,864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39,660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39,592</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RATIOS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Net interest income to average interest</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 assets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to</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73"/>
        </w:trPr>
        <w:tc>
          <w:tcPr>
            <w:tcW w:w="32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Average shareholders’ equity to average</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20"/>
                <w:szCs w:val="20"/>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32"/>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Non-performing loans to Portfolio Loans</w:t>
            </w:r>
          </w:p>
        </w:tc>
        <w:tc>
          <w:tcPr>
            <w:tcW w:w="260" w:type="dxa"/>
            <w:vAlign w:val="bottom"/>
          </w:tcPr>
          <w:p>
            <w:pPr>
              <w:spacing w:after="0"/>
              <w:rPr>
                <w:sz w:val="20"/>
                <w:szCs w:val="20"/>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Disclaimer Regarding Forward-Looking Statements. </w:t>
      </w:r>
      <w:r>
        <w:rPr>
          <w:rFonts w:ascii="Times New Roman" w:cs="Times New Roman" w:eastAsia="Times New Roman" w:hAnsi="Times New Roman"/>
          <w:sz w:val="18"/>
          <w:szCs w:val="18"/>
          <w:color w:val="auto"/>
        </w:rPr>
        <w:t>Statements in this report that are not statements of historical fact, including statements that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89" w:lineRule="exact"/>
        <w:rPr>
          <w:sz w:val="20"/>
          <w:szCs w:val="20"/>
          <w:color w:val="auto"/>
        </w:rPr>
      </w:pPr>
    </w:p>
    <w:p>
      <w:pPr>
        <w:ind w:left="800" w:hanging="47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19" w:lineRule="exact"/>
        <w:rPr>
          <w:rFonts w:ascii="Times New Roman" w:cs="Times New Roman" w:eastAsia="Times New Roman" w:hAnsi="Times New Roman"/>
          <w:sz w:val="18"/>
          <w:szCs w:val="18"/>
          <w:color w:val="auto"/>
        </w:rPr>
      </w:pPr>
    </w:p>
    <w:p>
      <w:pPr>
        <w:ind w:left="800" w:hanging="473"/>
        <w:spacing w:after="0" w:line="277" w:lineRule="auto"/>
        <w:tabs>
          <w:tab w:leader="none" w:pos="7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spacing w:after="0" w:line="162"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2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2025, as updated by any new or modified risk factors disclosed in Part II – Item 1A of any subsequently filed Quarterly Report on Form 10-Q, include the primary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185"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Introduction. </w:t>
      </w:r>
      <w:r>
        <w:rPr>
          <w:rFonts w:ascii="Times New Roman" w:cs="Times New Roman" w:eastAsia="Times New Roman" w:hAnsi="Times New Roman"/>
          <w:sz w:val="18"/>
          <w:szCs w:val="18"/>
          <w:color w:val="auto"/>
        </w:rPr>
        <w:t>The following section presents additional information to assess the financial condition and results of operations of Independent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18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We provide banking services to customers located primarily in Michigan’s Lower Peninsula and also have one mortgage loan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Ohio (Fairlawn). As a result, our success depends to a great extent upon the economic conditions in Michigan’s Lower Peninsula.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0"/>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Recent Developments. </w:t>
      </w:r>
      <w:r>
        <w:rPr>
          <w:rFonts w:ascii="Times New Roman" w:cs="Times New Roman" w:eastAsia="Times New Roman" w:hAnsi="Times New Roman"/>
          <w:sz w:val="18"/>
          <w:szCs w:val="18"/>
          <w:color w:val="auto"/>
        </w:rPr>
        <w:t>Pressures from various global and national macroeconomic conditions, including significant volatility and uncertainty with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global market conditions, the direct and indirect impacts of potential changes to U.S. trade policies, recessionary concerns, uncertainty regarding future interest rates, foreign currency exchange rate fluctuations, the continuation of the Russia-Ukraine war, ongoing and potentially increasing conflict in the Middle East, and potential governmental responses to these events, continue to create significant economic uncertainty. In addition, pursuit of various initiatives announced by the Trump administration may create some degree of volatility in our customers’ businesses, regulation of the financial services industry, and the markets in which we operate.</w:t>
      </w:r>
    </w:p>
    <w:p>
      <w:pPr>
        <w:spacing w:after="0" w:line="196"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18"/>
          <w:szCs w:val="18"/>
          <w:color w:val="auto"/>
        </w:rPr>
        <w:t>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("AFS"), securities held to maturity ("HTM"), loans, capitalized mortgage loan servicing rights or deferred tax assets.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in 2025 as compared to earlier periods.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2"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We recorded net income of $68.5 million, or $3.27 per diluted share, in 2025, net income of $66.8 million, or $3.16 per diluted share,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 income of $59.1 million, or $2.79 per diluted share, in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3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to</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63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27"/>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assets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Net interest income totaled $180.0 million during 2025, compared to $166.2 million and $156.3 million during 2024 and 2023, respectively. The increase in net interest income in 2025 compared to 2024 primarily reflects a $159.9 million increase in average interest-earning assets and an 18 basis point increase in our tax equivalent net interest income as a percent of average interest-earning assets (the “net interest margin”).</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 increase in net interest income in 2024 compared to 2023 reflects a $128.5 million increase in average interest-earning assets and a 12 basis point increase in our tax equivalent net interest income as a percent of average interest-earning assets (the “net interest margin”).</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increase in average interest-earning assets during 2025 and 2024 primarily reflects growth in commercial and mortgage loans. The growth in both years was funded primarily by an increase in deposits and decreases in securities AFS, securities HTM and installment loans.</w:t>
      </w:r>
    </w:p>
    <w:p>
      <w:pPr>
        <w:spacing w:after="0" w:line="12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18 basis point increase in the net interest margin during 2025 as compared to 2024 primarily reflects a 27 basis point decrease in interest expense as a percent of average interest-earning assets ("Cost of Funds") which was partially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offset by a nine basis point decrease in interest income as a percent of average interest-earning assets ("Asset Yield"). These decreases are primarily attributed to the decreases in the federal funds rate since September of 2024. Our Cost of Funds has been positively impacted by deposit pricing sensitivity to the decreases in interest rates discussed above. Our Asset Yield has been negatively impacted by lower rates on variable rate earning assets. However, this impact has been partially offset by the origination of new fixed rate loans at rates higher than those in our current portfolio, as well as a shift in earning asset mix from generally lower rate investment securities to higher rate loans. See Asset/liability management.</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12 basis point increase in the net interest margin during 2024 as compared to 2023 primarily reflects a 42 basis point increase in our Asset Yield which was partially offset by a 30 basis point increase in our Cost of Funds. These increases are primarily attributed to the impact of federal funds rate increases during this period as well as a change in the mix of earnings assets and funding liabilities. During 2024 we saw a shift in earning assets from securities AFS and HTM and overnight cash balances to commercial and mortgage loans. In addition our funding mix had seen additional shifting from non-interest bearing deposits to interest-bearing deposits and an increase in time deposits.</w:t>
      </w:r>
    </w:p>
    <w:p>
      <w:pPr>
        <w:spacing w:after="0" w:line="18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Our net interest income is also impacted by our level of non-accrual loans. Average non-accrual loans totaled $12.6 million, $4.6 million and $4.8 million in 2025,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AND RATES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Rate</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Rate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ASSETS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Taxable loans</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4,153,322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238,524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5.74%</w:t>
            </w: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3,882,822</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5.88%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3,624,406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197,462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5.45%</w:t>
            </w:r>
          </w:p>
        </w:tc>
        <w:tc>
          <w:tcPr>
            <w:tcW w:w="0" w:type="dxa"/>
            <w:vAlign w:val="bottom"/>
          </w:tcPr>
          <w:p>
            <w:pPr>
              <w:spacing w:after="0"/>
              <w:rPr>
                <w:sz w:val="1"/>
                <w:szCs w:val="1"/>
                <w:color w:val="auto"/>
              </w:rPr>
            </w:pPr>
          </w:p>
        </w:tc>
      </w:tr>
      <w:tr>
        <w:trPr>
          <w:trHeight w:val="173"/>
        </w:trPr>
        <w:tc>
          <w:tcPr>
            <w:tcW w:w="2360" w:type="dxa"/>
            <w:vAlign w:val="bottom"/>
          </w:tcPr>
          <w:p>
            <w:pPr>
              <w:ind w:left="180"/>
              <w:spacing w:after="0" w:line="174" w:lineRule="exact"/>
              <w:rPr>
                <w:sz w:val="20"/>
                <w:szCs w:val="20"/>
                <w:color w:val="auto"/>
              </w:rPr>
            </w:pPr>
            <w:r>
              <w:rPr>
                <w:rFonts w:ascii="Times New Roman" w:cs="Times New Roman" w:eastAsia="Times New Roman" w:hAnsi="Times New Roman"/>
                <w:sz w:val="12"/>
                <w:szCs w:val="12"/>
                <w:color w:val="auto"/>
              </w:rPr>
              <w:t>Tax-exempt loans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0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5.23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8,597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00" w:type="dxa"/>
            <w:vAlign w:val="bottom"/>
          </w:tcPr>
          <w:p>
            <w:pPr>
              <w:spacing w:after="0"/>
              <w:rPr>
                <w:sz w:val="15"/>
                <w:szCs w:val="15"/>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4.86</w:t>
            </w:r>
          </w:p>
        </w:tc>
        <w:tc>
          <w:tcPr>
            <w:tcW w:w="0" w:type="dxa"/>
            <w:vAlign w:val="bottom"/>
          </w:tcPr>
          <w:p>
            <w:pPr>
              <w:spacing w:after="0"/>
              <w:rPr>
                <w:sz w:val="1"/>
                <w:szCs w:val="1"/>
                <w:color w:val="auto"/>
              </w:rPr>
            </w:pPr>
          </w:p>
        </w:tc>
      </w:tr>
      <w:tr>
        <w:trPr>
          <w:trHeight w:val="173"/>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Taxable securities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584,279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2.57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652,772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2.89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771,121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3.02</w:t>
            </w:r>
          </w:p>
        </w:tc>
        <w:tc>
          <w:tcPr>
            <w:tcW w:w="0" w:type="dxa"/>
            <w:vAlign w:val="bottom"/>
          </w:tcPr>
          <w:p>
            <w:pPr>
              <w:spacing w:after="0"/>
              <w:rPr>
                <w:sz w:val="1"/>
                <w:szCs w:val="1"/>
                <w:color w:val="auto"/>
              </w:rPr>
            </w:pPr>
          </w:p>
        </w:tc>
      </w:tr>
      <w:tr>
        <w:trPr>
          <w:trHeight w:val="173"/>
        </w:trPr>
        <w:tc>
          <w:tcPr>
            <w:tcW w:w="2360" w:type="dxa"/>
            <w:vAlign w:val="bottom"/>
          </w:tcPr>
          <w:p>
            <w:pPr>
              <w:ind w:left="180"/>
              <w:spacing w:after="0" w:line="174" w:lineRule="exact"/>
              <w:rPr>
                <w:sz w:val="20"/>
                <w:szCs w:val="20"/>
                <w:color w:val="auto"/>
              </w:rPr>
            </w:pPr>
            <w:r>
              <w:rPr>
                <w:rFonts w:ascii="Times New Roman" w:cs="Times New Roman" w:eastAsia="Times New Roman" w:hAnsi="Times New Roman"/>
                <w:sz w:val="12"/>
                <w:szCs w:val="12"/>
                <w:color w:val="auto"/>
              </w:rPr>
              <w:t>Tax-exempt securities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258,328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12,646</w:t>
            </w:r>
          </w:p>
        </w:tc>
        <w:tc>
          <w:tcPr>
            <w:tcW w:w="10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4.90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294,443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317,553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14,039</w:t>
            </w:r>
          </w:p>
        </w:tc>
        <w:tc>
          <w:tcPr>
            <w:tcW w:w="100" w:type="dxa"/>
            <w:vAlign w:val="bottom"/>
          </w:tcPr>
          <w:p>
            <w:pPr>
              <w:spacing w:after="0"/>
              <w:rPr>
                <w:sz w:val="15"/>
                <w:szCs w:val="15"/>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4.42</w:t>
            </w:r>
          </w:p>
        </w:tc>
        <w:tc>
          <w:tcPr>
            <w:tcW w:w="0" w:type="dxa"/>
            <w:vAlign w:val="bottom"/>
          </w:tcPr>
          <w:p>
            <w:pPr>
              <w:spacing w:after="0"/>
              <w:rPr>
                <w:sz w:val="1"/>
                <w:szCs w:val="1"/>
                <w:color w:val="auto"/>
              </w:rPr>
            </w:pPr>
          </w:p>
        </w:tc>
      </w:tr>
      <w:tr>
        <w:trPr>
          <w:trHeight w:val="173"/>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bearing cash</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4.31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94,621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5.30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5.28</w:t>
            </w: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investments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17,077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2"/>
                <w:szCs w:val="12"/>
                <w:color w:val="auto"/>
              </w:rPr>
              <w:t>6.55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16,363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2"/>
                <w:szCs w:val="12"/>
                <w:color w:val="auto"/>
              </w:rPr>
              <w:t>7.30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17,557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2"/>
                <w:szCs w:val="12"/>
                <w:color w:val="auto"/>
              </w:rPr>
              <w:t>5.77</w:t>
            </w: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 earning assets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5,109,555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271,522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5.32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4,949,618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267,678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5.41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4,821,079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240,577</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4.99</w:t>
            </w:r>
          </w:p>
        </w:tc>
        <w:tc>
          <w:tcPr>
            <w:tcW w:w="0" w:type="dxa"/>
            <w:vAlign w:val="bottom"/>
          </w:tcPr>
          <w:p>
            <w:pPr>
              <w:spacing w:after="0"/>
              <w:rPr>
                <w:sz w:val="1"/>
                <w:szCs w:val="1"/>
                <w:color w:val="auto"/>
              </w:rPr>
            </w:pPr>
          </w:p>
        </w:tc>
      </w:tr>
      <w:tr>
        <w:trPr>
          <w:trHeight w:val="148"/>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Cash and due from banks</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assets, net</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235,025</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236,072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5,401,441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5,239,952</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5,115,624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LIABILITIES</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Savings and interest-bearing checking</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2,854,237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51,474</w:t>
            </w:r>
          </w:p>
        </w:tc>
        <w:tc>
          <w:tcPr>
            <w:tcW w:w="100" w:type="dxa"/>
            <w:vAlign w:val="bottom"/>
          </w:tcPr>
          <w:p>
            <w:pPr>
              <w:spacing w:after="0"/>
              <w:rPr>
                <w:sz w:val="16"/>
                <w:szCs w:val="16"/>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1.80</w:t>
            </w:r>
          </w:p>
        </w:tc>
        <w:tc>
          <w:tcPr>
            <w:tcW w:w="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2,727,778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2.11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2,564,097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44,728</w:t>
            </w:r>
          </w:p>
        </w:tc>
        <w:tc>
          <w:tcPr>
            <w:tcW w:w="100" w:type="dxa"/>
            <w:vAlign w:val="bottom"/>
          </w:tcPr>
          <w:p>
            <w:pPr>
              <w:spacing w:after="0"/>
              <w:rPr>
                <w:sz w:val="16"/>
                <w:szCs w:val="16"/>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1.74</w:t>
            </w: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Time deposits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877,414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3.65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815,815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4.31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785,684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30,347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3.86</w:t>
            </w: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borrowings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86,527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2"/>
                <w:szCs w:val="12"/>
                <w:color w:val="auto"/>
              </w:rPr>
              <w:t>7.19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118,282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7,834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2"/>
                <w:szCs w:val="12"/>
                <w:color w:val="auto"/>
              </w:rPr>
              <w:t>6.62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128,945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8,273</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2"/>
                <w:szCs w:val="12"/>
                <w:color w:val="auto"/>
              </w:rPr>
              <w:t>6.42</w:t>
            </w: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 bearing liabilities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3,818,178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89,722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3,661,875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2.75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3,478,726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83,348</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2.40</w:t>
            </w:r>
          </w:p>
        </w:tc>
        <w:tc>
          <w:tcPr>
            <w:tcW w:w="0" w:type="dxa"/>
            <w:vAlign w:val="bottom"/>
          </w:tcPr>
          <w:p>
            <w:pPr>
              <w:spacing w:after="0"/>
              <w:rPr>
                <w:sz w:val="1"/>
                <w:szCs w:val="1"/>
                <w:color w:val="auto"/>
              </w:rPr>
            </w:pPr>
          </w:p>
        </w:tc>
      </w:tr>
      <w:tr>
        <w:trPr>
          <w:trHeight w:val="148"/>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Non-interest bearing deposits</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999,302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1,047,843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1,164,816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liabilities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109,133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103,622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103,721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Shareholders’ equity</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474,828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426,612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368,361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5,401,441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5,239,952</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5,115,624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2"/>
                <w:szCs w:val="12"/>
                <w:color w:val="auto"/>
              </w:rPr>
              <w:t>Net interest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181,800</w:t>
            </w: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167,150</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157,229</w:t>
            </w: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36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2"/>
                <w:szCs w:val="12"/>
                <w:color w:val="auto"/>
              </w:rPr>
              <w:t>Net interest income as a percent of</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3.56 %</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3.38 %</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3.26 %</w:t>
            </w:r>
          </w:p>
        </w:tc>
        <w:tc>
          <w:tcPr>
            <w:tcW w:w="0" w:type="dxa"/>
            <w:vAlign w:val="bottom"/>
          </w:tcPr>
          <w:p>
            <w:pPr>
              <w:spacing w:after="0"/>
              <w:rPr>
                <w:sz w:val="1"/>
                <w:szCs w:val="1"/>
                <w:color w:val="auto"/>
              </w:rPr>
            </w:pPr>
          </w:p>
        </w:tc>
      </w:tr>
      <w:tr>
        <w:trPr>
          <w:trHeight w:val="184"/>
        </w:trPr>
        <w:tc>
          <w:tcPr>
            <w:tcW w:w="2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average interest earning assets</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5540" w:right="2120" w:hanging="5533"/>
        <w:spacing w:after="0" w:line="935" w:lineRule="auto"/>
        <w:tabs>
          <w:tab w:leader="none" w:pos="3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-325120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INTEREST MARGIN, FULLY TAXABLE EQUIVALENT ("FTE")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Borders>
              <w:bottom w:val="single" w:sz="8" w:color="auto"/>
            </w:tcBorders>
          </w:tcPr>
          <w:p>
            <w:pPr>
              <w:spacing w:after="0"/>
              <w:rPr>
                <w:sz w:val="24"/>
                <w:szCs w:val="24"/>
                <w:color w:val="auto"/>
              </w:rPr>
            </w:pPr>
          </w:p>
        </w:tc>
      </w:tr>
      <w:tr>
        <w:trPr>
          <w:trHeight w:val="220"/>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180,015</w:t>
            </w:r>
          </w:p>
        </w:tc>
        <w:tc>
          <w:tcPr>
            <w:tcW w:w="620" w:type="dxa"/>
            <w:vAlign w:val="bottom"/>
            <w:gridSpan w:val="3"/>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166,248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156,329</w:t>
            </w:r>
          </w:p>
        </w:tc>
      </w:tr>
      <w:tr>
        <w:trPr>
          <w:trHeight w:val="227"/>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900</w:t>
            </w:r>
          </w:p>
        </w:tc>
      </w:tr>
      <w:tr>
        <w:trPr>
          <w:trHeight w:val="24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181,800</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167,150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157,229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 (GAAP)</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left="491"/>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3"/>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NET INTEREST INCOME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2025 compared to 2024</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8"/>
              </w:rPr>
              <w:t>2024 compared to 2023</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Taxable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Tax-exempt loans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Taxable securities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Tax-exempt securities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bearing cash</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7"/>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Increase (decrease) in interest expense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Savings and interest bearing checking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0"/>
        </w:trPr>
        <w:tc>
          <w:tcPr>
            <w:tcW w:w="3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0" w:type="dxa"/>
            <w:vAlign w:val="bottom"/>
          </w:tcPr>
          <w:p>
            <w:pPr>
              <w:spacing w:after="0"/>
              <w:rPr>
                <w:sz w:val="1"/>
                <w:szCs w:val="1"/>
                <w:color w:val="auto"/>
              </w:rPr>
            </w:pPr>
          </w:p>
        </w:tc>
      </w:tr>
      <w:tr>
        <w:trPr>
          <w:trHeight w:val="245"/>
        </w:trPr>
        <w:tc>
          <w:tcPr>
            <w:tcW w:w="3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320" w:hanging="313"/>
        <w:spacing w:after="0" w:line="255" w:lineRule="auto"/>
        <w:tabs>
          <w:tab w:leader="none" w:pos="3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interest due to changes in both balance and rate has been allocated to change due to balance and change due to rate in proportion to the relationship of the absolute dollar amounts of change in each.</w:t>
      </w:r>
    </w:p>
    <w:p>
      <w:pPr>
        <w:spacing w:after="0" w:line="18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AVERAGE INTEREST EARNING ASSETS AND INTEREST BEARING LIABILITIES</w:t>
      </w:r>
    </w:p>
    <w:p>
      <w:pPr>
        <w:spacing w:after="0" w:line="26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 of average interest earning assets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7"/>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0"/>
        </w:trPr>
        <w:tc>
          <w:tcPr>
            <w:tcW w:w="6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earning assets</w:t>
            </w:r>
          </w:p>
        </w:tc>
        <w:tc>
          <w:tcPr>
            <w:tcW w:w="9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Savings and interest-bearing checking</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7"/>
                <w:szCs w:val="17"/>
                <w:color w:val="auto"/>
              </w:rPr>
            </w:pPr>
          </w:p>
        </w:tc>
        <w:tc>
          <w:tcPr>
            <w:tcW w:w="15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7"/>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7"/>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0"/>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 asset ratio</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7"/>
        </w:trPr>
        <w:tc>
          <w:tcPr>
            <w:tcW w:w="732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Free-funds ratio</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Average interest earning assets less average interest bearing liabilities.</w:t>
      </w:r>
    </w:p>
    <w:p>
      <w:pPr>
        <w:spacing w:after="0" w:line="146"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7"/>
          <w:szCs w:val="17"/>
          <w:i w:val="1"/>
          <w:iCs w:val="1"/>
          <w:color w:val="auto"/>
        </w:rPr>
        <w:t>Provision for credit losses</w:t>
      </w:r>
      <w:r>
        <w:rPr>
          <w:rFonts w:ascii="Times New Roman" w:cs="Times New Roman" w:eastAsia="Times New Roman" w:hAnsi="Times New Roman"/>
          <w:sz w:val="17"/>
          <w:szCs w:val="17"/>
          <w:color w:val="auto"/>
        </w:rPr>
        <w:t>. The provision for credit losses was an expense of $6.1 million, $4.5 million and $6.2 million in 2025, 2024, and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and securities HTM, additional provisions for related losses may be necessary based on changes in economic conditions, customer circumstances and other credit risk factors. The increase in the provision for credit losses in 2025 compared to 2024 was primarily due to increases in provision in the installment and commercial loan portfolios as well as the provision for unfunded lending commitments that were partially offset by a decrease in the provision in the mortgage portfolio and a lower subjective allocation rate. The decrease in the provision for credit losses in 2024 compared to 2023 was primarily due to a loss incurred on a $3.0 million corporate security HTM (Signature Bank) that defaulted and was fully charged off during the first quarter of 2023 and a recovery on that same security HTM during the first quarter of 2024 that was partially offset by an increase in provision in the commercial and mortgage loan portfolios. See “Portfolio Loans and asset quality” for a discussion of the various components of the ACL and their impact on the provision for credit losses in 2025 and note #19 to the Consolidated Financial Statements included within this report for a discussion on industry concentrations.</w:t>
      </w:r>
    </w:p>
    <w:p>
      <w:pPr>
        <w:spacing w:after="0" w:line="193" w:lineRule="exact"/>
        <w:rPr>
          <w:sz w:val="20"/>
          <w:szCs w:val="20"/>
          <w:color w:val="auto"/>
        </w:rPr>
      </w:pPr>
    </w:p>
    <w:p>
      <w:pPr>
        <w:jc w:val="both"/>
        <w:ind w:right="20"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$45.6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2025 compared to $56.4 million and $50.7 million during 2024 and 2023,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336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13,860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2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2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7"/>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45"/>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45,644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41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1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Service charges on deposit accounts totaled $12.0 million in 2025, as compared to $11.9 million in 2024 and $12.4 million during 2023. The increase in 2025 relative to the prior year was primarily due to increases in fees related to our commercial treasury management services. The decrease in 2024 relative to the prior year was primarily due to a decrease in non-sufficient funds occurrences (and related fees).</w:t>
      </w:r>
    </w:p>
    <w:p>
      <w:pPr>
        <w:spacing w:after="0" w:line="163"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We realized net gains of $6.8 million on mortgage loans sold during 2025, compared to $6.6 million and $7.4 million during 2024 and 2023, respectively. As reflected in the table below, the sale of mortgage loans decreased from both 2024 and 2023. Mortgage loan activity is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66"/>
        </w:trPr>
        <w:tc>
          <w:tcPr>
            <w:tcW w:w="6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0" w:type="dxa"/>
            <w:vAlign w:val="bottom"/>
            <w:tcBorders>
              <w:bottom w:val="single" w:sz="8" w:color="auto"/>
            </w:tcBorders>
          </w:tcPr>
          <w:p>
            <w:pPr>
              <w:spacing w:after="0"/>
              <w:rPr>
                <w:sz w:val="24"/>
                <w:szCs w:val="24"/>
                <w:color w:val="auto"/>
              </w:rPr>
            </w:pPr>
          </w:p>
        </w:tc>
      </w:tr>
      <w:tr>
        <w:trPr>
          <w:trHeight w:val="240"/>
        </w:trPr>
        <w:tc>
          <w:tcPr>
            <w:tcW w:w="6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6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originated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535,442</w:t>
            </w:r>
          </w:p>
        </w:tc>
        <w:tc>
          <w:tcPr>
            <w:tcW w:w="4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518,256</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554,461</w:t>
            </w:r>
          </w:p>
        </w:tc>
      </w:tr>
      <w:tr>
        <w:trPr>
          <w:trHeight w:val="254"/>
        </w:trPr>
        <w:tc>
          <w:tcPr>
            <w:tcW w:w="6420" w:type="dxa"/>
            <w:vAlign w:val="bottom"/>
          </w:tcPr>
          <w:p>
            <w:pPr>
              <w:ind w:left="20"/>
              <w:spacing w:after="0" w:line="254" w:lineRule="exact"/>
              <w:rPr>
                <w:sz w:val="20"/>
                <w:szCs w:val="20"/>
                <w:color w:val="auto"/>
              </w:rPr>
            </w:pPr>
            <w:r>
              <w:rPr>
                <w:rFonts w:ascii="Times New Roman" w:cs="Times New Roman" w:eastAsia="Times New Roman" w:hAnsi="Times New Roman"/>
                <w:sz w:val="18"/>
                <w:szCs w:val="18"/>
                <w:color w:val="auto"/>
              </w:rPr>
              <w:t>Mortgage loans sold</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2"/>
                <w:szCs w:val="22"/>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365,743</w:t>
            </w:r>
          </w:p>
        </w:tc>
        <w:tc>
          <w:tcPr>
            <w:tcW w:w="44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395,617</w:t>
            </w: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407,613</w:t>
            </w:r>
          </w:p>
        </w:tc>
      </w:tr>
      <w:tr>
        <w:trPr>
          <w:trHeight w:val="254"/>
        </w:trPr>
        <w:tc>
          <w:tcPr>
            <w:tcW w:w="6420" w:type="dxa"/>
            <w:vAlign w:val="bottom"/>
            <w:shd w:val="clear" w:color="auto" w:fill="CCEEFF"/>
          </w:tcPr>
          <w:p>
            <w:pPr>
              <w:ind w:left="20"/>
              <w:spacing w:after="0" w:line="254" w:lineRule="exact"/>
              <w:rPr>
                <w:sz w:val="20"/>
                <w:szCs w:val="20"/>
                <w:color w:val="auto"/>
              </w:rPr>
            </w:pPr>
            <w:r>
              <w:rPr>
                <w:rFonts w:ascii="Times New Roman" w:cs="Times New Roman" w:eastAsia="Times New Roman" w:hAnsi="Times New Roman"/>
                <w:sz w:val="18"/>
                <w:szCs w:val="18"/>
                <w:color w:val="auto"/>
              </w:rPr>
              <w:t>Net gains on mortgage loans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6,780</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6,579</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7,436</w:t>
            </w:r>
          </w:p>
        </w:tc>
      </w:tr>
      <w:tr>
        <w:trPr>
          <w:trHeight w:val="24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as a percent of mortgage loans sold (“Loan Sales Margin”)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4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6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included in the Loan Sales Margin</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0.25</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jc w:val="both"/>
        <w:ind w:left="320" w:hanging="313"/>
        <w:spacing w:after="0" w:line="251" w:lineRule="auto"/>
        <w:tabs>
          <w:tab w:leader="none" w:pos="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includes the sale of $22.2 million of portfolio residential fixed rate and adjustable rate mortgage loans. 2024 includes the sale of $20.8 million of portfolio residential fixed rate mortgage loans. 2023 includes the sale of $56.7 million of portfolio residential fixed rate and adjustable rate mortgage loans.</w:t>
      </w:r>
    </w:p>
    <w:p>
      <w:pPr>
        <w:spacing w:after="0" w:line="212" w:lineRule="exact"/>
        <w:rPr>
          <w:rFonts w:ascii="Times New Roman" w:cs="Times New Roman" w:eastAsia="Times New Roman" w:hAnsi="Times New Roman"/>
          <w:sz w:val="18"/>
          <w:szCs w:val="18"/>
          <w:color w:val="auto"/>
        </w:rPr>
      </w:pPr>
    </w:p>
    <w:p>
      <w:pPr>
        <w:ind w:left="320" w:hanging="313"/>
        <w:spacing w:after="0" w:line="277" w:lineRule="auto"/>
        <w:tabs>
          <w:tab w:leader="none" w:pos="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gains on mortgage loans in in 2025, 2024, and 2023, include net gains (losses) of $0.41 million, $0.42 million, and $(0.14) million, respectively, from portfolio loan transactions.</w:t>
      </w:r>
    </w:p>
    <w:p>
      <w:pPr>
        <w:spacing w:after="0" w:line="123"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Mortgage loans originated increased in 2025 as compared to 2024 as generally lower mortgage loan interest rates had a generally positive impact on mortgage loan demand. Mortgage loans originated decreased in 2024 as compared to 2023 as higher mortgage loan interest rates negatively impacted mortgage loan demand. Excluding the sale of portfolio residential mortgage loans, the change in the volume of loans sold relative to origination volume in each of these years is due in part to the mix of (salable versus portfolio) origination volume.</w:t>
      </w:r>
    </w:p>
    <w:p>
      <w:pPr>
        <w:spacing w:after="0" w:line="169"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43"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Net gains on mortgage loans increased in 2025 as compared to 2024 due to an increase in the Loan Sales Margin due in part to an increase in fair value adjustments relating to mortgage banking derivatives and loans originated under the fair value option (see notes #16 and #21). Net gains on mortgage loans decreased in 2024 as compared to 2023 primarily due to the decrease in the Loan Sales Margin which was favorably impacted by fair value adjustments on certain unhedged construction loans originated under the fair value option during 2023 as a result of the significant increase in interest rates during that period. These favorable adjustments were much less during 2024.</w:t>
      </w:r>
    </w:p>
    <w:p>
      <w:pPr>
        <w:spacing w:after="0" w:line="15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Gain on equity securities at fair value totaled $2.7 million during 2024. This gain is the consequence of the exchange of our shares of Visa Class B-1 common stock on May 6, 2024 into a combination of Visa Class C common stock and Visa Class B-2 common stock. With the completion of this exchange, we were able to sell our Visa Class C common stock (as it was convertible into publicly traded Visa Class A common stock) while the Visa Class B-2 common stock continues to be held and carried at zero. See note #11 to the Consolidated Financial Statements.</w:t>
      </w:r>
    </w:p>
    <w:p>
      <w:pPr>
        <w:spacing w:after="0" w:line="15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generated net losses on securities AFS of $(0.37) million, $(0.43) million and $(0.22) million in 2025, 2024 and 2023, respectively. These net losses were due to the sales of securities as outlined in the table below. We recorded no credit related charges in 2025, 2024 or 2023 for securities AFS. See “Securities” below and note #3 to the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GAINS AND LOSSES ON SECURITIES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5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0"/>
        </w:trPr>
        <w:tc>
          <w:tcPr>
            <w:tcW w:w="5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0"/>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6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32,193</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39,517</w:t>
            </w:r>
          </w:p>
        </w:tc>
        <w:tc>
          <w:tcPr>
            <w:tcW w:w="3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Mortgage loan servicing, net, generated income of $0.8 million in 2025 compared to income of $9.4 million and $4.6 million in 2024 and 2023, respectively. The significant variances in mortgage loan servicing, net are primarily due to changes in the fair value of capitalized mortgage loan servicing rights associated with changes in mortgage loan interest rates and expected future prepayment levels and expected float rates as well as the sale of approximately $931.6 million of capitalized mortgage loan servicing rights in January 2025. Mortgage loan servicing, net activity is summarized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SERVICING ACTIVITY</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Mortgage loan servicing:</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sale of originated servicing rights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originated servicing rights (1)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originated servicing rights (1)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320" w:hanging="313"/>
        <w:spacing w:after="0" w:line="263" w:lineRule="auto"/>
        <w:tabs>
          <w:tab w:leader="none" w:pos="40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$0.1 million relating to this transaction, we are not aware of any issues that will have a material impact on this final payment. We have until the first quarter, 2026 to receive this final payment. Transaction expenses relating to this sale were approximately $0.2 million and were expensed in 2025.</w:t>
      </w:r>
    </w:p>
    <w:p>
      <w:pPr>
        <w:spacing w:after="0" w:line="15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At December 31, 2025, we were servicing approximately $2.6 billion in mortgage loans for others on which servicing rights have been capitalized. This servicing portfolio had a weighted average coupon rate of 4.52% and a weighted average service fee of approximately 0.26 basis points. Remaining capitalized mortgage loan servicing rights at December 31, 2025 totaled $31.5 million, representing approximately 121 basis points on the related amount of mortgage loans serviced for others.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Investment and insurance commissions totaled $3.5 million in 2025 as compared to $3.3 million and $3.5 million in 2024 and 2023. The increase in revenue in 2025 as compared to 2024 was due to higher sales volume and an increase in fee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revenue while the decrease in revenue in 2024 as compared to 2023 was primarily due to lower sales volume and a decrease in fee based revenue.</w:t>
      </w:r>
    </w:p>
    <w:p>
      <w:pPr>
        <w:spacing w:after="0" w:line="22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earned $1.2 million, $0.8 million and $0.5 million in 2025, 2024 and 2023, respectively, on our separate account bank owned life insurance principally as a result of increases in the cash surrender value. Our separate account is primarily invested in agency mortgage-backed securities and managed by a fixed income investment manager. The crediting rate (on which the earnings are based) reflects the performance of the separate account. The changes in earnings in each year is due to changes in the crediting rate. The total cash surrender value of our bank owned life insurance was $53.8 million and $53.9 million at December 31, 2025 and 2024, respectively.</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Non-interest income - other totaled $7.8 million, $8.1 million and $8.5 million in 2025, 2024 and 2023, respectively. Non-interest income - other decreased in 2025 as compared to 2024 and 2024 as compared to 2023 due primarily to lower gains on sale of bank properties and a decrease in certain electronic banking fees we discontinued during 2024.</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Non-interest expense totaled $138.2 million in 2025, $135.1 million in 2024, and $127.1 million in 2023. Increases in compensation, payroll taxes and employee benefits, data processing, occupancy, loan and collection and other expense that were partially offset by decreases in performance-based compensation and furniture fixtures and equipment are primarily responsible for the increase in 2025 compared to 2024. Increases in performance-based compensation, compensation, data processing, advertising, legal and professional and loan and collection that were partially offset by decreases in communications and costs (recoveries) related to unfunded lending commitments are primarily responsible for the increase in 2024 compared to 2023. The components of non-interest expense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73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4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0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52,502</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1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0" w:type="dxa"/>
            <w:vAlign w:val="bottom"/>
          </w:tcPr>
          <w:p>
            <w:pPr>
              <w:spacing w:after="0"/>
              <w:rPr>
                <w:sz w:val="1"/>
                <w:szCs w:val="1"/>
                <w:color w:val="auto"/>
              </w:rPr>
            </w:pPr>
          </w:p>
        </w:tc>
      </w:tr>
      <w:tr>
        <w:trPr>
          <w:trHeight w:val="22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78,965</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net</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expense</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 deposit insurance</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and collection</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licenses and fees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fees</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(recovery) for loss reimbursement on sold loans</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on other real estate and repossessed assets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2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127,119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80" w:type="dxa"/>
            <w:vAlign w:val="bottom"/>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49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9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Compensation expense, which is primarily salaries, totaled $54.6 million, $53.4 million and $52.5 million in 2025, 2024 and 2023, respectively. The comparative increase in 2025 to 2024 is primarily due to salary increases that were predominantly effective on January 1, 2025 and additions to our commercial lending team which were partially offset by an increase in deferred loan origination costs due primarily to higher commercial and mortgage loan volume as well as increases in per loan origination costs. The comparative increase in 2024 to 2023 is primarily due to salary increases that were predominantly effective on January 1, 2024 and additions to our commercial lending team which were partially offset by staffing efficiency initiatives in our retail lending and branch network as well as an increase in deferred loan origination costs due in part to higher mortgage loan volume.</w:t>
      </w:r>
    </w:p>
    <w:p>
      <w:pPr>
        <w:spacing w:after="0" w:line="18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Performance-based compensation expense totaled $14.8 million, $16.1 million and $11.1 million in 2025, 2024 and 2023, respectively. The variances between each respective period were primarily due to actual performance relative to the established incentive plan targets in our annual cash incentive award plans.</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to commissions and cash incentive awards, we also maintain performance-based equity compensation plans. Such plans include an ESOP and a long-term equity incentive plan. Total compensation expense recognized for grants pursuant to our long-term incentive plan was $2.5 million, $2.1 million and $1.9 million in 2025, 2024 and 2023, respectively. In each of those three years, we granted both restricted stock and performance share awards under the plan.</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Payroll taxes and employee benefits expense totaled $15.8 million, $15.4 million and $15.4 million in 2025, 2024 and 2023, respectively. The increase in 2025 compared to 2024 is due to higher education, recruiting and general employee related costs that were partially offset by a decrease in medical insurance costs.</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Data processing expenses totaled $14.8 million, $13.6 million, and $11.9 million in 2025, 2024 and 2023, respectively. The increase in 2025 compared to 2024 and 2024 compared to 2023 are primarily due to annual asset based and consumer price index based cost increases and new solutions implemented during these time frames.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Occupancy, net totaled $8.6 million, $7.8 million, and $7.9 million in 2025, 2024 and 2023, respectively. The increase in 2025 compared to 2024 is due in part to strategic location additions as well as higher seasonal related maintenance costs.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Advertising totaled $3.2 million, $3.1 million, and $2.2 million in 2025, 2024 and 2023, respectively. The increase in 2024 compared to 2023 is due primarily to modifications in strategic marketing spend as well as costs related to certain website redesign initiatives.</w:t>
      </w:r>
    </w:p>
    <w:p>
      <w:pPr>
        <w:spacing w:after="0" w:line="163" w:lineRule="exact"/>
        <w:rPr>
          <w:sz w:val="20"/>
          <w:szCs w:val="20"/>
          <w:color w:val="auto"/>
        </w:rPr>
      </w:pPr>
    </w:p>
    <w:p>
      <w:pPr>
        <w:jc w:val="both"/>
        <w:ind w:right="20" w:firstLine="320"/>
        <w:spacing w:after="0" w:line="307" w:lineRule="auto"/>
        <w:rPr>
          <w:sz w:val="20"/>
          <w:szCs w:val="20"/>
          <w:color w:val="auto"/>
        </w:rPr>
      </w:pPr>
      <w:r>
        <w:rPr>
          <w:rFonts w:ascii="Times New Roman" w:cs="Times New Roman" w:eastAsia="Times New Roman" w:hAnsi="Times New Roman"/>
          <w:sz w:val="17"/>
          <w:szCs w:val="17"/>
          <w:color w:val="auto"/>
        </w:rPr>
        <w:t>Legal and professional totaled $2.4 million, $2.6 million, and $2.2 million in 2025, 2024 and 2023, respectively. The increase in 2024 compared to 2023 is due in part to fees relating to strategic location additions, higher bank exam fees due to asset growth as well as general corporate projects and initiatives.</w:t>
      </w:r>
    </w:p>
    <w:p>
      <w:pPr>
        <w:spacing w:after="0" w:line="14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Loan and collection expenses reflect costs related to new lending activity as well as the management and collection of non-performing loans and other problem credits. These expenses totaled $2.7 million, $2.5 million and $2.2 million in 2025, 2024 and 2023, respectively. These costs increased in 2025 from 2024 due in part to a higher level of non performing loans in 2025. These costs increased in 2024 compared to 2023 due in part to lower recoveries of previously expensed amounts.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Communications totaled $2.0 million, $2.1 million, and $2.4 million in 2025, 2024 and 2023, respectively. The decrease in 2024 compared to 2023 is primarily due to lower telephony and networking related costs.</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Other expenses totaled $5.7 million, $4.9 million and $5.8 million in 2025, 2024 and 2023, respectively. The increase in 2025 compared to 2024 is due to higher travel and entertainment related costs, lower recoveries related to unfunded lending commitments (beginning in the fourth quarter of 2025 these expenses/recoveries are now being included in the provision for credit losses), higher director retainer fees and higher Michigan Corporate Income Tax which is a non-income based tax. The decrease in 2024 compared to 2023 is primarily due to lower costs related to unfunded lending commitments related primarily to a decease in the amount of unfunded lending commitments.</w:t>
      </w:r>
    </w:p>
    <w:p>
      <w:pPr>
        <w:spacing w:after="0" w:line="184"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recorded an income tax expense of $12.8 million, $16.3 million and $14.6 million in 2025, 2024 and 2023, respectively.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federal income tax expense is different than the amount computed by applying our statutory federal income tax rate to our pre-tax income primarily due to tax-exempt interest income, share based compensation, tax-exempt income from the increase in the cash surrender value on life insurance and certain tax credits.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firstLine="320"/>
        <w:spacing w:after="0"/>
        <w:rPr>
          <w:sz w:val="20"/>
          <w:szCs w:val="20"/>
          <w:color w:val="auto"/>
        </w:rPr>
      </w:pPr>
      <w:r>
        <w:rPr>
          <w:rFonts w:ascii="Times New Roman" w:cs="Times New Roman" w:eastAsia="Times New Roman" w:hAnsi="Times New Roman"/>
          <w:sz w:val="18"/>
          <w:szCs w:val="18"/>
          <w:color w:val="auto"/>
        </w:rPr>
        <w:t>In December, 2025, we executed a Tax Credit Transfer Agreement (TCTA) whereby we have agreed to purchase $22.9 million of 2025 Section 48 tax credits at a purchase price of 92% of the tax credit amount. The purchase price of $21.1 million was paid by us to the seller, an independent third party on January 15, 2026. We plan to utilize the purchased tax credits of $22.9 million to offset amounts that otherwise would be due and payable to the IRS for 2025 and prior tax years. The accounting treatment at December 31, 2025 is an increase in income tax receivable from the Internal Revenue Service ("IRS") of $22.9 million (recorded in Accrued income and other assets in the Consolidated Statements of Financial Condition), a liability to the seller of $21.1 million (recorded in Accrued expenses and other liabilities in the Consolidated Statements of Financial Condition), and a reduction to income tax expense of $1.8 million in the Consolidated Statements of Operations for the year ending December 31, 2025. The $21.1 million liability to the seller was paid on January 15, 2026.</w:t>
      </w:r>
    </w:p>
    <w:p>
      <w:pPr>
        <w:spacing w:after="0" w:line="19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 net (“DTA”) based on the consideration of all available evidence using a “more likely than not” standard. The ultimate realization of this asset is primarily based on generating future income. We concluded at December 31, 2025 and 2024 that the realization of substantially all of our DTA continues to be more likely than not. See note #13 to the Consolidated Financial Statements included within this report for more information.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2"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Our total assets increased to $5.51 billion at December 31, 2025, compared to $5.34 billion at December 31, 2024, primarily due to growth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loans. Loans, excluding loans held for sale (“Portfolio Loans”), totaled $4.28 billion and $4.04 billion at December 31, 2025 and December 31, 2024, respectively. Commercial loans increased by $276.2 million.</w:t>
      </w:r>
    </w:p>
    <w:p>
      <w:pPr>
        <w:spacing w:after="0" w:line="17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Deposits totaled $4.76 billion at December 31, 2025, compared to $4.65 billion at December 31, 2024. The $107.6 million increase in deposits is primarily due to growth in savings and interest bearing checking deposits, reciprocal deposits and time deposits that was partially offset by a decline in non-interest bearing deposits and brokered time deposits.</w:t>
      </w:r>
    </w:p>
    <w:p>
      <w:pPr>
        <w:spacing w:after="0" w:line="174" w:lineRule="exact"/>
        <w:rPr>
          <w:sz w:val="20"/>
          <w:szCs w:val="20"/>
          <w:color w:val="auto"/>
        </w:rPr>
      </w:pPr>
    </w:p>
    <w:p>
      <w:pPr>
        <w:jc w:val="both"/>
        <w:ind w:firstLine="320"/>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political subdivisions, residential and commercial mortgage-backed securities, asset-backed securities, corporate securities and trust preferred securities. We regularly evaluate asset/liability management needs and attempt to maintain a portfolio structure that provides sufficient liquidity and cash flow.</w:t>
      </w:r>
    </w:p>
    <w:p>
      <w:pPr>
        <w:spacing w:after="0" w:line="15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believe that the unrealized losses on securities AFS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AFS</w:t>
            </w:r>
          </w:p>
        </w:tc>
        <w:tc>
          <w:tcPr>
            <w:tcW w:w="1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3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8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AFS</w:t>
            </w:r>
          </w:p>
        </w:tc>
        <w:tc>
          <w:tcPr>
            <w:tcW w:w="1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4"/>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1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546,863</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495,909</w:t>
            </w:r>
          </w:p>
        </w:tc>
        <w:tc>
          <w:tcPr>
            <w:tcW w:w="0" w:type="dxa"/>
            <w:vAlign w:val="bottom"/>
          </w:tcPr>
          <w:p>
            <w:pPr>
              <w:spacing w:after="0"/>
              <w:rPr>
                <w:sz w:val="1"/>
                <w:szCs w:val="1"/>
                <w:color w:val="auto"/>
              </w:rPr>
            </w:pPr>
          </w:p>
        </w:tc>
      </w:tr>
      <w:tr>
        <w:trPr>
          <w:trHeight w:val="232"/>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1920" w:type="dxa"/>
            <w:vAlign w:val="bottom"/>
          </w:tcPr>
          <w:p>
            <w:pPr>
              <w:spacing w:after="0"/>
              <w:rPr>
                <w:sz w:val="20"/>
                <w:szCs w:val="20"/>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621,588</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559,182</w:t>
            </w:r>
          </w:p>
        </w:tc>
        <w:tc>
          <w:tcPr>
            <w:tcW w:w="0" w:type="dxa"/>
            <w:vAlign w:val="bottom"/>
          </w:tcPr>
          <w:p>
            <w:pPr>
              <w:spacing w:after="0"/>
              <w:rPr>
                <w:sz w:val="1"/>
                <w:szCs w:val="1"/>
                <w:color w:val="auto"/>
              </w:rPr>
            </w:pPr>
          </w:p>
        </w:tc>
      </w:tr>
      <w:tr>
        <w:trPr>
          <w:trHeight w:val="876"/>
        </w:trPr>
        <w:tc>
          <w:tcPr>
            <w:tcW w:w="3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32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HTM</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Transferred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vMerge w:val="restart"/>
          </w:tcPr>
          <w:p>
            <w:pPr>
              <w:jc w:val="right"/>
              <w:ind w:right="691"/>
              <w:spacing w:after="0"/>
              <w:rPr>
                <w:sz w:val="20"/>
                <w:szCs w:val="20"/>
                <w:color w:val="auto"/>
              </w:rPr>
            </w:pPr>
            <w:r>
              <w:rPr>
                <w:rFonts w:ascii="Times New Roman" w:cs="Times New Roman" w:eastAsia="Times New Roman" w:hAnsi="Times New Roman"/>
                <w:sz w:val="18"/>
                <w:szCs w:val="18"/>
                <w:color w:val="auto"/>
              </w:rPr>
              <w:t>Unrecognized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251"/>
              <w:spacing w:after="0" w:line="194" w:lineRule="exact"/>
              <w:rPr>
                <w:sz w:val="20"/>
                <w:szCs w:val="20"/>
                <w:color w:val="auto"/>
              </w:rPr>
            </w:pPr>
            <w:r>
              <w:rPr>
                <w:rFonts w:ascii="Times New Roman" w:cs="Times New Roman" w:eastAsia="Times New Roman" w:hAnsi="Times New Roman"/>
                <w:sz w:val="18"/>
                <w:szCs w:val="18"/>
                <w:color w:val="auto"/>
              </w:rPr>
              <w:t>Carrying</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Unrealized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 (1)</w:t>
            </w: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ACL</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Gains</w:t>
            </w:r>
          </w:p>
        </w:tc>
        <w:tc>
          <w:tcPr>
            <w:tcW w:w="24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6"/>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HTM</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9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309,523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BFE4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39,803</w:t>
            </w:r>
          </w:p>
        </w:tc>
        <w:tc>
          <w:tcPr>
            <w:tcW w:w="100" w:type="dxa"/>
            <w:vAlign w:val="bottom"/>
            <w:shd w:val="clear" w:color="auto" w:fill="CCEE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282,830</w:t>
            </w:r>
          </w:p>
        </w:tc>
        <w:tc>
          <w:tcPr>
            <w:tcW w:w="0" w:type="dxa"/>
            <w:vAlign w:val="bottom"/>
          </w:tcPr>
          <w:p>
            <w:pPr>
              <w:spacing w:after="0"/>
              <w:rPr>
                <w:sz w:val="1"/>
                <w:szCs w:val="1"/>
                <w:color w:val="auto"/>
              </w:rPr>
            </w:pPr>
          </w:p>
        </w:tc>
      </w:tr>
      <w:tr>
        <w:trPr>
          <w:trHeight w:val="232"/>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339,436</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301,860</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25" w:lineRule="exact"/>
        <w:rPr>
          <w:sz w:val="20"/>
          <w:szCs w:val="20"/>
          <w:color w:val="auto"/>
        </w:rPr>
      </w:pPr>
    </w:p>
    <w:p>
      <w:pPr>
        <w:jc w:val="both"/>
        <w:ind w:firstLine="640"/>
        <w:spacing w:after="0" w:line="238"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earnings.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December 31, 2025 and 2024. The decrease in unrealized losses during 2025 is primarily attributed to a decrease in interest rates since December 31, 2024. See note #3 to the Consolidated Financial Statements included within this report for further discussion.</w:t>
      </w:r>
    </w:p>
    <w:p>
      <w:pPr>
        <w:spacing w:after="0" w:line="13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w:t>
      </w:r>
    </w:p>
    <w:p>
      <w:pPr>
        <w:spacing w:after="0"/>
        <w:rPr>
          <w:sz w:val="20"/>
          <w:szCs w:val="20"/>
          <w:color w:val="auto"/>
        </w:rPr>
      </w:pPr>
      <w:r>
        <w:rPr>
          <w:rFonts w:ascii="Times New Roman" w:cs="Times New Roman" w:eastAsia="Times New Roman" w:hAnsi="Times New Roman"/>
          <w:sz w:val="18"/>
          <w:szCs w:val="18"/>
          <w:color w:val="auto"/>
        </w:rPr>
        <w:t>we recorded that amount as a recovery to the ACL. See note #3 to the Consolidated Financial Statements included within this report for further discussion.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 at Fair Value</w:t>
      </w:r>
    </w:p>
    <w:p>
      <w:pPr>
        <w:spacing w:after="0" w:line="18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With the completion of the exchange, we recorded a gain related to the Class C shares of $2.7 million based on the conversion privilege of those shares and the closing price of the Class A shares on May 3, 2024 (the exchange expiration date) of $268.49 per share. Subsequent to the exchange, we sold all of our Class C shares for net proceeds of $2.685 million. See note #11 to the Consolidated Financial Statements included within this report for further discussion.</w:t>
      </w:r>
    </w:p>
    <w:p>
      <w:pPr>
        <w:spacing w:after="0" w:line="184"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27"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and “Asset/liability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 SEGMENTS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summarizes each loan portfolio segment by (1) scheduled repayments and (2) predetermined (fixed) interest rate and/or adjustable (variable) interest rate at December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226,027</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but within five years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612,033</w:t>
            </w: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but within 15 years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1,796,434</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15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1,429,938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1,641,791</w:t>
            </w:r>
          </w:p>
        </w:tc>
      </w:tr>
      <w:tr>
        <w:trPr>
          <w:trHeight w:val="245"/>
        </w:trPr>
        <w:tc>
          <w:tcPr>
            <w:tcW w:w="5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1,524,821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4,276,285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2,190,060</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1,370,634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710,734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2,086,225</w:t>
            </w:r>
          </w:p>
        </w:tc>
      </w:tr>
      <w:tr>
        <w:trPr>
          <w:trHeight w:val="245"/>
        </w:trPr>
        <w:tc>
          <w:tcPr>
            <w:tcW w:w="5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1,524,821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4,276,285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2025, we sold $22.2 million of portfolio residential fixed and adjustable rate mortgage loans. In 2024, we sold $20.8 million of portfolio residential fixed rate mortgage loans. In 2023, we sold $56.7 million of portfolio residential fixed and adjustable rate mortgage loans. These loan sale transactions were done primarily for asset/liability management purposes.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PORTFOLIO COMPOSITION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3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Real estate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1,284,322</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farm non residential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1,056,506</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322,092</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179,857</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 residential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70,214</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579,345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542,742</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320" w:hanging="313"/>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residential and non-residential commercial loans secured by real estate.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NON-PERFORMING ASSETS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0"/>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33,074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6,991</w:t>
            </w:r>
          </w:p>
        </w:tc>
      </w:tr>
      <w:tr>
        <w:trPr>
          <w:trHeight w:val="22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432</w:t>
            </w:r>
          </w:p>
        </w:tc>
      </w:tr>
      <w:tr>
        <w:trPr>
          <w:trHeight w:val="220"/>
        </w:trPr>
        <w:tc>
          <w:tcPr>
            <w:tcW w:w="6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 total</w:t>
            </w: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33,074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7,423</w:t>
            </w: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Government guaranteed loans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9,947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2,191</w:t>
            </w:r>
          </w:p>
        </w:tc>
      </w:tr>
      <w:tr>
        <w:trPr>
          <w:trHeight w:val="22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23,127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5,232</w:t>
            </w: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569</w:t>
            </w:r>
          </w:p>
        </w:tc>
      </w:tr>
      <w:tr>
        <w:trPr>
          <w:trHeight w:val="245"/>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24,023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r>
      <w:tr>
        <w:trPr>
          <w:trHeight w:val="22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Non-performing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0.14</w:t>
            </w:r>
          </w:p>
        </w:tc>
      </w:tr>
      <w:tr>
        <w:trPr>
          <w:trHeight w:val="22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ACL</w:t>
            </w: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0.11</w:t>
            </w:r>
          </w:p>
        </w:tc>
      </w:tr>
      <w:tr>
        <w:trPr>
          <w:trHeight w:val="22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 as a percent of non-accrual loans</w:t>
            </w: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191.83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781.83</w:t>
            </w: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 as a percent of non-performing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1044.69</w:t>
            </w:r>
          </w:p>
        </w:tc>
      </w:tr>
    </w:tbl>
    <w:p>
      <w:pPr>
        <w:spacing w:after="0" w:line="200" w:lineRule="exact"/>
        <w:rPr>
          <w:sz w:val="20"/>
          <w:szCs w:val="20"/>
          <w:color w:val="auto"/>
        </w:rPr>
      </w:pPr>
    </w:p>
    <w:p>
      <w:pPr>
        <w:spacing w:after="0" w:line="32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Non-performing loans totaled $23.1 million, $6.0 million and $5.2 million at December 31, 2025, 2024 and 2023, respectively. The increase in 2025 compared to 2024 was due to a $16.5 million and $0.5 million increase in the commercial loan and mortgage loan segments. The increase in the commercial loan segment was primarily due to one relationship where the borrower is experiencing financial difficulties. The increase in 2024 as compared to 2023 was primarily due to a $1.0 million increase in the residential mortgage loan portfolio segment.</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real estate (“ORE”) and repossessed assets totaled $0.9 million at December 31, 2025, compared to $0.9 million at December 31, 2024.</w:t>
      </w:r>
    </w:p>
    <w:p>
      <w:pPr>
        <w:spacing w:after="0" w:line="22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ACL as a percent of non-accrual and non-performing loans decreased during 2025 and 2024 due primarily to the increase in non-accrual and non-performing loans partially offset by an increase in the ACL related to specific allocations.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CREDIT LOSSES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81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6"/>
        </w:trPr>
        <w:tc>
          <w:tcPr>
            <w:tcW w:w="81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Specific allocations</w:t>
            </w:r>
          </w:p>
        </w:tc>
        <w:tc>
          <w:tcPr>
            <w:tcW w:w="9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analysis allocations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45,790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10,880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0" w:type="dxa"/>
            <w:vAlign w:val="bottom"/>
          </w:tcPr>
          <w:p>
            <w:pPr>
              <w:spacing w:after="0"/>
              <w:rPr>
                <w:sz w:val="1"/>
                <w:szCs w:val="1"/>
                <w:color w:val="auto"/>
              </w:rPr>
            </w:pPr>
          </w:p>
        </w:tc>
      </w:tr>
      <w:tr>
        <w:trPr>
          <w:trHeight w:val="22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63,445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notes #1 and #4 to the Consolidated Financial Statements included within this report for further discussion on the ACL on loans.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ACL increased $4.1 million to $63.4 million at December 31, 2025 from $59.4 million at December 31, 2024 and was equal to 1.48% of total Portfolio Loans at December 31, 2025.</w:t>
      </w:r>
    </w:p>
    <w:p>
      <w:pPr>
        <w:spacing w:after="0" w:line="16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One of the three components of the ACL outlined above increased since December 31, 2024 while two decreased. The ACL related to specific allocations increased primarily due to the one commercial relationship experiencing financial difficulties mentioned above. The ACL related to pooled analysis of loans decreased $0.1 million due to certain model refinements that was partially offset by commercial loan growth and the ACL related to subjective factors decreased by $0.3 million due to a two basis point decrease in allocation rate that was partially offset by commercial loan growth. The decrease in the allocation based on subjective factors was due in part to a generally less pessimistic economic outlook including previous expectations of the impact of new tariffs.</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During 2024 two of the three components of the ACL outlined above increased while one decreased. The ACL related to pooled analysis of loans increased $5.0 million due primarily to loan growth in 2024 as well as certain model refinements during 2024 which also contributed to the $1.3 million decrease in the ACL related to subjective factors. The ACL related to specific loans increased $1.0 million due primarily to a $5.8 million increase in the amount of such loans.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 SECURITIES HTM AND UNFUNDED COMMITMENTS</w:t>
      </w: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Unfunded</w:t>
            </w:r>
          </w:p>
        </w:tc>
      </w:tr>
      <w:tr>
        <w:trPr>
          <w:trHeight w:val="240"/>
        </w:trPr>
        <w:tc>
          <w:tcPr>
            <w:tcW w:w="53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Loans</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Securities HTM</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Commitments (1)</w:t>
            </w:r>
          </w:p>
        </w:tc>
      </w:tr>
      <w:tr>
        <w:trPr>
          <w:trHeight w:val="208"/>
        </w:trPr>
        <w:tc>
          <w:tcPr>
            <w:tcW w:w="5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35"/>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1120" w:type="dxa"/>
            <w:vAlign w:val="bottom"/>
            <w:tcBorders>
              <w:top w:val="single" w:sz="8" w:color="auto"/>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firstLine="7"/>
        <w:spacing w:after="0" w:line="277" w:lineRule="auto"/>
        <w:tabs>
          <w:tab w:leader="none" w:pos="2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2025, we began classifying the provision for unfunded lending commitments in the provision for credit losses in the Consolidated Statements of Operations.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RATIO OF NET CHARGE-OFFS TO AVERAGE LOANS OUTSTANDING</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3"/>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1,768</w:t>
            </w:r>
          </w:p>
        </w:tc>
        <w:tc>
          <w:tcPr>
            <w:tcW w:w="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2,067,273</w:t>
            </w:r>
          </w:p>
        </w:tc>
        <w:tc>
          <w:tcPr>
            <w:tcW w:w="300" w:type="dxa"/>
            <w:vAlign w:val="bottom"/>
          </w:tcPr>
          <w:p>
            <w:pPr>
              <w:spacing w:after="0"/>
              <w:rPr>
                <w:sz w:val="19"/>
                <w:szCs w:val="19"/>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1,518,182</w:t>
            </w:r>
          </w:p>
        </w:tc>
        <w:tc>
          <w:tcPr>
            <w:tcW w:w="26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563,078</w:t>
            </w:r>
          </w:p>
        </w:tc>
        <w:tc>
          <w:tcPr>
            <w:tcW w:w="4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4,148,533</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67"/>
        </w:trPr>
        <w:tc>
          <w:tcPr>
            <w:tcW w:w="4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1,151</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1,769,243</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1,499,737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610,522</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3,879,502</w:t>
            </w:r>
          </w:p>
        </w:tc>
        <w:tc>
          <w:tcPr>
            <w:tcW w:w="0" w:type="dxa"/>
            <w:vAlign w:val="bottom"/>
          </w:tcPr>
          <w:p>
            <w:pPr>
              <w:spacing w:after="0"/>
              <w:rPr>
                <w:sz w:val="1"/>
                <w:szCs w:val="1"/>
                <w:color w:val="auto"/>
              </w:rPr>
            </w:pPr>
          </w:p>
        </w:tc>
      </w:tr>
      <w:tr>
        <w:trPr>
          <w:trHeight w:val="222"/>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673</w:t>
            </w:r>
          </w:p>
        </w:tc>
        <w:tc>
          <w:tcPr>
            <w:tcW w:w="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1,537,920</w:t>
            </w:r>
          </w:p>
        </w:tc>
        <w:tc>
          <w:tcPr>
            <w:tcW w:w="300" w:type="dxa"/>
            <w:vAlign w:val="bottom"/>
          </w:tcPr>
          <w:p>
            <w:pPr>
              <w:spacing w:after="0"/>
              <w:rPr>
                <w:sz w:val="19"/>
                <w:szCs w:val="19"/>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1,436,527</w:t>
            </w:r>
          </w:p>
        </w:tc>
        <w:tc>
          <w:tcPr>
            <w:tcW w:w="26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637,180</w:t>
            </w:r>
          </w:p>
        </w:tc>
        <w:tc>
          <w:tcPr>
            <w:tcW w:w="4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3,611,627</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2025, we recorded loan net charge offs of $1.61 million compared to loan net charge offs of $0.90 million in 2024 and loan net charge offs of $1.00 million in 2023. The net charge offs in 2025 and 2024 primarily reflect losses in the installment loan portfolio. The net charge offs in 2023 primarily reflect modest losses in the commercial and installment loan portfolio.</w:t>
      </w:r>
    </w:p>
    <w:p>
      <w:pPr>
        <w:spacing w:after="0" w:line="174"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Deposits and borrowings</w:t>
      </w:r>
      <w:r>
        <w:rPr>
          <w:rFonts w:ascii="Times New Roman" w:cs="Times New Roman" w:eastAsia="Times New Roman" w:hAnsi="Times New Roman"/>
          <w:sz w:val="18"/>
          <w:szCs w:val="18"/>
          <w:color w:val="auto"/>
        </w:rPr>
        <w:t>. Historically, the loyalty of our customer base has allowed us to price deposits competitively, contributing to a net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that 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7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32"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Deposits totaled $4.76 billion and $4.65 billion at December 31, 2025 and 2024, respectively. The $107.6 million increase in deposits during 2025 is due to growth in savings and interest-bearing checking deposits, reciprocal deposits and time deposits that were partially offset by decreases in non-interest bearing and brokered time deposits. Reciprocal deposits totaled $974.9 million and $907.0 million at December 31, 2025 and 2024, respectively. These deposits represent demand, money market and time deposits from our customers that have been placed through the IntraFi Network. This service allows our customers to access multi-million dollar FDIC deposit insurance on deposit balances greater than the standard FDIC insurance maximum.</w:t>
      </w:r>
    </w:p>
    <w:p>
      <w:pPr>
        <w:spacing w:after="0" w:line="144"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A reduction in core deposits would likely increase our need to rely on wholesale funding sources. Data relating to our deposit portfolios (excluding brokered time) follows: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0"/>
        </w:trPr>
        <w:tc>
          <w:tcPr>
            <w:tcW w:w="7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0"/>
        </w:trPr>
        <w:tc>
          <w:tcPr>
            <w:tcW w:w="7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980" w:type="dxa"/>
            <w:vAlign w:val="bottom"/>
          </w:tcPr>
          <w:p>
            <w:pPr>
              <w:spacing w:after="0"/>
              <w:rPr>
                <w:sz w:val="19"/>
                <w:szCs w:val="19"/>
                <w:color w:val="auto"/>
              </w:rPr>
            </w:pPr>
          </w:p>
        </w:tc>
      </w:tr>
      <w:tr>
        <w:trPr>
          <w:trHeight w:val="227"/>
        </w:trPr>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Uninsured deposits (1)</w:t>
            </w: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1,175,893</w:t>
            </w:r>
          </w:p>
        </w:tc>
        <w:tc>
          <w:tcPr>
            <w:tcW w:w="80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1,059,909</w:t>
            </w:r>
          </w:p>
        </w:tc>
      </w:tr>
      <w:tr>
        <w:trPr>
          <w:trHeight w:val="227"/>
        </w:trPr>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Uninsured deposits as a percentage of deposits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7"/>
        </w:trPr>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deposit account size</w:t>
            </w: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22.51</w:t>
            </w:r>
          </w:p>
        </w:tc>
        <w:tc>
          <w:tcPr>
            <w:tcW w:w="80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27"/>
        </w:trPr>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of top 100 largest depositors</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1,156,014</w:t>
            </w:r>
          </w:p>
        </w:tc>
        <w:tc>
          <w:tcPr>
            <w:tcW w:w="80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1,062,255</w:t>
            </w:r>
          </w:p>
        </w:tc>
      </w:tr>
      <w:tr>
        <w:trPr>
          <w:trHeight w:val="227"/>
        </w:trPr>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of top 100 depositors as a percentage of deposits</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bl>
    <w:p>
      <w:pPr>
        <w:spacing w:after="0" w:line="315" w:lineRule="exact"/>
        <w:rPr>
          <w:sz w:val="20"/>
          <w:szCs w:val="20"/>
          <w:color w:val="auto"/>
        </w:rPr>
      </w:pPr>
    </w:p>
    <w:p>
      <w:pPr>
        <w:ind w:right="100" w:firstLine="7"/>
        <w:spacing w:after="0" w:line="277"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exclude intercompany related deposits of $47.0 million and $54.8 million respectively. Uninsured deposits reported in our Call Report at December 31, 2025 and December 31, 2024 totaled $1.223 billion and $1.115 billion, respectively.</w:t>
      </w:r>
    </w:p>
    <w:p>
      <w:pPr>
        <w:spacing w:after="0" w:line="163"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time deposits to fund a portion of our interest-earning assets. The use of such alternate sources of funds supplements our core deposits and is also an integral part of our asset/liability management efforts. Other borrowings, comprised primarily of advances from the Federal Home Loan Bank (the “FHLB”), totaled $77.0 million and $45.0 million at December 31, 2025 and 2024, respectively.</w:t>
      </w:r>
    </w:p>
    <w:p>
      <w:pPr>
        <w:spacing w:after="0" w:line="181" w:lineRule="exact"/>
        <w:rPr>
          <w:sz w:val="20"/>
          <w:szCs w:val="20"/>
          <w:color w:val="auto"/>
        </w:rPr>
      </w:pPr>
    </w:p>
    <w:p>
      <w:pPr>
        <w:jc w:val="both"/>
        <w:ind w:right="100" w:firstLine="320"/>
        <w:spacing w:after="0" w:line="251" w:lineRule="auto"/>
        <w:rPr>
          <w:sz w:val="20"/>
          <w:szCs w:val="20"/>
          <w:color w:val="auto"/>
        </w:rPr>
      </w:pPr>
      <w:r>
        <w:rPr>
          <w:rFonts w:ascii="Times New Roman" w:cs="Times New Roman" w:eastAsia="Times New Roman" w:hAnsi="Times New Roman"/>
          <w:sz w:val="18"/>
          <w:szCs w:val="18"/>
          <w:color w:val="auto"/>
        </w:rPr>
        <w:t>As described above, we have utilized wholesale funding, including federal funds purchased, FRB and FHLB borrowings and brokered time deposits to augment our core deposits and fund a portion of our assets. At December 31, 2025, our use of such wholesale funding sources (including reciprocal deposits) amounted to approximately $1.07 billion, or 22.1%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time deposits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7" w:lineRule="exact"/>
        <w:rPr>
          <w:sz w:val="20"/>
          <w:szCs w:val="20"/>
          <w:color w:val="auto"/>
        </w:rPr>
      </w:pPr>
    </w:p>
    <w:p>
      <w:pPr>
        <w:jc w:val="both"/>
        <w:ind w:right="100" w:firstLine="320"/>
        <w:spacing w:after="0" w:line="241" w:lineRule="auto"/>
        <w:rPr>
          <w:sz w:val="20"/>
          <w:szCs w:val="20"/>
          <w:color w:val="auto"/>
        </w:rPr>
      </w:pPr>
      <w:r>
        <w:rPr>
          <w:rFonts w:ascii="Times New Roman" w:cs="Times New Roman" w:eastAsia="Times New Roman" w:hAnsi="Times New Roman"/>
          <w:sz w:val="18"/>
          <w:szCs w:val="18"/>
          <w:color w:val="auto"/>
        </w:rPr>
        <w:t>We have employed derivative financial instruments to manage our exposure to changes in interest rates. During 2025, 2024 and 2023, we entered into $187.2 million, $187.1 million and $134.6 million (original aggregate notional amounts), respectively, of interest rate swaps with commercial loan customers, which were offset with interest rate swaps that the Bank entered into with a broker-dealer. We recorded $2.12 million, $2.09 million and $2.05 million of fee income related to these transactions during 2025, 2024 and 2023, respectively. We entered into zero, $122.0 million, and $175.0 million (notional amounts) of certain derivative financial instruments (pay fixed interest rate swap and interest rate cap agreements) to hedge the fair value of certain loans, municipal bond securities and/or certain FHLB advances in 2025, 2024 and 2023, respectively. We also entered into $100.0 million, $250.0 million and $150.0 million (notional amount), respectfully of certain derivative financial instruments (interest rate floor and interest rate cap agreements) to manage the variability in future expected cash flows of certain commercial loans and/or short-term funding liabilities during 2025, 2024 and 2023. See note #16 to the Consolidated Financial Statements included within this report for more information on our derivative financial instruments.</w:t>
      </w:r>
    </w:p>
    <w:p>
      <w:pPr>
        <w:spacing w:after="0" w:line="182" w:lineRule="exact"/>
        <w:rPr>
          <w:sz w:val="20"/>
          <w:szCs w:val="20"/>
          <w:color w:val="auto"/>
        </w:rPr>
      </w:pPr>
    </w:p>
    <w:p>
      <w:pPr>
        <w:jc w:val="both"/>
        <w:ind w:right="100"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47"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and FRB, federal funds purchased, borrowing facilities with other banks, and access to the capital markets (for brokered time deposits). At December 31, 2025, in addition to liquidity available from our normal operating, funding and investing activities we had unused credit lines with the FHLB and FRB of approximately $749.2 million and $1,241.9 million, respectively. We also</w:t>
      </w: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had approximately $456.3 million in fair value of unpledged securities AFS and HTM at December 31, 2025, which could be pledged for an estimated additional borrowing capacity at the FHLB and FRB of approximately $428.3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DEPOSITS</w:t>
      </w:r>
      <w:r>
        <w:rPr>
          <w:rFonts w:ascii="Times New Roman" w:cs="Times New Roman" w:eastAsia="Times New Roman" w:hAnsi="Times New Roman"/>
          <w:sz w:val="23"/>
          <w:szCs w:val="23"/>
          <w:b w:val="1"/>
          <w:bCs w:val="1"/>
          <w:color w:val="auto"/>
          <w:vertAlign w:val="superscript"/>
        </w:rPr>
        <w:t>(1)</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 deposits in amounts less than $250,000 and in amounts of $250,000 or more, by time remaining until maturity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Greater than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3"/>
        </w:trPr>
        <w:tc>
          <w:tcPr>
            <w:tcW w:w="6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$250,000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463,033</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154,326</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six months through one year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152,763</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one year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23,619</w:t>
            </w:r>
          </w:p>
        </w:tc>
      </w:tr>
      <w:tr>
        <w:trPr>
          <w:trHeight w:val="24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570,322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793,741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time deposits, brokered time deposits and reciprocal time deposits</w:t>
      </w:r>
    </w:p>
    <w:p>
      <w:pPr>
        <w:spacing w:after="0" w:line="20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At December 31, 2025, we had $770.1 million of time deposits (see note #8 to the Consolidated Financial Statements) that mature in the next 12 months. Historically, a majority of these maturing time deposits are renewed by our customers. Additionally, $3.97 billion of our deposits at December 31, 2025,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AFS, our access to secured advances from the FHLB and FRB, and our ability to issue brokered time deposits.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$46.7 million as of December 31, 2025, provides sufficient liquidity resources at the parent company to meet operating expenses, to make interest payments on the subordinated debentures, and, along with dividends from the Bank, to pay projected cash dividends on our common stock.</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 the normal course of business we enter into certain contractual obligations. Such obligations include requirements to make future payments on debt and lease arrangements, contractual commitments for capital expenditures, and service contracts.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cumulative trust preferred securities and prior to the end of the third quarter of 2025, also included subordinated debt.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66"/>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0"/>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0"/>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39,586</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39,796</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78,572</w:t>
            </w: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318,777</w:t>
            </w: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205,853</w:t>
            </w:r>
          </w:p>
        </w:tc>
      </w:tr>
      <w:tr>
        <w:trPr>
          <w:trHeight w:val="22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(69,944)</w:t>
            </w:r>
          </w:p>
        </w:tc>
      </w:tr>
      <w:tr>
        <w:trPr>
          <w:trHeight w:val="22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502,951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454,686</w:t>
            </w:r>
          </w:p>
        </w:tc>
      </w:tr>
      <w:tr>
        <w:trPr>
          <w:trHeight w:val="22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541,591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533,258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and a five year call option. The initial coupon rate was 5.95% fixed for five years and then floated at the Secured Overnight Financing Rate (“SOFR”) plus 5.825% beginning May 31, 2025. These subordinated notes were presented in the Consolidated Statements of Financial Condition under the caption “Subordinated debt” and presented net of remaining unamortized deferred issuance costs that were being amortized through the maturity date into interest expense on other borrowings and subordinated debt and debentures in our Consolidated Statements of Operations. On September 2, 2025 we redeemed our $40 million floating subordinated notes. As a result, we accelerated the remaining unamortized net issuance costs of $0.36 million during the third quarter of 2025 into interest expense as described above. This redemption did not affect our status as well-capitalized for regulatory purposes or have a material impact on our liquidity resources.</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currently have four special purpose entities with $39.9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127"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December 31, 2025 and 2024.</w:t>
      </w:r>
    </w:p>
    <w:p>
      <w:pPr>
        <w:spacing w:after="0" w:line="19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Total common shareholders’ equity increased to $503.0 million at December 31, 2025 from $454.7 million at December 31, 2024. The increase is primarily due to earnings retention and a decrease in accumulated other comprehensive loss. Our tangible common equity (“TCE”) totaled $473.7 million and $424.9 million, respectively, at those same dates. Our ratio of TCE to tangible assets was 8.65% and 8.00% at December 31, 2025 and 2024, respectively. TCE and the ratio of TCE to tangible assets are non-GAAP measures. TCE represents total common equity less goodwill and other intangible assets.</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December 2025, our Board of Directors authorized the 2026 share repurchase plan. Under the terms of the 2026 share repurchase plan, we are authorized to buy back up to 1,100,000 shares, or approximately 5%, of our outstanding common stock. This repurchase plan commenced on January 1, 2026, and is expected to last through December 31, 2026.</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December 2024, our Board of Directors authorized the 2025 share repurchase plan. Under the terms of this share repurchase plan, we were authorized to buy back 1,100,000 shares, or approximately 5% of our outstanding common stock. The share repurchase plan expired on December 31, 2025. During 2025 repurchases were made through open market transactions and totaled 407,113 shares of common stock, for an aggregate purchase price of $12.4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currently pay a quarterly cash dividend on our common stock. The annual total dividends paid were $1.04, $0.96 and $0.92 per share for 2025, 2024 and 2023, respectively. We currently favor a dividend payout ratio between 30% and 50% of net income.</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of December 31, 2025 and 2024, our Bank (and holding company) continued to meet the requirements to be considered “well-capitalized” under federal regulatory standards (also see note #20 to the Consolidated Financial Statements included within this report).</w:t>
      </w:r>
    </w:p>
    <w:p>
      <w:pPr>
        <w:spacing w:after="0" w:line="16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16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85"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December 31, 2025, our longer term interest rate risk measure based on changes in economic value indicates exposure to rising rates. Interest rate sensitivity under this measure has decreased from December 31, 2024 due to a decline in asset duration, an increase in liability duration and a higher base value. Asset duration declined due to a shift in the asset mix as the Bank experienced growth in shorter duration loan balances (primarily variable rate commercial loans) along with runoff in longer duration fixed rate mortgages. The liability duration increased due to a shift in the funding mix as the Bank experienced growth in non-maturity deposit balances and a decline in short duration wholesale funding. In addition, at December 31, 2025 our simulation base-rate scenario for economic value increased from December 31, 2024. The increase was due primarily to an increase in the Bank’s tangible equity and an improvement in medium to long duration asset values given a decline in interest rates. The increase in asset values outpaced the increase in market value for longer duration deposits. We are carefully monitoring the change in our funding mix as well as the composition of our earning assets and the impact of potential future changes in interest rates on our changes in economic value and changes in net interest income. As a result, we may add some longer-term borrowings, may utilize derivatives (interest rate swaps, interest rate caps and interest rate floors) and may continue to sell some fixed rate jumbo and other portfolio mortgage loans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CHANGES IN ECONOMIC VALUE, NET INTEREST INCOME AND NET INTEREST MARGIN</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Economic</w:t>
            </w: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Value(1)</w:t>
            </w:r>
          </w:p>
        </w:tc>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51"/>
              <w:spacing w:after="0" w:line="263" w:lineRule="exact"/>
              <w:rPr>
                <w:sz w:val="20"/>
                <w:szCs w:val="20"/>
                <w:color w:val="auto"/>
              </w:rPr>
            </w:pPr>
            <w:r>
              <w:rPr>
                <w:rFonts w:ascii="Times New Roman" w:cs="Times New Roman" w:eastAsia="Times New Roman" w:hAnsi="Times New Roman"/>
                <w:sz w:val="18"/>
                <w:szCs w:val="18"/>
                <w:b w:val="1"/>
                <w:bCs w:val="1"/>
                <w:color w:val="auto"/>
                <w:w w:val="93"/>
              </w:rPr>
              <w:t>Income</w:t>
            </w:r>
            <w:r>
              <w:rPr>
                <w:rFonts w:ascii="Times New Roman" w:cs="Times New Roman" w:eastAsia="Times New Roman" w:hAnsi="Times New Roman"/>
                <w:sz w:val="23"/>
                <w:szCs w:val="23"/>
                <w:b w:val="1"/>
                <w:bCs w:val="1"/>
                <w:color w:val="auto"/>
                <w:w w:val="93"/>
                <w:vertAlign w:val="superscript"/>
              </w:rPr>
              <w:t>(2)</w:t>
            </w: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2"/>
                <w:szCs w:val="22"/>
                <w:color w:val="auto"/>
              </w:rPr>
            </w:pP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Margin(3)</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60" w:type="dxa"/>
            <w:vAlign w:val="bottom"/>
            <w:gridSpan w:val="3"/>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693,900</w:t>
            </w:r>
          </w:p>
        </w:tc>
        <w:tc>
          <w:tcPr>
            <w:tcW w:w="1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202,200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3.89 %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00" w:type="dxa"/>
            <w:vAlign w:val="bottom"/>
          </w:tcPr>
          <w:p>
            <w:pPr>
              <w:spacing w:after="0"/>
              <w:rPr>
                <w:sz w:val="19"/>
                <w:szCs w:val="19"/>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712,800</w:t>
            </w: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198,900</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728,500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196,300</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00" w:type="dxa"/>
            <w:vAlign w:val="bottom"/>
          </w:tcPr>
          <w:p>
            <w:pPr>
              <w:spacing w:after="0"/>
              <w:rPr>
                <w:sz w:val="19"/>
                <w:szCs w:val="19"/>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731,700</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194,100</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714,300</w:t>
            </w:r>
          </w:p>
        </w:tc>
        <w:tc>
          <w:tcPr>
            <w:tcW w:w="1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191,300</w:t>
            </w: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49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566,000</w:t>
            </w:r>
          </w:p>
        </w:tc>
        <w:tc>
          <w:tcPr>
            <w:tcW w:w="1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185,500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3.65 %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00" w:type="dxa"/>
            <w:vAlign w:val="bottom"/>
          </w:tcPr>
          <w:p>
            <w:pPr>
              <w:spacing w:after="0"/>
              <w:rPr>
                <w:sz w:val="19"/>
                <w:szCs w:val="19"/>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598,600</w:t>
            </w: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184,400</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627,200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182,500</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00" w:type="dxa"/>
            <w:vAlign w:val="bottom"/>
          </w:tcPr>
          <w:p>
            <w:pPr>
              <w:spacing w:after="0"/>
              <w:rPr>
                <w:sz w:val="19"/>
                <w:szCs w:val="19"/>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650,000</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181,800</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661,300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5.44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181,600</w:t>
            </w: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jc w:val="both"/>
        <w:ind w:left="320" w:hanging="313"/>
        <w:spacing w:after="0" w:line="247"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 or loan origination costs.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tax equivalent net interest income as a percent of average interest-earning assets (the “net interest margin”) under immediate parallel shifts in interest rates over the next twelve months, based upon a static Consolidated Statement of Financial Condition, which includes debt and related financial derivative instruments, and do not consider loan fees or loan origination costs.</w:t>
      </w:r>
    </w:p>
    <w:p>
      <w:pPr>
        <w:spacing w:after="0" w:line="184"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w:t>
      </w:r>
      <w:r>
        <w:rPr>
          <w:rFonts w:ascii="Times New Roman" w:cs="Times New Roman" w:eastAsia="Times New Roman" w:hAnsi="Times New Roman"/>
          <w:sz w:val="18"/>
          <w:szCs w:val="18"/>
          <w:color w:val="auto"/>
        </w:rPr>
        <w:t>See note #1 to the Consolidated Financial Statements included elsewhere in this report for details on recently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pronouncements and their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VALUATION OF FINANCIAL INSTRUMENTS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#21 to the Consolidated Financial Statements for a complete discussion on our use of fair valuation of financial instruments and the related measurement techniques.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which currently include three putative class action complaints brought against the Bank alleging that its practice of charging overdraft and other fees was not consistent with the disclosures the Bank made to consumers. These lawsuits are similar to lawsuits that have recently been filed against other financial institutions pertaining to overdraft fee disclosures. No class has been certified in any of the putative class action complaints brought against the Bank, and we believe we have valid defenses to each of the claims that have been made. The aggregate amount we have accrued for losses we consider probable as a result of all of our outstanding litigation matters is not material. However, because of the inherent uncertainty of outcomes from any litigation matter and because these types of lawsuits often result in settlement, we believe it is reasonably possible we may incur losses in addition to the amounts we have accrued. At this time, we are unable to provide an estimate of the losses that we believe are reasonably possible, primarily because we are still conducting diligence on the underlying factual issues and significant matters remain to be resolved in the litigation, including the issue of class certification.</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w:t>
      </w:r>
    </w:p>
    <w:p>
      <w:pPr>
        <w:spacing w:after="0" w:line="18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methodology for determining the ACL and related provision for credit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expected credit losses in our loan portfolio. We use a rigorous process to attempt to accurately quantify the necessary ACL and related provision for credit losses, but there can be no assurance that our modeling process will successfully identify all of the expected credit losses in our loan portfolio. As a result, we could record future provisions for credit losses that may be significantly different than the levels that we recorded in prior periods. See also notes #1 and #4 to the Consolidated Financial Statements included within this report for further discussion on the ACL.</w:t>
      </w:r>
    </w:p>
    <w:p>
      <w:pPr>
        <w:spacing w:after="0" w:line="187"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color w:val="auto"/>
        </w:rPr>
        <w:t>At December 31, 2025 and 2024, we had approximately $31.5 million and $46.8 million, respectively, of mortgage loan servicing rights capitalized on our Consolidated Statements of Financial Condition. The fair value of our capitalized mortgage loan servicing rights has been determined based on a valuation model used by an independent third party.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REPORTING</w:t>
      </w:r>
    </w:p>
    <w:p>
      <w:pPr>
        <w:spacing w:after="0" w:line="2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assessed the effectiveness of our internal control over financial reporting as of December 31, 2025. In making this assessment, we used the criteria established in the 2013 Internal Control — Integrated Framework issued by the Committee of Sponsoring Organizations of the Treadway Commission (COSO). Based on our assessment, management has concluded that as of December 31, 2025,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audit report on the effectiveness of the Company’s internal control over financial reporting as of December 31, 2025.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157480</wp:posOffset>
            </wp:positionV>
            <wp:extent cx="1931670" cy="550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931670" cy="550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157480</wp:posOffset>
            </wp:positionV>
            <wp:extent cx="677545" cy="550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7754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Kessel</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Gavin A. Mohr</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2"/>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51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7360" w:type="dxa"/>
            <w:vAlign w:val="bottom"/>
          </w:tcPr>
          <w:p>
            <w:pPr>
              <w:spacing w:after="0"/>
              <w:rPr>
                <w:sz w:val="24"/>
                <w:szCs w:val="24"/>
                <w:color w:val="auto"/>
              </w:rPr>
            </w:pPr>
          </w:p>
        </w:tc>
      </w:tr>
      <w:tr>
        <w:trPr>
          <w:trHeight w:val="232"/>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2026</w:t>
            </w:r>
          </w:p>
        </w:tc>
        <w:tc>
          <w:tcPr>
            <w:tcW w:w="7360" w:type="dxa"/>
            <w:vAlign w:val="bottom"/>
          </w:tcPr>
          <w:p>
            <w:pPr>
              <w:spacing w:after="0"/>
              <w:rPr>
                <w:sz w:val="20"/>
                <w:szCs w:val="20"/>
                <w:color w:val="auto"/>
              </w:rPr>
            </w:pPr>
          </w:p>
        </w:tc>
      </w:tr>
      <w:tr>
        <w:trPr>
          <w:trHeight w:val="921"/>
        </w:trPr>
        <w:tc>
          <w:tcPr>
            <w:tcW w:w="3880" w:type="dxa"/>
            <w:vAlign w:val="bottom"/>
          </w:tcPr>
          <w:p>
            <w:pPr>
              <w:spacing w:after="0"/>
              <w:rPr>
                <w:sz w:val="24"/>
                <w:szCs w:val="24"/>
                <w:color w:val="auto"/>
              </w:rPr>
            </w:pPr>
          </w:p>
        </w:tc>
        <w:tc>
          <w:tcPr>
            <w:tcW w:w="7360" w:type="dxa"/>
            <w:vAlign w:val="bottom"/>
          </w:tcPr>
          <w:p>
            <w:pPr>
              <w:jc w:val="right"/>
              <w:ind w:right="5431"/>
              <w:spacing w:after="0"/>
              <w:rPr>
                <w:sz w:val="20"/>
                <w:szCs w:val="20"/>
                <w:color w:val="auto"/>
              </w:rPr>
            </w:pPr>
            <w:r>
              <w:rPr>
                <w:rFonts w:ascii="Times New Roman" w:cs="Times New Roman" w:eastAsia="Times New Roman" w:hAnsi="Times New Roman"/>
                <w:sz w:val="18"/>
                <w:szCs w:val="18"/>
                <w:color w:val="auto"/>
              </w:rPr>
              <w:t>62</w:t>
            </w:r>
          </w:p>
        </w:tc>
      </w:tr>
      <w:tr>
        <w:trPr>
          <w:trHeight w:val="113"/>
        </w:trPr>
        <w:tc>
          <w:tcPr>
            <w:tcW w:w="388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 of Independent Bank Corporation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Independent Bank Corporation (the “Corporation”) as of December 31, 2025 and 2024, the related consolidated statements of operations, comprehensive income, shareholders’ equity, and cash flows for each of the years in the three-year period ended December 31, 2025, and the related notes (collectively referred to as the "financial statements"). We also have audited the Corporation’s internal control over financial reporting as of December 31, 2025,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Corporation as of December 31, 2025 and 2024, and the results of its operations and its cash flows for each of the years in the three-year period ended December 31, 2025 in conformity with accounting principles generally accepted in the United States of America. Also in our opinion, the Corporation maintained, in all material respects, effective internal control over financial reporting as of December 31, 2025, based on criteria established in Internal Control – Integrated Framework: (2013) issued by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A corporation’s internal control over financial reporting includes those policies and procedures that (1) pertain to the maintenance of records that, in reasonable detail, accurately and fairly reflect the transactions and dispositions of the assets of the corporation; (2) provide reasonable assurance that transactions are recorded as necessary to permit preparation of financial statements in accordance with generally accepted accounting principles, and that receipts and expenditures of the corporation are being made only in accordance with authorizations of management and directors of the corporation; and (3) provide reasonable assurance regarding prevention or timely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detection of unauthorized acquisition, use, or disposition of the corporation’s assets that could have a material effect on the financial statements.</w:t>
      </w:r>
    </w:p>
    <w:p>
      <w:pPr>
        <w:spacing w:after="0" w:line="24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(ACL) for loans – Subjective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1 and 4 to the Consolidated Financial Statements.</w:t>
      </w:r>
    </w:p>
    <w:p>
      <w:pPr>
        <w:spacing w:after="0" w:line="24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ACL under the current expected credit loss (“CECL”) methodology is a significant estimate recorded within the Corporation’s financial statements with a reported balance for loans of $63.4 million as of December 31, 2025. The ACL model for loans consists of three components: 1) the specific analysis of individually evaluated loans; 2) pooled analysis of loans with similar risk characteristics based on historical experience using a discounted cash flow model, adjusted for current conditions, reasonable and supportable forecasts and expected prepayments; and 3) additional allowances based on subjective factors.</w:t>
      </w:r>
    </w:p>
    <w:p>
      <w:pPr>
        <w:spacing w:after="0" w:line="21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subjective factors include consideration of the following: local and general economic business factors and trends, portfolio concentrations and changes in the size, and/or the general terms of the overall loan portfolio. Due to the significant judgment applied by management to determine the effect of the subjective factors, we identified the effect of the subjective factors on the ACL for loans as a critical audit matter as it involved a high degree of auditor judgment and required significant audit effort, including the need to involve more experienced audit personnel.</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3"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effectiveness of controls over the subjective factors used in the ACL calculation including controls addressing:</w:t>
      </w:r>
    </w:p>
    <w:p>
      <w:pPr>
        <w:spacing w:after="0" w:line="113" w:lineRule="exact"/>
        <w:rPr>
          <w:rFonts w:ascii="Times New Roman" w:cs="Times New Roman" w:eastAsia="Times New Roman" w:hAnsi="Times New Roman"/>
          <w:sz w:val="18"/>
          <w:szCs w:val="18"/>
          <w:color w:val="auto"/>
        </w:rPr>
      </w:pPr>
    </w:p>
    <w:p>
      <w:pPr>
        <w:ind w:left="1280" w:hanging="313"/>
        <w:spacing w:after="0" w:line="277"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review of the reasonableness of the significant assumptions applied in the development of the subjective factors and the relevance to the loan segment to which they are applied.</w:t>
      </w:r>
    </w:p>
    <w:p>
      <w:pPr>
        <w:spacing w:after="0" w:line="55"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Mathematical accuracy of the subjective factors applied to the loan segments in the ACL calculation.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testing management’s determination of the subjective factors used in the ACL estimate, including:</w:t>
      </w:r>
    </w:p>
    <w:p>
      <w:pPr>
        <w:spacing w:after="0" w:line="113"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developing the subjective factors, which included assessing the relevance and reliability of data used to develop the subjective factors, including evaluating their judgments and assumptions for reasonableness. Among other procedures, our evaluation considered evidence from internal and external sources.</w:t>
      </w:r>
    </w:p>
    <w:p>
      <w:pPr>
        <w:spacing w:after="0" w:line="69" w:lineRule="exact"/>
        <w:rPr>
          <w:rFonts w:ascii="Times New Roman" w:cs="Times New Roman" w:eastAsia="Times New Roman" w:hAnsi="Times New Roman"/>
          <w:sz w:val="18"/>
          <w:szCs w:val="18"/>
          <w:color w:val="auto"/>
        </w:rPr>
      </w:pPr>
    </w:p>
    <w:p>
      <w:pPr>
        <w:ind w:left="1280" w:hanging="313"/>
        <w:spacing w:after="0" w:line="277" w:lineRule="auto"/>
        <w:tabs>
          <w:tab w:leader="none" w:pos="12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Analytically evaluating the subjective factors for directional consistency, testing for reasonableness, and obtaining evidence for significant changes.</w:t>
      </w:r>
    </w:p>
    <w:p>
      <w:pPr>
        <w:spacing w:after="0" w:line="55"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the subjective factors applied to the loan segments in the ACL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168275</wp:posOffset>
            </wp:positionV>
            <wp:extent cx="1974215" cy="330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974215"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Crowe LLP</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2005.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155"/>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center"/>
              <w:ind w:right="26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87"/>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0" w:type="dxa"/>
            <w:vAlign w:val="bottom"/>
          </w:tcPr>
          <w:p>
            <w:pPr>
              <w:spacing w:after="0"/>
              <w:rPr>
                <w:sz w:val="16"/>
                <w:szCs w:val="16"/>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52,235</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56,984</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86,152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62,898</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138,387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119,882</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495,909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559,182</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$282,830 at December 31, 2025 and $301,860 at December 31, 2024)</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309,523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339,436</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16,099</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2,213,557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1,524,821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1,516,726</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537,907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584,735</w:t>
            </w: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Loans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4,276,285</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4,038,825</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(59,379)</w:t>
            </w: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Loans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4,212,840</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3,979,446</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37,492</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53,855</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46,796</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167,516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147,547</w:t>
            </w:r>
          </w:p>
        </w:tc>
      </w:tr>
      <w:tr>
        <w:trPr>
          <w:trHeight w:val="207"/>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5,505,720</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5,338,104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0"/>
        </w:trPr>
        <w:tc>
          <w:tcPr>
            <w:tcW w:w="81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Liabilities and Shareholders’ Equity</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991,984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1,013,647</w:t>
            </w: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2,113,260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1,995,314</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974,921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907,031</w:t>
            </w: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662,858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628,285</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109,811</w:t>
            </w: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Deposits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4,761,682</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4,654,088</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77,003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45,009</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39,586</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39,796</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104,939</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5,002,769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4,883,418</w:t>
            </w:r>
          </w:p>
        </w:tc>
      </w:tr>
      <w:tr>
        <w:trPr>
          <w:trHeight w:val="22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20,548,893 shares at December 31, 2025 and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20,895,714 shares at December 31, 2024</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307,845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318,777</w:t>
            </w: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252,794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205,853</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(69,944)</w:t>
            </w: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502,951</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454,686</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5,505,720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5,338,104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4"/>
          </w:tcPr>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gridSpan w:val="7"/>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0" w:type="dxa"/>
            <w:vAlign w:val="bottom"/>
          </w:tcPr>
          <w:p>
            <w:pPr>
              <w:spacing w:after="0"/>
              <w:rPr>
                <w:sz w:val="1"/>
                <w:szCs w:val="1"/>
                <w:color w:val="auto"/>
              </w:rPr>
            </w:pPr>
          </w:p>
        </w:tc>
      </w:tr>
      <w:tr>
        <w:trPr>
          <w:trHeight w:val="26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197,725</w:t>
            </w:r>
          </w:p>
        </w:tc>
        <w:tc>
          <w:tcPr>
            <w:tcW w:w="0" w:type="dxa"/>
            <w:vAlign w:val="bottom"/>
          </w:tcPr>
          <w:p>
            <w:pPr>
              <w:spacing w:after="0"/>
              <w:rPr>
                <w:sz w:val="1"/>
                <w:szCs w:val="1"/>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Tax-exempt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0" w:type="dxa"/>
            <w:vAlign w:val="bottom"/>
          </w:tcPr>
          <w:p>
            <w:pPr>
              <w:spacing w:after="0"/>
              <w:rPr>
                <w:sz w:val="1"/>
                <w:szCs w:val="1"/>
                <w:color w:val="auto"/>
              </w:rPr>
            </w:pPr>
          </w:p>
        </w:tc>
      </w:tr>
      <w:tr>
        <w:trPr>
          <w:trHeight w:val="25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269,737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239,677</w:t>
            </w:r>
          </w:p>
        </w:tc>
        <w:tc>
          <w:tcPr>
            <w:tcW w:w="0" w:type="dxa"/>
            <w:vAlign w:val="bottom"/>
          </w:tcPr>
          <w:p>
            <w:pPr>
              <w:spacing w:after="0"/>
              <w:rPr>
                <w:sz w:val="1"/>
                <w:szCs w:val="1"/>
                <w:color w:val="auto"/>
              </w:rPr>
            </w:pPr>
          </w:p>
        </w:tc>
      </w:tr>
      <w:tr>
        <w:trPr>
          <w:trHeight w:val="25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75,075</w:t>
            </w:r>
          </w:p>
        </w:tc>
        <w:tc>
          <w:tcPr>
            <w:tcW w:w="0" w:type="dxa"/>
            <w:vAlign w:val="bottom"/>
          </w:tcPr>
          <w:p>
            <w:pPr>
              <w:spacing w:after="0"/>
              <w:rPr>
                <w:sz w:val="1"/>
                <w:szCs w:val="1"/>
                <w:color w:val="auto"/>
              </w:rPr>
            </w:pPr>
          </w:p>
        </w:tc>
      </w:tr>
      <w:tr>
        <w:trPr>
          <w:trHeight w:val="25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0" w:type="dxa"/>
            <w:vAlign w:val="bottom"/>
          </w:tcPr>
          <w:p>
            <w:pPr>
              <w:spacing w:after="0"/>
              <w:rPr>
                <w:sz w:val="1"/>
                <w:szCs w:val="1"/>
                <w:color w:val="auto"/>
              </w:rPr>
            </w:pPr>
          </w:p>
        </w:tc>
      </w:tr>
      <w:tr>
        <w:trPr>
          <w:trHeight w:val="253"/>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156,329</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0" w:type="dxa"/>
            <w:vAlign w:val="bottom"/>
          </w:tcPr>
          <w:p>
            <w:pPr>
              <w:spacing w:after="0"/>
              <w:rPr>
                <w:sz w:val="1"/>
                <w:szCs w:val="1"/>
                <w:color w:val="auto"/>
              </w:rPr>
            </w:pPr>
          </w:p>
        </w:tc>
      </w:tr>
      <w:tr>
        <w:trPr>
          <w:trHeight w:val="253"/>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150,119</w:t>
            </w: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0" w:type="dxa"/>
            <w:vAlign w:val="bottom"/>
          </w:tcPr>
          <w:p>
            <w:pPr>
              <w:spacing w:after="0"/>
              <w:rPr>
                <w:sz w:val="1"/>
                <w:szCs w:val="1"/>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loans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253"/>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w:t>
            </w: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78,965</w:t>
            </w:r>
          </w:p>
        </w:tc>
        <w:tc>
          <w:tcPr>
            <w:tcW w:w="0" w:type="dxa"/>
            <w:vAlign w:val="bottom"/>
          </w:tcPr>
          <w:p>
            <w:pPr>
              <w:spacing w:after="0"/>
              <w:rPr>
                <w:sz w:val="1"/>
                <w:szCs w:val="1"/>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5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127,119</w:t>
            </w:r>
          </w:p>
        </w:tc>
        <w:tc>
          <w:tcPr>
            <w:tcW w:w="0" w:type="dxa"/>
            <w:vAlign w:val="bottom"/>
          </w:tcPr>
          <w:p>
            <w:pPr>
              <w:spacing w:after="0"/>
              <w:rPr>
                <w:sz w:val="1"/>
                <w:szCs w:val="1"/>
                <w:color w:val="auto"/>
              </w:rPr>
            </w:pPr>
          </w:p>
        </w:tc>
      </w:tr>
      <w:tr>
        <w:trPr>
          <w:trHeight w:val="253"/>
        </w:trPr>
        <w:tc>
          <w:tcPr>
            <w:tcW w:w="6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73,676</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0" w:type="dxa"/>
            <w:vAlign w:val="bottom"/>
          </w:tcPr>
          <w:p>
            <w:pPr>
              <w:spacing w:after="0"/>
              <w:rPr>
                <w:sz w:val="1"/>
                <w:szCs w:val="1"/>
                <w:color w:val="auto"/>
              </w:rPr>
            </w:pPr>
          </w:p>
        </w:tc>
      </w:tr>
      <w:tr>
        <w:trPr>
          <w:trHeight w:val="278"/>
        </w:trPr>
        <w:tc>
          <w:tcPr>
            <w:tcW w:w="6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948"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948"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40" w:type="dxa"/>
            <w:vAlign w:val="bottom"/>
            <w:gridSpan w:val="5"/>
          </w:tcPr>
          <w:p>
            <w:pPr>
              <w:ind w:left="2940"/>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COMPREHENSIVE INCOME</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40"/>
        </w:trPr>
        <w:tc>
          <w:tcPr>
            <w:tcW w:w="6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68,541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arising during period</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11,082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22,094</w:t>
            </w: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net unrealized losses on securities transferred to held to maturity</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Reclassification adjustments for losses included in earnings</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195"/>
        </w:trPr>
        <w:tc>
          <w:tcPr>
            <w:tcW w:w="6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on securities available for</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45"/>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14,641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25,879</w:t>
            </w:r>
          </w:p>
        </w:tc>
      </w:tr>
      <w:tr>
        <w:trPr>
          <w:trHeight w:val="247"/>
        </w:trPr>
        <w:tc>
          <w:tcPr>
            <w:tcW w:w="6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r>
      <w:tr>
        <w:trPr>
          <w:trHeight w:val="195"/>
        </w:trPr>
        <w:tc>
          <w:tcPr>
            <w:tcW w:w="6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on securities available for</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45"/>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 net of tax</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11,566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20,444</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losses arising during period</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expense recognized in earnings</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195"/>
        </w:trPr>
        <w:tc>
          <w:tcPr>
            <w:tcW w:w="6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on derivative</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45"/>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instruments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7"/>
        </w:trPr>
        <w:tc>
          <w:tcPr>
            <w:tcW w:w="6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95"/>
        </w:trPr>
        <w:tc>
          <w:tcPr>
            <w:tcW w:w="6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on derivative</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9"/>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instruments, net of tax</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12,256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w:t>
            </w:r>
          </w:p>
        </w:tc>
      </w:tr>
      <w:tr>
        <w:trPr>
          <w:trHeight w:val="278"/>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80,797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60" w:type="dxa"/>
            <w:vAlign w:val="bottom"/>
            <w:gridSpan w:val="10"/>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4"/>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Pr>
          <w:p>
            <w:pPr>
              <w:spacing w:after="0"/>
              <w:rPr>
                <w:sz w:val="17"/>
                <w:szCs w:val="17"/>
                <w:color w:val="auto"/>
              </w:rPr>
            </w:pPr>
          </w:p>
        </w:tc>
        <w:tc>
          <w:tcPr>
            <w:tcW w:w="1400" w:type="dxa"/>
            <w:vAlign w:val="bottom"/>
          </w:tcPr>
          <w:p>
            <w:pPr>
              <w:jc w:val="center"/>
              <w:ind w:right="91"/>
              <w:spacing w:after="0" w:line="201" w:lineRule="exact"/>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0"/>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7"/>
                <w:szCs w:val="17"/>
                <w:color w:val="auto"/>
              </w:rPr>
            </w:pPr>
          </w:p>
        </w:tc>
        <w:tc>
          <w:tcPr>
            <w:tcW w:w="140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7"/>
                <w:szCs w:val="17"/>
                <w:color w:val="auto"/>
              </w:rPr>
            </w:pPr>
          </w:p>
        </w:tc>
        <w:tc>
          <w:tcPr>
            <w:tcW w:w="1400" w:type="dxa"/>
            <w:vAlign w:val="bottom"/>
          </w:tcPr>
          <w:p>
            <w:pPr>
              <w:jc w:val="center"/>
              <w:ind w:right="91"/>
              <w:spacing w:after="0" w:line="201" w:lineRule="exact"/>
              <w:rPr>
                <w:sz w:val="20"/>
                <w:szCs w:val="20"/>
                <w:color w:val="auto"/>
              </w:rPr>
            </w:pPr>
            <w:r>
              <w:rPr>
                <w:rFonts w:ascii="Times New Roman" w:cs="Times New Roman" w:eastAsia="Times New Roman" w:hAnsi="Times New Roman"/>
                <w:sz w:val="18"/>
                <w:szCs w:val="18"/>
                <w:b w:val="1"/>
                <w:bCs w:val="1"/>
                <w:color w:val="auto"/>
                <w:w w:val="98"/>
              </w:rPr>
              <w:t>Shareholders’</w:t>
            </w:r>
          </w:p>
        </w:tc>
      </w:tr>
      <w:tr>
        <w:trPr>
          <w:trHeight w:val="256"/>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Equity</w:t>
            </w:r>
          </w:p>
        </w:tc>
      </w:tr>
      <w:tr>
        <w:trPr>
          <w:trHeight w:val="247"/>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1400" w:type="dxa"/>
            <w:vAlign w:val="bottom"/>
          </w:tcPr>
          <w:p>
            <w:pPr>
              <w:spacing w:after="0"/>
              <w:rPr>
                <w:sz w:val="21"/>
                <w:szCs w:val="21"/>
                <w:color w:val="auto"/>
              </w:rPr>
            </w:pP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1, 2023</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2023</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59,067</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$0.92 per share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298,601 shares of common stock</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28,583 shares of common stock</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77,211 shares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1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Share based compensation withholding obligation (withholding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35,531 shares of 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r>
      <w:tr>
        <w:trPr>
          <w:trHeight w:val="25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404,449</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2024</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66,790</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$0.96 per share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6,141 shares of common stock</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95,966 shares of</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0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Share based compensation withholding obligation (withholding</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42,026 shares of 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5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318,777</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454,686</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2025</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68,541</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$1.04 per share</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407,113 shares of common stock</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0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93,336 shares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1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Share based compensation withholding obligation (withholding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35,837 shares of 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w:t>
            </w:r>
          </w:p>
        </w:tc>
      </w:tr>
      <w:tr>
        <w:trPr>
          <w:trHeight w:val="27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502,951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68,541</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59,067</w:t>
            </w:r>
          </w:p>
        </w:tc>
        <w:tc>
          <w:tcPr>
            <w:tcW w:w="0" w:type="dxa"/>
            <w:vAlign w:val="bottom"/>
          </w:tcPr>
          <w:p>
            <w:pPr>
              <w:spacing w:after="0"/>
              <w:rPr>
                <w:sz w:val="1"/>
                <w:szCs w:val="1"/>
                <w:color w:val="auto"/>
              </w:rPr>
            </w:pP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equity securities at fair value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356,207</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(345,144)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(370,575)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(334,174)</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loan fees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 and</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10,019</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equity securities at fair value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on sales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on sale of capitalized mortgage loan servicing rights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in accrued income and other assets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(14,617)</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expenses and other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Adjustments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16,522</w:t>
            </w:r>
          </w:p>
        </w:tc>
        <w:tc>
          <w:tcPr>
            <w:tcW w:w="0" w:type="dxa"/>
            <w:vAlign w:val="bottom"/>
          </w:tcPr>
          <w:p>
            <w:pPr>
              <w:spacing w:after="0"/>
              <w:rPr>
                <w:sz w:val="1"/>
                <w:szCs w:val="1"/>
                <w:color w:val="auto"/>
              </w:rPr>
            </w:pPr>
          </w:p>
        </w:tc>
      </w:tr>
      <w:tr>
        <w:trPr>
          <w:trHeight w:val="182"/>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76,662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63,151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75,589</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held to maturity previously charged off</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122,806</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22,317</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Federal Home Loan Bank stock</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(261,131)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(361,609)</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56,561</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 death benefits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capitalized mortgage loan servicing rights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(122,497)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(118,159)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(162,945)</w:t>
            </w:r>
          </w:p>
        </w:tc>
        <w:tc>
          <w:tcPr>
            <w:tcW w:w="0" w:type="dxa"/>
            <w:vAlign w:val="bottom"/>
          </w:tcPr>
          <w:p>
            <w:pPr>
              <w:spacing w:after="0"/>
              <w:rPr>
                <w:sz w:val="1"/>
                <w:szCs w:val="1"/>
                <w:color w:val="auto"/>
              </w:rPr>
            </w:pP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243,810</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decrease in other borrowings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(60,980)</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(275,000)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subordinated debt</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(19,327)</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82"/>
        </w:trPr>
        <w:tc>
          <w:tcPr>
            <w:tcW w:w="6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64,340</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182,766</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95,410</w:t>
            </w:r>
          </w:p>
        </w:tc>
        <w:tc>
          <w:tcPr>
            <w:tcW w:w="0" w:type="dxa"/>
            <w:vAlign w:val="bottom"/>
          </w:tcPr>
          <w:p>
            <w:pPr>
              <w:spacing w:after="0"/>
              <w:rPr>
                <w:sz w:val="1"/>
                <w:szCs w:val="1"/>
                <w:color w:val="auto"/>
              </w:rPr>
            </w:pPr>
          </w:p>
        </w:tc>
      </w:tr>
      <w:tr>
        <w:trPr>
          <w:trHeight w:val="189"/>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138,387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6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90,939</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79,101</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 income taxes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028"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028"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credit losses and the valuation of capitalized mortgage loan servicing rights.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that are served by our Bank’s branches and loan production offices as well as one loan production facility in Ohio. At December 31, 2025, 44.3% of our Bank’s loan portfolio was secured by real estate.</w:t>
      </w:r>
    </w:p>
    <w:p>
      <w:pPr>
        <w:spacing w:after="0" w:line="17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Independent Bank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income, expenses, assets and liabilities of the subsidiaries are included in the respective accounts of the consolidated financial statements, after elimination of all intercompany accounts and transactions.</w:t>
      </w:r>
    </w:p>
    <w:p>
      <w:pPr>
        <w:spacing w:after="0" w:line="173"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 We have evaluated subsequent events for recognition and disclosure through March 6, 2026, which is the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were available to be issued.</w:t>
      </w:r>
    </w:p>
    <w:p>
      <w:pPr>
        <w:spacing w:after="0" w:line="15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To prepare consolidated financial statements in conformity with accounting principles generally accepted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 management makes estimates and assumptions based on available information. These estimates and assumptions affect the amounts reported in the consolidated financial statements and the disclosures provided, and actual results could differ.</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For purposes of reporting cash flows, cash and cash equivalents include cash on hand, amounts due from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bearing deposits and federal funds sold. Generally, federal funds are sold for one-day periods. We report net cash flows for customer loan and deposit transactions and for short-term borrowings classified as other borrowings.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INTEREST BEARING DEPOSITS </w:t>
      </w:r>
      <w:r>
        <w:rPr>
          <w:rFonts w:ascii="Times New Roman" w:cs="Times New Roman" w:eastAsia="Times New Roman" w:hAnsi="Times New Roman"/>
          <w:sz w:val="18"/>
          <w:szCs w:val="18"/>
          <w:color w:val="auto"/>
        </w:rPr>
        <w:t>— Interest bearing deposits consist of overnight deposits with the Federal Reserve Bank.</w:t>
      </w:r>
    </w:p>
    <w:p>
      <w:pPr>
        <w:spacing w:after="0" w:line="220"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 Mortgage loans originated and intended for sale in the secondary market are carried at fair value. Fair value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realized gains and losses, are recorded in current earnings.</w:t>
      </w:r>
    </w:p>
    <w:p>
      <w:pPr>
        <w:spacing w:after="0" w:line="15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OPERATING SEGMENTS </w:t>
      </w:r>
      <w:r>
        <w:rPr>
          <w:rFonts w:ascii="Times New Roman" w:cs="Times New Roman" w:eastAsia="Times New Roman" w:hAnsi="Times New Roman"/>
          <w:sz w:val="18"/>
          <w:szCs w:val="18"/>
          <w:color w:val="auto"/>
        </w:rPr>
        <w:t>— While chief decision-makers monitor the revenue streams of our various products and services, operations are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financial performance is evaluated as one single unit. Discrete financial information is not available other than on a consolidated basis for material lines of business.</w:t>
      </w:r>
    </w:p>
    <w:p>
      <w:pPr>
        <w:spacing w:after="0" w:line="173"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CAPITALIZED MORTGAGE LOAN SERVICING RIGHTS </w:t>
      </w:r>
      <w:r>
        <w:rPr>
          <w:rFonts w:ascii="Times New Roman" w:cs="Times New Roman" w:eastAsia="Times New Roman" w:hAnsi="Times New Roman"/>
          <w:sz w:val="17"/>
          <w:szCs w:val="17"/>
          <w:color w:val="auto"/>
        </w:rPr>
        <w:t>— We account for our capitalized mortgage loan servicing rights under the fair value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accounting. We recognize as separate assets the rights to service mortgage 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 of capitalized mortgage loan servicing rights are subject to significant fluctuations as a result of changes in estimated and actual prepayment speeds and default rates and losses.</w:t>
      </w:r>
    </w:p>
    <w:p>
      <w:pPr>
        <w:spacing w:after="0" w:line="17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of capitalized mortgage loan servicing rights, totaled $6.8 million, $8.9 million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$8.8 million for the years ended December 31, 2025, 2024 and 2023, respectively. Late fees and ancillary fees related to loan servicing are not material.</w:t>
      </w:r>
    </w:p>
    <w:p>
      <w:pPr>
        <w:spacing w:after="0" w:line="229"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TRANSFERS OF FINANCIAL ASSETS </w:t>
      </w:r>
      <w:r>
        <w:rPr>
          <w:rFonts w:ascii="Times New Roman" w:cs="Times New Roman" w:eastAsia="Times New Roman" w:hAnsi="Times New Roman"/>
          <w:sz w:val="18"/>
          <w:szCs w:val="18"/>
          <w:color w:val="auto"/>
        </w:rPr>
        <w:t>— Transfers of financial assets are accounted for as sales when control over the assets has been relinquished.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transferred assets is deemed to be surrendered when the assets have been isolated from us, the transferee obtains the right (free of conditions that constrain it from taking advantage of that right) to pledge or exchange the transferred assets, and we do not maintain effective control over the transferred assets through an agreement to repurchase them before their maturity.</w:t>
      </w:r>
    </w:p>
    <w:p>
      <w:pPr>
        <w:spacing w:after="0" w:line="17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 We classify our securities as equity, trading, held to maturity ("HTM") or available for sale ("AFS"). Equity securities are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certain equity stocks and are reported at fair value with realized and unrealized gains and losses included in earnings. Trading securities are bought and held principally for the purpose of selling them in the near term and are reported at fair value with realized and unrealized gains and losses included in earnings. Securities HTM represent those securities for which we have the positive intent and ability to hold until maturity and are reported at cost, adjusted for amortization of premiums and accretion of discounts computed on the level-yield method. We did not have any equity securities or trading securities at December 31, 2025 and 2024. Securities AFS represent those securities not classified as equity, trading or HTM and are reported at fair value with unrealized gains and losses, net of applicable income taxes reported in other comprehensive income.</w:t>
      </w:r>
    </w:p>
    <w:p>
      <w:pPr>
        <w:spacing w:after="0" w:line="189"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earnings. No securities AFS met these two criteria during the periods presented.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allowance for credit losses ("ACL") is recorded, limited to the amount that the fair value of the security is less than its amortized cost basis. Any impairment that has not been recorded through an ACL is recognized in other comprehensive income, net of applicable taxes.</w:t>
      </w:r>
    </w:p>
    <w:p>
      <w:pPr>
        <w:spacing w:after="0" w:line="156" w:lineRule="exact"/>
        <w:rPr>
          <w:sz w:val="20"/>
          <w:szCs w:val="20"/>
          <w:color w:val="auto"/>
        </w:rPr>
      </w:pPr>
    </w:p>
    <w:p>
      <w:pPr>
        <w:jc w:val="both"/>
        <w:ind w:firstLine="320"/>
        <w:spacing w:after="0" w:line="235" w:lineRule="auto"/>
        <w:rPr>
          <w:sz w:val="20"/>
          <w:szCs w:val="20"/>
          <w:color w:val="auto"/>
        </w:rPr>
      </w:pPr>
      <w:r>
        <w:rPr>
          <w:rFonts w:ascii="Times New Roman" w:cs="Times New Roman" w:eastAsia="Times New Roman" w:hAnsi="Times New Roman"/>
          <w:sz w:val="18"/>
          <w:szCs w:val="18"/>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losses. We measure expected credit losses on securities HTM on a collective basis by major security type with each type sharing similar risk characteristics, and we consider historical credit loss information. Accrued interest receivable on securities HTM is excluded from the estimate of credit losses and is included in accrued income and other assets in the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w:t>
      </w:r>
    </w:p>
    <w:p>
      <w:pPr>
        <w:spacing w:after="0" w:line="20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Gains and losses realized on the sale of securities available for sale are determined using the specific identification method and are recognized on a trade-date basis.</w:t>
      </w:r>
    </w:p>
    <w:p>
      <w:pPr>
        <w:spacing w:after="0" w:line="16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FEDERAL HOME LOAN BANK (‘‘FHLB’’) STOCK </w:t>
      </w:r>
      <w:r>
        <w:rPr>
          <w:rFonts w:ascii="Times New Roman" w:cs="Times New Roman" w:eastAsia="Times New Roman" w:hAnsi="Times New Roman"/>
          <w:sz w:val="18"/>
          <w:szCs w:val="18"/>
          <w:color w:val="auto"/>
        </w:rPr>
        <w:t>— Our Bank subsidiary is a member of the FHLB system. Members are required to own a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177"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FEDERAL RESERVE BANK (‘‘FRB’’) STOCK </w:t>
      </w:r>
      <w:r>
        <w:rPr>
          <w:rFonts w:ascii="Times New Roman" w:cs="Times New Roman" w:eastAsia="Times New Roman" w:hAnsi="Times New Roman"/>
          <w:sz w:val="18"/>
          <w:szCs w:val="18"/>
          <w:color w:val="auto"/>
        </w:rPr>
        <w:t>— Our Bank subsidiary is a member of its regional Federal Reserve Bank. FRB stock is carried at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 restricted security, and periodically evaluated for impairment based 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ultimate recovery of par value. Both cash and stock dividends are reported as income in interest income-other investments on the Consolidated Statements of Operations.</w:t>
      </w:r>
    </w:p>
    <w:p>
      <w:pPr>
        <w:spacing w:after="0" w:line="161"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LOAN REVENUE RECOGNITION </w:t>
      </w:r>
      <w:r>
        <w:rPr>
          <w:rFonts w:ascii="Times New Roman" w:cs="Times New Roman" w:eastAsia="Times New Roman" w:hAnsi="Times New Roman"/>
          <w:sz w:val="17"/>
          <w:szCs w:val="17"/>
          <w:color w:val="auto"/>
        </w:rPr>
        <w:t>— Interest on loans is accrued based on the principal amounts outstanding. In general, the accrual of interest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discontinued when a loan becomes 90 days past due for commercial loans and 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portfolio segments is based on the actual number of days past due as required by the contractual terms of the loan agreement while delinquency status for mortgage loan portfolio segment classes is based on the number of payments past due.</w:t>
      </w:r>
    </w:p>
    <w:p>
      <w:pPr>
        <w:spacing w:after="0" w:line="17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17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Our loan portfolio is disaggregated into segments for purposes of determining the ACL which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mortgage and installment loans. These segments are further disaggregated into classes for purposes of monitoring and assessing credit quality based on certain risk characteristics. Classes within the commercial loan segment include (i) commercial and industrial and (ii) commercial real estate. Classes within the mortgage loan segment include (i) 1-4 family owner occupied - jumbo, (ii) 1-4 family owner occupied - non-jumbo, (iii) 1-4 family non-owner occupied (iv) 1-4 family - 2nd lien and (v) resort lending. Classes within the installment loan segment include (i) boat lending, (ii) recreational vehicle lending, and (iii)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ACL by portfolio segment and credit quality information by class, see note #4.</w:t>
      </w:r>
    </w:p>
    <w:p>
      <w:pPr>
        <w:spacing w:after="0" w:line="18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estimate the ACL based on relevant available information from both internal and external sources, including historical loss trends, current conditions and forecasts, specific analysis of individual loans, and other relevant and appropriate factors. The ACL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9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8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86"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9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87"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Increases in the ACL are recorded by a provision for credit losses charged to expense. Although we periodically allocate portions of the ACL to specific loans and loan portfolios, the entire ACL is available for losses.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generally charge-off commercial, homogenous residential mortgage and installment loans when they are deemed uncollectible or reach a predetermined number of days past due based on loan product, industry practice and other factors. Collection efforts may continue and recoveries may occur after a loan is charged against the ACL.</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6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stated at cost less accumulated depreciation and amortization.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is computed using the straight-line method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177"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Leases are classified as operating or finance leases at the lease commencement date. We lease certain locations and equipment. We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on the balance sheet in the form of a lease liability for the present value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future lease payments under the lease terms and a right-of-use asset equal to the lease liability adjusted for items such as deferred or prepaid rent, lease incentives, and any impairment of the right-of-use asset. The discount rate used in determining the lease liability is based upon incremental borrowing rates we could obtain for similar loans as of the date of commencement or renewal. We do not record short term leases with an initial lease term of one year or less on the Consolidated Statements of Financial Condition.</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lease inception, we determine the lease term by considering the noncancelable lease term and all optional renewal periods that we are reasonably certain to renew. The lease term is also used to calculate straight-line lease expense. Leasehold improvements are amortized over the shorter of the useful life and the estimated lease term. Our leases do not contain residual value guarantees or material variable lease payments.</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Operating lease expense consists of a single lease cost allocated over the remaining lease term on a straight-line basis, variable lease expense, and any impairment of the right-of-use asset. Lease expense is included in occupancy, net in the Consolidated Statements of Operations.</w:t>
      </w:r>
    </w:p>
    <w:p>
      <w:pPr>
        <w:spacing w:after="0" w:line="161"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BANK OWNED LIFE INSURANCE </w:t>
      </w:r>
      <w:r>
        <w:rPr>
          <w:rFonts w:ascii="Times New Roman" w:cs="Times New Roman" w:eastAsia="Times New Roman" w:hAnsi="Times New Roman"/>
          <w:sz w:val="18"/>
          <w:szCs w:val="18"/>
          <w:color w:val="auto"/>
        </w:rPr>
        <w:t>— We have purchased a group flexible premium non-participating variable life insurance contract on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250 lives (who were salaried employees at the time we purchased the contract) in order to recover the cost of providing certain employee benefits. Bank owned life insurance is recorded at its cash surrender value or the amount that can be currently realized.</w:t>
      </w:r>
    </w:p>
    <w:p>
      <w:pPr>
        <w:spacing w:after="0" w:line="173"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REAL ESTATE AND REPOSSESSED ASSETS </w:t>
      </w:r>
      <w:r>
        <w:rPr>
          <w:rFonts w:ascii="Times New Roman" w:cs="Times New Roman" w:eastAsia="Times New Roman" w:hAnsi="Times New Roman"/>
          <w:sz w:val="18"/>
          <w:szCs w:val="18"/>
          <w:color w:val="auto"/>
        </w:rPr>
        <w:t>— Other real estate at the time of acquisition is recorded at fair value, less estimated costs to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becomes the property’s new basis. Fair value is typically determined by a third party appraisal of the property. Any write-downs at date of acquisition are charged to the ACL. Expense incurred in maintaining other real estate and subsequent write-downs to reflect declines in value and gains or losses on the sale of other real estate are recorded in non-interest expense in the Consolidated Statements of Operations. Non-real estate repossessed assets are treated in a similar manner.</w:t>
      </w:r>
    </w:p>
    <w:p>
      <w:pPr>
        <w:spacing w:after="0" w:line="18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OTHER INTANGIBLES </w:t>
      </w:r>
      <w:r>
        <w:rPr>
          <w:rFonts w:ascii="Times New Roman" w:cs="Times New Roman" w:eastAsia="Times New Roman" w:hAnsi="Times New Roman"/>
          <w:sz w:val="18"/>
          <w:szCs w:val="18"/>
          <w:color w:val="auto"/>
        </w:rPr>
        <w:t>— Other intangible assets consist of core deposits. They are initially measured at fair value and then are amortized on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and accelerated methods over their estimated useful lives, which range from 10 to 15 years.</w:t>
      </w:r>
    </w:p>
    <w:p>
      <w:pPr>
        <w:spacing w:after="0" w:line="15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arises from business combinations and is generally determined as the excess of the fair value of the consideration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fair value of the net assets acquired and liabilities assumed as of the acquisition date. Goodwill acquired in a purchase business combination and determined to have an indefinite useful life is not amortized, but tested for impairment at least annually or more frequently if events and circumstances exists that indicate that a goodwill impairment test should be performed. We have selected December 31 as the date to perform the annual impairment test. Goodwill is the only intangible asset with an indefinite life on our Consolidated Statements of Financial Condition.</w:t>
      </w:r>
    </w:p>
    <w:p>
      <w:pPr>
        <w:spacing w:after="0" w:line="181"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We employ the asset and liability method of accounting for income taxes. This method establishes deferred tax assets and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16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recognize interest and/or penalties related to income tax matters in income tax expense in the Consolidated Statements of Operations.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file a consolidated federal income tax return. Intercompany tax liabilities are settled as if each subsidiary filed a separate return.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COMMITMENTS TO EXTEND CREDIT AND RELATED FINANCIAL INSTRUMENTS </w:t>
      </w:r>
      <w:r>
        <w:rPr>
          <w:rFonts w:ascii="Times New Roman" w:cs="Times New Roman" w:eastAsia="Times New Roman" w:hAnsi="Times New Roman"/>
          <w:sz w:val="18"/>
          <w:szCs w:val="18"/>
          <w:color w:val="auto"/>
        </w:rPr>
        <w:t>— Financial instruments may include commitments to extend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ACL.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the provision for credit losses (beginning in the fourth quarter of 2025) and non-interest expense – costs related to unfunded lending commitments in our Consolidated Statements of Operations (prior to the fourth quarter of 2025).</w:t>
      </w:r>
    </w:p>
    <w:p>
      <w:pPr>
        <w:spacing w:after="0" w:line="187"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record derivatives on our Consolidated Statements of Financial Condition as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their fair value. The accounting for increases and decreases in the value of derivatives depends upon the use of derivatives and whether the derivatives qualify for hedge accounting.</w:t>
      </w:r>
    </w:p>
    <w:p>
      <w:pPr>
        <w:spacing w:after="0" w:line="175"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interest income in our Consolidated Statements of Operations. For a Cash Flow Hedge, the gain or loss on the derivative is reported in other comprehensive income and is reclassified into earnings in the same periods during which the hedged transaction affects earnings. For instruments with no hedging designation, the gain or loss on the derivative is reported in earnings. These free standing instruments primarily consist of (i) mortgage banking related derivatives and include rate-lock loan commitments to fund mortgage loans (interest rate locks) to be sold into the secondary market and mandatory forward commitments for the future delivery of these mortgage loans and (ii) certain pay-fixed and pay-variable interest rate swap agreements related to commercial loan customers.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w:t>
      </w:r>
    </w:p>
    <w:p>
      <w:pPr>
        <w:spacing w:after="0" w:line="19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net interest income in the Consolidated Statements of Operations. Net cash settlements on derivatives that do not qualify for hedge accounting are reported in non-interest income (mortgage banking related derivatives) or net interest income (interest rate swap agreements) in the Consolidated Statements of Operations. Cash flows on hedges are classified in the cash flow statement the same as the cash flows of the items being hedged.</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formally document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loss are amortized into earnings over the same periods which the hedged transactions will affect earnings.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 Comprehensive income consists of net income and unrealized gains and losses, net of tax, on securities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and derivative instruments classified as cash flow hedges.</w:t>
      </w:r>
    </w:p>
    <w:p>
      <w:pPr>
        <w:spacing w:after="0" w:line="159" w:lineRule="exact"/>
        <w:rPr>
          <w:sz w:val="20"/>
          <w:szCs w:val="20"/>
          <w:color w:val="auto"/>
        </w:rPr>
      </w:pPr>
    </w:p>
    <w:p>
      <w:pPr>
        <w:jc w:val="both"/>
        <w:ind w:right="20"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 Loss contingencies, including claims and legal actions arising in the ordinary course of business, are recorded as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likelihood of loss is probable and an amount or range of loss can be reasonably estimated.</w:t>
      </w:r>
    </w:p>
    <w:p>
      <w:pPr>
        <w:spacing w:after="0" w:line="15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INCOME PER COMMON SHARE </w:t>
      </w:r>
      <w:r>
        <w:rPr>
          <w:rFonts w:ascii="Times New Roman" w:cs="Times New Roman" w:eastAsia="Times New Roman" w:hAnsi="Times New Roman"/>
          <w:sz w:val="18"/>
          <w:szCs w:val="18"/>
          <w:color w:val="auto"/>
        </w:rPr>
        <w:t>— Basic net income per common share is computed by dividing net income by the weighted 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performance share units and stock units for a deferred compensation plan for non-employee directors.</w:t>
      </w:r>
    </w:p>
    <w:p>
      <w:pPr>
        <w:spacing w:after="0" w:line="181"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BASED COMPENSATION </w:t>
      </w:r>
      <w:r>
        <w:rPr>
          <w:rFonts w:ascii="Times New Roman" w:cs="Times New Roman" w:eastAsia="Times New Roman" w:hAnsi="Times New Roman"/>
          <w:sz w:val="18"/>
          <w:szCs w:val="18"/>
          <w:color w:val="auto"/>
        </w:rPr>
        <w:t>— Cost is recognized for non-vested share awards issued to employees based on the fair value of these awards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Forfeitures are recognized as they occur. Cost is also recognized for stock issued to non-employee directors. These shares vest immediately and cost is recognized during the period they are issued.</w:t>
      </w:r>
    </w:p>
    <w:p>
      <w:pPr>
        <w:spacing w:after="0" w:line="181"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At December 31, 2025, 0.1 million shares of common stock were reserved for issuance under the dividend reinvestment plan,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shares of common stock were reserved for issuance under our long-term incentive plan and 0.05 million shares of common stock were reserved for issuance under our non-employee director stock purchase plan.</w:t>
      </w:r>
    </w:p>
    <w:p>
      <w:pPr>
        <w:spacing w:after="0" w:line="173"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Fair values of financial instruments are estimated using relevant market information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as more fully disclosed in notes #21 and #22.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77"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RECLASSIFICATION </w:t>
      </w:r>
      <w:r>
        <w:rPr>
          <w:rFonts w:ascii="Times New Roman" w:cs="Times New Roman" w:eastAsia="Times New Roman" w:hAnsi="Times New Roman"/>
          <w:sz w:val="18"/>
          <w:szCs w:val="18"/>
          <w:color w:val="auto"/>
        </w:rPr>
        <w:t>— Certain amounts in the 2024 and 2023 consolidated financial statements have been reclassified to conform to the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Reclassifications had no effect on prior year net income or total shareholders' equity.</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ADOPTION OF NEW ACCOUNTING STANDARDS </w:t>
      </w:r>
      <w:r>
        <w:rPr>
          <w:rFonts w:ascii="Times New Roman" w:cs="Times New Roman" w:eastAsia="Times New Roman" w:hAnsi="Times New Roman"/>
          <w:sz w:val="18"/>
          <w:szCs w:val="18"/>
          <w:color w:val="auto"/>
        </w:rPr>
        <w:t>— In December, 2023, the Financial Accounting Standards Board ("FASB") issued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Update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reporting periods beginning after December 15, 2024, with early adoption permitted. The adoption of this ASU on January 1, 2025 resulted in additional disclosures to note #13 that quantified the impact each category in the rate reconciliation had on the statutory rate. The ASU was applied on a retrospective basis and did not have a material impact on our Consolidated Financial Statements.</w:t>
      </w:r>
    </w:p>
    <w:p>
      <w:pPr>
        <w:spacing w:after="0" w:line="14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December, 2024, the FASB issued ASU 2024-03, "Income Statement - Reporting Comprehensive Income - Expense Disaggregation Disclosures (Subtopic 220-40): Disaggregation of Income Statement Expenses". This ASU requires public business entities to disaggregate certain expense captions into specific categories in disclosures within the footnotes to the consolidated financial statements. This ASU takes effect in annual reporting periods beginning after December 15, 2026, and interim reporting periods within annual reporting periods beginning after December 15, 2027, with early adoption permitted. We do not expect the adoption of this ASU to have a material impact on our Consolidated Financial Statements.</w:t>
      </w:r>
    </w:p>
    <w:p>
      <w:pPr>
        <w:spacing w:after="0" w:line="15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November 2025, the FASB issued ASU 2025-08, "Financial Instruments—Credit Losses (Topic 326): Purchased Financial Assets". This ASU amends the accounting for purchased credit deteriorated (“PCD”) financial assets and non-purchased credit deteriorated ("non-PCD") financial assets under Topic 326. The amendments broaden the population 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that are within the scope of the gross-up approach under Topic 326 to include purchased seasoned loans ("PSL"), which are defined as non-PCD loans that are obtained in a business combination, or non-PCD loans that (1) are obtained in an asset acquisition or upon consolidation of a variable interest entity that is not a business and (2) are acquired more than 90 days after their origination date by a transferee that was not involved in their origination. This eliminates the day-one earnings impact that previously occurred for non-PCD loans. The ASU also requires separate presentation of the initial ACL for PSLs within the ACL rollforward. This ASU is effective for fiscal years beginning after December 15, 2026, with early adoption permitted. The adoption of this ASU effective October 1, 2025 did not have a material impact on our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RESTRICTIONS ON CASH AND DUE FROM BANKS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Bank's required average reserve balances to be maintained in the form of vault cash and balances with the FRB during 2025 and 2024 were zero. We do not maintain compensating balances with correspondent banks. We may also be required to maintain reserve balances related to certain mortgage banking related derivatives not classified as hedges. These balances are held at unrelated financial institutions and totaled $0.1 million and zero at December 31, 2025 and 2024,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7"/>
        </w:trPr>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AFS consist of the following at December 31: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06"/>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Amortized</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0"/>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Gains</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93"/>
              </w:rPr>
              <w:t>Losses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Fair Value</w:t>
            </w:r>
          </w:p>
        </w:tc>
      </w:tr>
      <w:tr>
        <w:trPr>
          <w:trHeight w:val="240"/>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81,065</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40,506</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280,402</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47,661</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78"/>
        </w:trPr>
        <w:tc>
          <w:tcPr>
            <w:tcW w:w="5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546,863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495,909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80" w:type="dxa"/>
            <w:vAlign w:val="bottom"/>
          </w:tcPr>
          <w:p>
            <w:pPr>
              <w:spacing w:after="0"/>
              <w:rPr>
                <w:sz w:val="21"/>
                <w:szCs w:val="21"/>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71,137</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70,035</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38,516</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288,791</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69,921</w:t>
            </w:r>
          </w:p>
        </w:tc>
      </w:tr>
      <w:tr>
        <w:trPr>
          <w:trHeight w:val="25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53"/>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621,588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559,182</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HTM consist of the following at December 31: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8"/>
                <w:szCs w:val="18"/>
                <w:color w:val="auto"/>
              </w:rPr>
              <w:t>Unrecognized</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line="192"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92" w:lineRule="exact"/>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2" w:lineRule="exact"/>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 (1)</w:t>
            </w: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23,666</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0" w:type="dxa"/>
            <w:vAlign w:val="bottom"/>
          </w:tcPr>
          <w:p>
            <w:pPr>
              <w:spacing w:after="0"/>
              <w:rPr>
                <w:sz w:val="1"/>
                <w:szCs w:val="1"/>
                <w:color w:val="auto"/>
              </w:rPr>
            </w:pPr>
          </w:p>
        </w:tc>
      </w:tr>
      <w:tr>
        <w:trPr>
          <w:trHeight w:val="173"/>
        </w:trPr>
        <w:tc>
          <w:tcPr>
            <w:tcW w:w="256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81,251</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139,409</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5"/>
        </w:trPr>
        <w:tc>
          <w:tcPr>
            <w:tcW w:w="2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282,830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w:t>
            </w:r>
          </w:p>
        </w:tc>
        <w:tc>
          <w:tcPr>
            <w:tcW w:w="0" w:type="dxa"/>
            <w:vAlign w:val="bottom"/>
          </w:tcPr>
          <w:p>
            <w:pPr>
              <w:spacing w:after="0"/>
              <w:rPr>
                <w:sz w:val="1"/>
                <w:szCs w:val="1"/>
                <w:color w:val="auto"/>
              </w:rPr>
            </w:pPr>
          </w:p>
        </w:tc>
      </w:tr>
      <w:tr>
        <w:trPr>
          <w:trHeight w:val="173"/>
        </w:trPr>
        <w:tc>
          <w:tcPr>
            <w:tcW w:w="256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84,738</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142,151</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5"/>
        </w:trPr>
        <w:tc>
          <w:tcPr>
            <w:tcW w:w="2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301,860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investments’ gross unrealized losses and fair values for securities AFS aggregated by investment type and length of time that individual securities have been at a continuous unrealized loss position, at December 31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Less Than Twelve Months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Twelve Months or More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spacing w:after="0"/>
              <w:rPr>
                <w:sz w:val="21"/>
                <w:szCs w:val="21"/>
                <w:color w:val="auto"/>
              </w:rPr>
            </w:pPr>
          </w:p>
        </w:tc>
      </w:tr>
      <w:tr>
        <w:trPr>
          <w:trHeight w:val="218"/>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6"/>
        </w:trPr>
        <w:tc>
          <w:tcPr>
            <w:tcW w:w="3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0"/>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8"/>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454,043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463,494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15"/>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5"/>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5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62,749</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earnings. No securities AFS met these two criteria during the periods presented.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net of applicable taxes. No ACL for securities AFS was needed at December 31, 2025 and 2024. Accrued interest receivable on securities AFS totaled $3.5 million and $3.9 million at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December 31, 2025 and 2024, respectively and is excluded from the estimate of credit losses and is included in accrued income and other assets in the Consolidated Statements of Financial Condition.</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securities AFS with an unrealized loss by grouping as of December 31, 2025.</w:t>
      </w:r>
    </w:p>
    <w:p>
      <w:pPr>
        <w:spacing w:after="0" w:line="22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U.S. agency, U.S. agency residential mortgage-backed and U.S. agency commercial mortgage backed securities — at December 31, 2025, we had 29 U.S. agency, 88 U.S. agency residential mortgage-backed and 9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Private label mortgage backed, other asset backed and corporate securities — at December 31, 2025, we had 48 private label mortgage backed, 39 other asset backed, and 51 corporate securities whose fair value is less than amortized cost. The unrealized losses are primarily due to credit spread widening and/or an increase in interest rates since acquisition.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Obligations of states and political subdivisions — at December 31, 2025, we had 288 municipal securities whose fair value is less than amortized cost.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unrealized losses are primarily due to an increase in interest rates since acquisition.</w:t>
      </w:r>
    </w:p>
    <w:p>
      <w:pPr>
        <w:spacing w:after="0" w:line="2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Trust preferred securities — at December 31, 2025,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At December 31, 2025 management does not intend to liquidate any of the securities AFS discussed above and it is more likely than not that we will not be required to sell these securities AFS prior to recovery of these unrealized losses.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recorded no credit related charges in our Consolidated Statements of Operations related to securities AFS during 2025, 2024, and 2023.</w:t>
      </w:r>
    </w:p>
    <w:p>
      <w:pPr>
        <w:spacing w:after="0" w:line="180"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totaled $1.5 million and $1.7 million at December 31, 2025 and 2024, respectively and is excluded from the estimate of credit losses and is included in accrued income and other assets in the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recorded that amount as a recovery to the ACL. Despite this lone security loss, the long-term historical loss rates associated with securities having similar grades as those in our portfolio have been insignificant. Furthermore, as of December 31, 2025 and 2024, there were no past due principal and interest payments associated with these securities. At those same dates an allowance for credit losses of $92,000 and $132,000,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 quarterly basis, we monitor the credit quality of securities HTM through the use of credit ratings. The carrying value of securities HTM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aggregated by credit quality follow: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Private</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vMerge w:val="restart"/>
          </w:tcPr>
          <w:p>
            <w:pPr>
              <w:jc w:val="center"/>
              <w:ind w:right="171"/>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color w:val="auto"/>
                <w:w w:val="97"/>
              </w:rPr>
              <w:t>Label</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color w:val="auto"/>
                <w:w w:val="99"/>
              </w:rPr>
              <w:t>of States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w w:val="99"/>
              </w:rPr>
              <w:t>and Political</w:t>
            </w:r>
          </w:p>
        </w:tc>
        <w:tc>
          <w:tcPr>
            <w:tcW w:w="160" w:type="dxa"/>
            <w:vAlign w:val="bottom"/>
          </w:tcPr>
          <w:p>
            <w:pPr>
              <w:spacing w:after="0"/>
              <w:rPr>
                <w:sz w:val="16"/>
                <w:szCs w:val="16"/>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7"/>
              </w:rPr>
              <w:t>Corporate</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line="187" w:lineRule="exact"/>
              <w:rPr>
                <w:sz w:val="20"/>
                <w:szCs w:val="20"/>
                <w:color w:val="auto"/>
              </w:rPr>
            </w:pPr>
            <w:r>
              <w:rPr>
                <w:rFonts w:ascii="Times New Roman" w:cs="Times New Roman" w:eastAsia="Times New Roman" w:hAnsi="Times New Roman"/>
                <w:sz w:val="18"/>
                <w:szCs w:val="18"/>
                <w:color w:val="auto"/>
                <w:w w:val="99"/>
              </w:rPr>
              <w:t>Trust</w:t>
            </w:r>
          </w:p>
        </w:tc>
        <w:tc>
          <w:tcPr>
            <w:tcW w:w="260" w:type="dxa"/>
            <w:vAlign w:val="bottom"/>
          </w:tcPr>
          <w:p>
            <w:pPr>
              <w:spacing w:after="0"/>
              <w:rPr>
                <w:sz w:val="16"/>
                <w:szCs w:val="16"/>
                <w:color w:val="auto"/>
              </w:rPr>
            </w:pPr>
          </w:p>
        </w:tc>
        <w:tc>
          <w:tcPr>
            <w:tcW w:w="1220" w:type="dxa"/>
            <w:vAlign w:val="bottom"/>
          </w:tcPr>
          <w:p>
            <w:pPr>
              <w:jc w:val="center"/>
              <w:ind w:right="171"/>
              <w:spacing w:after="0" w:line="187" w:lineRule="exact"/>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7"/>
        </w:trPr>
        <w:tc>
          <w:tcPr>
            <w:tcW w:w="3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Backed</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Preferred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rating:</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116,264</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rating:</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101,112</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36,697</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the ACL by security HTM type for the year ended December 31,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1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7"/>
              </w:rPr>
              <w:t>Private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160" w:type="dxa"/>
            <w:vAlign w:val="bottom"/>
          </w:tcPr>
          <w:p>
            <w:pPr>
              <w:jc w:val="center"/>
              <w:ind w:left="231"/>
              <w:spacing w:after="0" w:line="174" w:lineRule="exact"/>
              <w:rPr>
                <w:sz w:val="20"/>
                <w:szCs w:val="20"/>
                <w:color w:val="auto"/>
              </w:rPr>
            </w:pPr>
            <w:r>
              <w:rPr>
                <w:rFonts w:ascii="Times New Roman" w:cs="Times New Roman" w:eastAsia="Times New Roman" w:hAnsi="Times New Roman"/>
                <w:sz w:val="18"/>
                <w:szCs w:val="18"/>
                <w:color w:val="auto"/>
                <w:w w:val="97"/>
              </w:rPr>
              <w:t>Label</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color w:val="auto"/>
                <w:w w:val="99"/>
              </w:rPr>
              <w:t>of States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Trust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160" w:type="dxa"/>
            <w:vAlign w:val="bottom"/>
          </w:tcPr>
          <w:p>
            <w:pPr>
              <w:jc w:val="center"/>
              <w:ind w:left="231"/>
              <w:spacing w:after="0" w:line="174" w:lineRule="exact"/>
              <w:rPr>
                <w:sz w:val="20"/>
                <w:szCs w:val="20"/>
                <w:color w:val="auto"/>
              </w:rPr>
            </w:pPr>
            <w:r>
              <w:rPr>
                <w:rFonts w:ascii="Times New Roman" w:cs="Times New Roman" w:eastAsia="Times New Roman" w:hAnsi="Times New Roman"/>
                <w:sz w:val="18"/>
                <w:szCs w:val="18"/>
                <w:color w:val="auto"/>
                <w:w w:val="99"/>
              </w:rPr>
              <w:t>Mortgage-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color w:val="auto"/>
                <w:w w:val="99"/>
              </w:rPr>
              <w:t>and Political</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p>
        </w:tc>
        <w:tc>
          <w:tcPr>
            <w:tcW w:w="116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9"/>
              </w:rPr>
              <w:t>Backed</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Corporate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Preferred</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350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173"/>
        </w:trPr>
        <w:tc>
          <w:tcPr>
            <w:tcW w:w="350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350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securities HTM on nonaccrual or past due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securities AFS and securities HTM at December 31, 2025, by contractual maturity, follow: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AFS</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HTM</w:t>
            </w:r>
          </w:p>
        </w:tc>
        <w:tc>
          <w:tcPr>
            <w:tcW w:w="940" w:type="dxa"/>
            <w:vAlign w:val="bottom"/>
            <w:tcBorders>
              <w:bottom w:val="single" w:sz="8" w:color="auto"/>
            </w:tcBorders>
          </w:tcPr>
          <w:p>
            <w:pPr>
              <w:spacing w:after="0"/>
              <w:rPr>
                <w:sz w:val="20"/>
                <w:szCs w:val="20"/>
                <w:color w:val="auto"/>
              </w:rPr>
            </w:pPr>
          </w:p>
        </w:tc>
      </w:tr>
      <w:tr>
        <w:trPr>
          <w:trHeight w:val="167"/>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line="167" w:lineRule="exact"/>
              <w:rPr>
                <w:sz w:val="20"/>
                <w:szCs w:val="20"/>
                <w:color w:val="auto"/>
              </w:rPr>
            </w:pPr>
            <w:r>
              <w:rPr>
                <w:rFonts w:ascii="Times New Roman" w:cs="Times New Roman" w:eastAsia="Times New Roman" w:hAnsi="Times New Roman"/>
                <w:sz w:val="18"/>
                <w:szCs w:val="18"/>
                <w:color w:val="auto"/>
              </w:rPr>
              <w:t>Amortized</w:t>
            </w:r>
          </w:p>
        </w:tc>
        <w:tc>
          <w:tcPr>
            <w:tcW w:w="500" w:type="dxa"/>
            <w:vAlign w:val="bottom"/>
          </w:tcPr>
          <w:p>
            <w:pPr>
              <w:spacing w:after="0"/>
              <w:rPr>
                <w:sz w:val="14"/>
                <w:szCs w:val="14"/>
                <w:color w:val="auto"/>
              </w:rPr>
            </w:pPr>
          </w:p>
        </w:tc>
        <w:tc>
          <w:tcPr>
            <w:tcW w:w="980" w:type="dxa"/>
            <w:vAlign w:val="bottom"/>
          </w:tcPr>
          <w:p>
            <w:pPr>
              <w:jc w:val="center"/>
              <w:ind w:right="431"/>
              <w:spacing w:after="0" w:line="167" w:lineRule="exact"/>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line="167" w:lineRule="exact"/>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14"/>
                <w:szCs w:val="14"/>
                <w:color w:val="auto"/>
              </w:rPr>
            </w:pPr>
          </w:p>
        </w:tc>
        <w:tc>
          <w:tcPr>
            <w:tcW w:w="940" w:type="dxa"/>
            <w:vAlign w:val="bottom"/>
          </w:tcPr>
          <w:p>
            <w:pPr>
              <w:jc w:val="right"/>
              <w:ind w:right="511"/>
              <w:spacing w:after="0" w:line="167" w:lineRule="exact"/>
              <w:rPr>
                <w:sz w:val="20"/>
                <w:szCs w:val="20"/>
                <w:color w:val="auto"/>
              </w:rPr>
            </w:pPr>
            <w:r>
              <w:rPr>
                <w:rFonts w:ascii="Times New Roman" w:cs="Times New Roman" w:eastAsia="Times New Roman" w:hAnsi="Times New Roman"/>
                <w:sz w:val="18"/>
                <w:szCs w:val="18"/>
                <w:color w:val="auto"/>
              </w:rPr>
              <w:t>Fair</w:t>
            </w:r>
          </w:p>
        </w:tc>
      </w:tr>
      <w:tr>
        <w:trPr>
          <w:trHeight w:val="236"/>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Value</w:t>
            </w:r>
          </w:p>
        </w:tc>
      </w:tr>
      <w:tr>
        <w:trPr>
          <w:trHeight w:val="244"/>
        </w:trPr>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one year</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117,098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47,377</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75,354</w:t>
            </w:r>
          </w:p>
        </w:tc>
      </w:tr>
      <w:tr>
        <w:trPr>
          <w:trHeight w:val="254"/>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ten years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187,033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156,206</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54,749</w:t>
            </w:r>
          </w:p>
        </w:tc>
      </w:tr>
      <w:tr>
        <w:trPr>
          <w:trHeight w:val="220"/>
        </w:trPr>
        <w:tc>
          <w:tcPr>
            <w:tcW w:w="5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190,928</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81,251</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546,863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495,909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322,597</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282,830</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proceeds from the sale of securities available for sale and gains and losses for the years ended December 31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Realized</w:t>
            </w:r>
          </w:p>
        </w:tc>
        <w:tc>
          <w:tcPr>
            <w:tcW w:w="1100" w:type="dxa"/>
            <w:vAlign w:val="bottom"/>
            <w:tcBorders>
              <w:bottom w:val="single" w:sz="8" w:color="auto"/>
            </w:tcBorders>
          </w:tcPr>
          <w:p>
            <w:pPr>
              <w:spacing w:after="0"/>
              <w:rPr>
                <w:sz w:val="21"/>
                <w:szCs w:val="21"/>
                <w:color w:val="auto"/>
              </w:rPr>
            </w:pPr>
          </w:p>
        </w:tc>
      </w:tr>
      <w:tr>
        <w:trPr>
          <w:trHeight w:val="247"/>
        </w:trPr>
        <w:tc>
          <w:tcPr>
            <w:tcW w:w="6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Gains</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7"/>
        </w:trPr>
        <w:tc>
          <w:tcPr>
            <w:tcW w:w="6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0"/>
        </w:trPr>
        <w:tc>
          <w:tcPr>
            <w:tcW w:w="6620" w:type="dxa"/>
            <w:vAlign w:val="bottom"/>
            <w:shd w:val="clear" w:color="auto" w:fill="CCEEFF"/>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32,193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47"/>
        </w:trPr>
        <w:tc>
          <w:tcPr>
            <w:tcW w:w="6620" w:type="dxa"/>
            <w:vAlign w:val="bottom"/>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39,517</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60"/>
        </w:trPr>
        <w:tc>
          <w:tcPr>
            <w:tcW w:w="6620" w:type="dxa"/>
            <w:vAlign w:val="bottom"/>
            <w:shd w:val="clear" w:color="auto" w:fill="CCEEFF"/>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tax benefit related to these net realized losses was $0.08 million, $0.09 million and $0.05 million for the years ended December 31, 2025, 2024 and 2023, respectively.</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Securities AFS and HTM with a fair value of $17.4 million and $13.5 million at December 31, 2025 and 2024,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total shareholders’ equity at December 31, 2025 or 2024.</w:t>
      </w:r>
    </w:p>
    <w:p>
      <w:pPr>
        <w:spacing w:after="0" w:line="15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During the second quarter of 2024 we acquired certain securities classified as equity securities at fair value consisting of Visa Inc. Class C common stock. These securities were all sold in 2024. For the year ended December 31, 2024, we recognized a gain on these equity securities of $2.7 million that was included in net gains on equity securities at fair value in the Consolidated Statements of Operations. We had no equity securities at December 31, 2025. See note #11.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LOANS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7"/>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loan portfolios by class at December 31 follow:</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7"/>
        </w:trPr>
        <w:tc>
          <w:tcPr>
            <w:tcW w:w="8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0"/>
        </w:trPr>
        <w:tc>
          <w:tcPr>
            <w:tcW w:w="8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0"/>
                <w:szCs w:val="20"/>
                <w:color w:val="auto"/>
              </w:rPr>
            </w:pPr>
          </w:p>
        </w:tc>
      </w:tr>
      <w:tr>
        <w:trPr>
          <w:trHeight w:val="26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1,158,841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1,001,329</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1,054,716</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936,035</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commercial</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2,213,557</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1,937,364</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878,761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875,551</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289,562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299,142</w:t>
            </w: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176,950</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- 2nd lien</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133,947</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Resort lending</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31,136</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mortgage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1,524,821</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1,516,726</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Boat lending</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272,512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264,341</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224,537</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73,538</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95,857</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installment</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537,907</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584,735</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4,276,285</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4,038,825</w:t>
            </w:r>
          </w:p>
        </w:tc>
      </w:tr>
      <w:tr>
        <w:trPr>
          <w:trHeight w:val="247"/>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(63,445)</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(59,379)</w:t>
            </w:r>
          </w:p>
        </w:tc>
      </w:tr>
      <w:tr>
        <w:trPr>
          <w:trHeight w:val="278"/>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Loans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4,212,840</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3,979,446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Loans include net deferred loan costs of $22.7 million and $24.4 million at December 31, 2025 and 2024, respectively.</w:t>
      </w:r>
    </w:p>
    <w:p>
      <w:pPr>
        <w:spacing w:after="0" w:line="22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During 2025, we sold $22.2 million of portfolio residential fixed rate and adjustable rate mortgage loans servicing retained and recognized a gain on sale of $0.41 million. During 2024, we sold $20.8 million of portfolio residential fixed and adjustable rate mortgage loans servicing retained and recognized a gain on sale of $0.42 million. During 2023, we sold $56.7 million of portfolio residential fixed and adjustable rate mortgage loans servicing retained and recognized a loss on sale of $0.14 million. These loan sale transactions were done primarily for asset/liability management purposes.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the ACL by portfolio segment for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Subjective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4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Installment</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0"/>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59,379</w:t>
            </w:r>
          </w:p>
        </w:tc>
      </w:tr>
      <w:tr>
        <w:trPr>
          <w:trHeight w:val="24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r>
      <w:tr>
        <w:trPr>
          <w:trHeight w:val="247"/>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5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53"/>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63,445</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7"/>
        </w:trPr>
        <w:tc>
          <w:tcPr>
            <w:tcW w:w="4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4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54,658</w:t>
            </w:r>
          </w:p>
        </w:tc>
      </w:tr>
      <w:tr>
        <w:trPr>
          <w:trHeight w:val="24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r>
      <w:tr>
        <w:trPr>
          <w:trHeight w:val="247"/>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5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r>
      <w:tr>
        <w:trPr>
          <w:trHeight w:val="253"/>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59,379</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7"/>
        </w:trPr>
        <w:tc>
          <w:tcPr>
            <w:tcW w:w="4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4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4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47"/>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5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53"/>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54,658</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allocation of the ACL by portfolio segment at December 31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27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1251"/>
              <w:spacing w:after="0"/>
              <w:rPr>
                <w:sz w:val="20"/>
                <w:szCs w:val="20"/>
                <w:color w:val="auto"/>
              </w:rPr>
            </w:pPr>
            <w:r>
              <w:rPr>
                <w:rFonts w:ascii="Times New Roman" w:cs="Times New Roman" w:eastAsia="Times New Roman" w:hAnsi="Times New Roman"/>
                <w:sz w:val="18"/>
                <w:szCs w:val="18"/>
                <w:color w:val="auto"/>
              </w:rPr>
              <w:t>2024</w:t>
            </w:r>
          </w:p>
        </w:tc>
      </w:tr>
      <w:tr>
        <w:trPr>
          <w:trHeight w:val="222"/>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7"/>
              </w:rPr>
              <w:t>Allowance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Percent</w:t>
            </w:r>
          </w:p>
        </w:tc>
        <w:tc>
          <w:tcPr>
            <w:tcW w:w="240" w:type="dxa"/>
            <w:vAlign w:val="bottom"/>
          </w:tcPr>
          <w:p>
            <w:pPr>
              <w:spacing w:after="0"/>
              <w:rPr>
                <w:sz w:val="19"/>
                <w:szCs w:val="19"/>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Allowance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Percent</w:t>
            </w: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for Credit</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of Loans</w:t>
            </w:r>
          </w:p>
        </w:tc>
        <w:tc>
          <w:tcPr>
            <w:tcW w:w="240" w:type="dxa"/>
            <w:vAlign w:val="bottom"/>
          </w:tcPr>
          <w:p>
            <w:pPr>
              <w:spacing w:after="0"/>
              <w:rPr>
                <w:sz w:val="18"/>
                <w:szCs w:val="18"/>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for Credit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Loans</w:t>
            </w: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7"/>
              </w:rPr>
              <w:t>Losses</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to Total</w:t>
            </w:r>
          </w:p>
        </w:tc>
        <w:tc>
          <w:tcPr>
            <w:tcW w:w="240" w:type="dxa"/>
            <w:vAlign w:val="bottom"/>
          </w:tcPr>
          <w:p>
            <w:pPr>
              <w:spacing w:after="0"/>
              <w:rPr>
                <w:sz w:val="18"/>
                <w:szCs w:val="18"/>
                <w:color w:val="auto"/>
              </w:rPr>
            </w:pPr>
          </w:p>
        </w:tc>
        <w:tc>
          <w:tcPr>
            <w:tcW w:w="13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Losses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Total</w:t>
            </w:r>
          </w:p>
        </w:tc>
      </w:tr>
      <w:tr>
        <w:trPr>
          <w:trHeight w:val="232"/>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Amount</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Portfolio Loans</w:t>
            </w:r>
          </w:p>
        </w:tc>
        <w:tc>
          <w:tcPr>
            <w:tcW w:w="240" w:type="dxa"/>
            <w:vAlign w:val="bottom"/>
          </w:tcPr>
          <w:p>
            <w:pPr>
              <w:spacing w:after="0"/>
              <w:rPr>
                <w:sz w:val="20"/>
                <w:szCs w:val="20"/>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Amount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Portfolio Loans</w:t>
            </w:r>
          </w:p>
        </w:tc>
      </w:tr>
      <w:tr>
        <w:trPr>
          <w:trHeight w:val="26"/>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40" w:type="dxa"/>
            <w:vAlign w:val="bottom"/>
            <w:gridSpan w:val="4"/>
          </w:tcPr>
          <w:p>
            <w:pPr>
              <w:jc w:val="right"/>
              <w:ind w:right="711"/>
              <w:spacing w:after="0"/>
              <w:rPr>
                <w:sz w:val="20"/>
                <w:szCs w:val="20"/>
                <w:color w:val="auto"/>
              </w:rPr>
            </w:pPr>
            <w:r>
              <w:rPr>
                <w:rFonts w:ascii="Times New Roman" w:cs="Times New Roman" w:eastAsia="Times New Roman" w:hAnsi="Times New Roman"/>
                <w:sz w:val="18"/>
                <w:szCs w:val="18"/>
                <w:color w:val="auto"/>
              </w:rPr>
              <w:t>(Dollars in thousands)</w:t>
            </w:r>
          </w:p>
        </w:tc>
        <w:tc>
          <w:tcPr>
            <w:tcW w:w="1520" w:type="dxa"/>
            <w:vAlign w:val="bottom"/>
          </w:tcPr>
          <w:p>
            <w:pPr>
              <w:spacing w:after="0"/>
              <w:rPr>
                <w:sz w:val="20"/>
                <w:szCs w:val="20"/>
                <w:color w:val="auto"/>
              </w:rPr>
            </w:pP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29,012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22,872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4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20,914</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22,317</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37.5</w:t>
            </w: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2,639</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3,040</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r>
      <w:tr>
        <w:trPr>
          <w:trHeight w:val="24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Subjective allocation</w:t>
            </w:r>
          </w:p>
        </w:tc>
        <w:tc>
          <w:tcPr>
            <w:tcW w:w="2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10,880</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11,150</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5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63,445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59,379</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on non-accrual status and past due more than 90 days (‘‘Non-performing Loans’’) at December 31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337820</wp:posOffset>
            </wp:positionV>
            <wp:extent cx="46850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468503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9"/>
              </w:rPr>
              <w:t>Non-Accrual</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4"/>
              </w:rPr>
              <w:t>Total</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90+ and</w:t>
            </w:r>
          </w:p>
        </w:tc>
        <w:tc>
          <w:tcPr>
            <w:tcW w:w="180" w:type="dxa"/>
            <w:vAlign w:val="bottom"/>
          </w:tcPr>
          <w:p>
            <w:pPr>
              <w:spacing w:after="0"/>
              <w:rPr>
                <w:sz w:val="16"/>
                <w:szCs w:val="16"/>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w w:val="99"/>
              </w:rPr>
              <w:t>Total Non-</w:t>
            </w: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Non-Accrual with no</w:t>
            </w:r>
          </w:p>
        </w:tc>
        <w:tc>
          <w:tcPr>
            <w:tcW w:w="160" w:type="dxa"/>
            <w:vAlign w:val="bottom"/>
          </w:tcPr>
          <w:p>
            <w:pPr>
              <w:spacing w:after="0"/>
              <w:rPr>
                <w:sz w:val="15"/>
                <w:szCs w:val="15"/>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with an Allowance for</w:t>
            </w:r>
          </w:p>
        </w:tc>
        <w:tc>
          <w:tcPr>
            <w:tcW w:w="2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7"/>
              </w:rPr>
              <w:t>Non-</w:t>
            </w:r>
          </w:p>
        </w:tc>
        <w:tc>
          <w:tcPr>
            <w:tcW w:w="2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Still</w:t>
            </w:r>
          </w:p>
        </w:tc>
        <w:tc>
          <w:tcPr>
            <w:tcW w:w="180" w:type="dxa"/>
            <w:vAlign w:val="bottom"/>
          </w:tcPr>
          <w:p>
            <w:pPr>
              <w:spacing w:after="0"/>
              <w:rPr>
                <w:sz w:val="15"/>
                <w:szCs w:val="15"/>
                <w:color w:val="auto"/>
              </w:rPr>
            </w:pPr>
          </w:p>
        </w:tc>
        <w:tc>
          <w:tcPr>
            <w:tcW w:w="104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w w:val="99"/>
              </w:rPr>
              <w:t>Performing</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Allowance for Credit Loss</w:t>
            </w:r>
          </w:p>
        </w:tc>
        <w:tc>
          <w:tcPr>
            <w:tcW w:w="16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Credit Loss</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Accrual</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Accruing</w:t>
            </w:r>
          </w:p>
        </w:tc>
        <w:tc>
          <w:tcPr>
            <w:tcW w:w="180" w:type="dxa"/>
            <w:vAlign w:val="bottom"/>
          </w:tcPr>
          <w:p>
            <w:pPr>
              <w:spacing w:after="0"/>
              <w:rPr>
                <w:sz w:val="18"/>
                <w:szCs w:val="18"/>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rPr>
              <w:t>Loans</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5"/>
          </w:tcPr>
          <w:p>
            <w:pPr>
              <w:ind w:left="1220"/>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3880" w:type="dxa"/>
            <w:vAlign w:val="bottom"/>
            <w:gridSpan w:val="2"/>
          </w:tcPr>
          <w:p>
            <w:pPr>
              <w:jc w:val="right"/>
              <w:ind w:right="3464"/>
              <w:spacing w:after="0"/>
              <w:rPr>
                <w:sz w:val="20"/>
                <w:szCs w:val="20"/>
                <w:color w:val="auto"/>
              </w:rPr>
            </w:pPr>
            <w:r>
              <w:rPr>
                <w:rFonts w:ascii="Times New Roman" w:cs="Times New Roman" w:eastAsia="Times New Roman" w:hAnsi="Times New Roman"/>
                <w:sz w:val="15"/>
                <w:szCs w:val="15"/>
                <w:color w:val="auto"/>
              </w:rPr>
              <w:t>2025</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 real estate (1)</w:t>
            </w:r>
          </w:p>
        </w:tc>
        <w:tc>
          <w:tcPr>
            <w:tcW w:w="18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9,261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16,513</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owner occupied - jumbo</w:t>
            </w:r>
          </w:p>
        </w:tc>
        <w:tc>
          <w:tcPr>
            <w:tcW w:w="18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owner occupied - non-jumbo (2)</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2,370</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non-owner occupied</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- 2nd lien</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Resort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Boat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Recreational vehicle lending</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23,127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interest excluded from 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jc w:val="right"/>
              <w:ind w:right="3464"/>
              <w:spacing w:after="0"/>
              <w:rPr>
                <w:sz w:val="20"/>
                <w:szCs w:val="20"/>
                <w:color w:val="auto"/>
              </w:rPr>
            </w:pPr>
            <w:r>
              <w:rPr>
                <w:rFonts w:ascii="Times New Roman" w:cs="Times New Roman" w:eastAsia="Times New Roman" w:hAnsi="Times New Roman"/>
                <w:sz w:val="15"/>
                <w:szCs w:val="15"/>
                <w:color w:val="auto"/>
                <w:w w:val="99"/>
              </w:rPr>
              <w:t>2024</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and industrial (1)</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owner occupied - jumbo</w:t>
            </w:r>
          </w:p>
        </w:tc>
        <w:tc>
          <w:tcPr>
            <w:tcW w:w="18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owner occupied - non-jumbo (2)</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2,425</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non-owner occupied</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- 2nd lien</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Resort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Boat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Recreational vehicle lending</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3,655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6,002</w:t>
            </w:r>
          </w:p>
        </w:tc>
      </w:tr>
      <w:tr>
        <w:trPr>
          <w:trHeight w:val="20"/>
        </w:trPr>
        <w:tc>
          <w:tcPr>
            <w:tcW w:w="3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0"/>
        </w:trPr>
        <w:tc>
          <w:tcPr>
            <w:tcW w:w="3880" w:type="dxa"/>
            <w:vAlign w:val="bottom"/>
            <w:gridSpan w:val="2"/>
          </w:tcPr>
          <w:p>
            <w:pPr>
              <w:jc w:val="right"/>
              <w:ind w:right="1604"/>
              <w:spacing w:after="0"/>
              <w:rPr>
                <w:sz w:val="20"/>
                <w:szCs w:val="20"/>
                <w:color w:val="auto"/>
              </w:rPr>
            </w:pPr>
            <w:r>
              <w:rPr>
                <w:rFonts w:ascii="Times New Roman" w:cs="Times New Roman" w:eastAsia="Times New Roman" w:hAnsi="Times New Roman"/>
                <w:sz w:val="15"/>
                <w:szCs w:val="15"/>
                <w:color w:val="auto"/>
                <w:w w:val="99"/>
              </w:rPr>
              <w:t>Accrued interest excluded from total</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500" w:right="20" w:hanging="456"/>
        <w:spacing w:after="0" w:line="261"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commercial real estate loans exclude $7.018 million of government guaranteed loans at December 31, 2025 and non-performing commercial and industrial loans exclude $0.005 million of government guaranteed loans at December 31, 2024.</w:t>
      </w:r>
    </w:p>
    <w:p>
      <w:pPr>
        <w:spacing w:after="0" w:line="110" w:lineRule="exact"/>
        <w:rPr>
          <w:rFonts w:ascii="Times New Roman" w:cs="Times New Roman" w:eastAsia="Times New Roman" w:hAnsi="Times New Roman"/>
          <w:sz w:val="18"/>
          <w:szCs w:val="18"/>
          <w:color w:val="auto"/>
        </w:rPr>
      </w:pPr>
    </w:p>
    <w:p>
      <w:pPr>
        <w:ind w:left="500" w:right="20" w:hanging="456"/>
        <w:spacing w:after="0" w:line="277"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1-4 family owner occupied – non jumbo loans exclude $2.929 million and $1.785 million of government guaranteed loans at December 31, 2025 and 2024, respectively.</w:t>
      </w:r>
    </w:p>
    <w:p>
      <w:pPr>
        <w:spacing w:after="0" w:line="256" w:lineRule="exact"/>
        <w:rPr>
          <w:sz w:val="20"/>
          <w:szCs w:val="20"/>
          <w:color w:val="auto"/>
        </w:rPr>
      </w:pPr>
    </w:p>
    <w:p>
      <w:pPr>
        <w:ind w:left="20" w:firstLine="320"/>
        <w:spacing w:after="0" w:line="277" w:lineRule="auto"/>
        <w:rPr>
          <w:sz w:val="20"/>
          <w:szCs w:val="20"/>
          <w:color w:val="auto"/>
        </w:rPr>
      </w:pPr>
      <w:r>
        <w:rPr>
          <w:rFonts w:ascii="Times New Roman" w:cs="Times New Roman" w:eastAsia="Times New Roman" w:hAnsi="Times New Roman"/>
          <w:sz w:val="18"/>
          <w:szCs w:val="18"/>
          <w:color w:val="auto"/>
        </w:rPr>
        <w:t>If non-performing loans had continued to accrue interest in accordance with their original terms, approximately $0.8 million, $0.3 million and $0.3 million of interest income would have been recognized in each of the years ended 2025,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respectively. Interest income recorded on these loans was approximately zero during each of the years ended 2025, 2024 and 2023.</w:t>
      </w:r>
    </w:p>
    <w:p>
      <w:pPr>
        <w:spacing w:after="0" w:line="220"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provides collateral information by class of loan for collateral-dependent loans. A loan is considered to be collateral dependent when the borrower is experiencing financial difficulty and the repayment is expected to be provided substantially through the operation or sale of collateral.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amortized cost of collateral-dependent loans by class at December 31, follows: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06"/>
        </w:trPr>
        <w:tc>
          <w:tcPr>
            <w:tcW w:w="6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8"/>
                <w:szCs w:val="18"/>
                <w:color w:val="auto"/>
              </w:rPr>
              <w:t>Collateral Type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Allowance</w:t>
            </w:r>
          </w:p>
        </w:tc>
      </w:tr>
      <w:tr>
        <w:trPr>
          <w:trHeight w:val="188"/>
        </w:trPr>
        <w:tc>
          <w:tcPr>
            <w:tcW w:w="6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00"/>
              <w:spacing w:after="0" w:line="189" w:lineRule="exact"/>
              <w:rPr>
                <w:sz w:val="20"/>
                <w:szCs w:val="20"/>
                <w:color w:val="auto"/>
              </w:rPr>
            </w:pPr>
            <w:r>
              <w:rPr>
                <w:rFonts w:ascii="Times New Roman" w:cs="Times New Roman" w:eastAsia="Times New Roman" w:hAnsi="Times New Roman"/>
                <w:sz w:val="18"/>
                <w:szCs w:val="18"/>
                <w:color w:val="auto"/>
              </w:rPr>
              <w:t>Real</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1"/>
              <w:spacing w:after="0" w:line="189" w:lineRule="exact"/>
              <w:rPr>
                <w:sz w:val="20"/>
                <w:szCs w:val="20"/>
                <w:color w:val="auto"/>
              </w:rPr>
            </w:pPr>
            <w:r>
              <w:rPr>
                <w:rFonts w:ascii="Times New Roman" w:cs="Times New Roman" w:eastAsia="Times New Roman" w:hAnsi="Times New Roman"/>
                <w:sz w:val="18"/>
                <w:szCs w:val="18"/>
                <w:color w:val="auto"/>
                <w:w w:val="95"/>
              </w:rPr>
              <w:t>for</w:t>
            </w:r>
          </w:p>
        </w:tc>
      </w:tr>
      <w:tr>
        <w:trPr>
          <w:trHeight w:val="252"/>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Estate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Other (1)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7"/>
              </w:rPr>
              <w:t>Credit Losses</w:t>
            </w:r>
          </w:p>
        </w:tc>
      </w:tr>
      <w:tr>
        <w:trPr>
          <w:trHeight w:val="240"/>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r>
      <w:tr>
        <w:trPr>
          <w:trHeight w:val="26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- 2nd lien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Resort lending</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Boat lending</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6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7"/>
        </w:trPr>
        <w:tc>
          <w:tcPr>
            <w:tcW w:w="66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3"/>
        </w:trPr>
        <w:tc>
          <w:tcPr>
            <w:tcW w:w="6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7"/>
        </w:trPr>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79"/>
        </w:trPr>
        <w:tc>
          <w:tcPr>
            <w:tcW w:w="6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7"/>
        </w:trPr>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5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- 2nd lien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Resort lending</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Boat lending</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7"/>
        </w:trPr>
        <w:tc>
          <w:tcPr>
            <w:tcW w:w="66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3"/>
        </w:trPr>
        <w:tc>
          <w:tcPr>
            <w:tcW w:w="6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7"/>
        </w:trPr>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79"/>
        </w:trPr>
        <w:tc>
          <w:tcPr>
            <w:tcW w:w="6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ind w:left="5540" w:right="2200" w:hanging="5533"/>
        <w:spacing w:after="0" w:line="586" w:lineRule="auto"/>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industrial loan collateral generally includes machinery and equipment, accounts receivable, and inventory.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-133985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aging analysis of loans by class at December 31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color w:val="auto"/>
              </w:rPr>
              <w:t>Loans Past Due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Loans not</w:t>
            </w:r>
          </w:p>
        </w:tc>
        <w:tc>
          <w:tcPr>
            <w:tcW w:w="260" w:type="dxa"/>
            <w:vAlign w:val="bottom"/>
          </w:tcPr>
          <w:p>
            <w:pPr>
              <w:spacing w:after="0"/>
              <w:rPr>
                <w:sz w:val="21"/>
                <w:szCs w:val="21"/>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Total</w:t>
            </w:r>
          </w:p>
        </w:tc>
      </w:tr>
      <w:tr>
        <w:trPr>
          <w:trHeight w:val="240"/>
        </w:trPr>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30-59 days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90+ days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Loans</w:t>
            </w:r>
          </w:p>
        </w:tc>
      </w:tr>
      <w:tr>
        <w:trPr>
          <w:trHeight w:val="240"/>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1,158,841</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1,054,716</w:t>
            </w: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878,761</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289,562</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172,293</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157,597</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272,512</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191,857</w:t>
            </w:r>
          </w:p>
        </w:tc>
      </w:tr>
      <w:tr>
        <w:trPr>
          <w:trHeight w:val="247"/>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73,538</w:t>
            </w:r>
          </w:p>
        </w:tc>
      </w:tr>
      <w:tr>
        <w:trPr>
          <w:trHeight w:val="285"/>
        </w:trPr>
        <w:tc>
          <w:tcPr>
            <w:tcW w:w="3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4,238,905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4,276,285</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1,001,197</w:t>
            </w:r>
          </w:p>
        </w:tc>
        <w:tc>
          <w:tcPr>
            <w:tcW w:w="100" w:type="dxa"/>
            <w:vAlign w:val="bottom"/>
          </w:tcPr>
          <w:p>
            <w:pPr>
              <w:spacing w:after="0"/>
              <w:rPr>
                <w:sz w:val="21"/>
                <w:szCs w:val="21"/>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1,001,329</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936,035</w:t>
            </w:r>
          </w:p>
        </w:tc>
      </w:tr>
      <w:tr>
        <w:trPr>
          <w:trHeight w:val="247"/>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875,551</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299,142</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176,950</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133,947</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31,136</w:t>
            </w:r>
          </w:p>
        </w:tc>
      </w:tr>
      <w:tr>
        <w:trPr>
          <w:trHeight w:val="247"/>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264,341</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224,537</w:t>
            </w:r>
          </w:p>
        </w:tc>
      </w:tr>
      <w:tr>
        <w:trPr>
          <w:trHeight w:val="254"/>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95,857</w:t>
            </w:r>
          </w:p>
        </w:tc>
      </w:tr>
      <w:tr>
        <w:trPr>
          <w:trHeight w:val="253"/>
        </w:trPr>
        <w:tc>
          <w:tcPr>
            <w:tcW w:w="3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4,025,926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4,038,825</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7"/>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2025 there were two mortgage - 1-4 family owner occupied - non-jumbo loans modified to borrowers experiencing financial difficulty totaling $0.10 million (0.1% of the total loan class). Both of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modifications during the year ended December 31, 2025 involved term extensions and added a weighted average 12.0 years to the life of the loans.</w:t>
      </w:r>
    </w:p>
    <w:p>
      <w:pPr>
        <w:spacing w:after="0" w:line="19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One of the mortgage - 1-4 family owner occupied - non-jumbo loans modified during the year ended December 31, 2025 also received a 4.750% interest rate reduction.</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Of the loans modified during the year ended December 31, 2025, one is on non-accrual status totaling $0.07 million.</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2024 there were five mortgage - 1-4 family owner occupied - non-jumbo loans and one mortgage 1-4 family - 2nd lien loan modified to borrowers experiencing financial difficulty totaling $0.51 million (0.1% of the total loan class) and $0.07 million (0.1% of the total loan class), respectively. All of the loan modifications during the year ended December 31, 2024 involved term extensions and added a weighted average 7.1 years to the life of the loans.</w:t>
      </w:r>
    </w:p>
    <w:p>
      <w:pPr>
        <w:spacing w:after="0" w:line="15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One of the mortgage - 1-4 family owner occupied - non-jumbo loans modified during the year ended December 31, 2024 also received a 3.625% interest rate reduction.</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Of the loans modified during the year ended December 31, 2024, none are on non-accrual or subsequently defaulted.</w:t>
      </w:r>
    </w:p>
    <w:p>
      <w:pPr>
        <w:spacing w:after="0" w:line="22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5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17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6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fundamentals through acceptable credit fundamentals.</w:t>
      </w:r>
    </w:p>
    <w:p>
      <w:pPr>
        <w:spacing w:after="0" w:line="15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 These loans are generally referred to as our ‘‘substandard - non-accrual’’ and ‘‘doubtful’’ commercial credits. These ratings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borrowers with weaknesses that make collection of the loan in full, on the basis of current facts, conditions and values at best questionable and at worst improbable. All of these loans are placed in non-accrual.</w:t>
      </w:r>
    </w:p>
    <w:p>
      <w:pPr>
        <w:spacing w:after="0" w:line="173"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tables summarize loan ratings by loan class for our commercial loan portfolio segment at December 31: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Commercial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w w:val="99"/>
              </w:rPr>
              <w:t>Revolving</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6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Loans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160" w:type="dxa"/>
            <w:vAlign w:val="bottom"/>
            <w:tcBorders>
              <w:bottom w:val="single" w:sz="8" w:color="auto"/>
            </w:tcBorders>
            <w:gridSpan w:val="11"/>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199,338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131,090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140,699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300,540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1,120,610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200,779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135,420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149,334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204,584</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162,957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167,203</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159,948</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66,116</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184,907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56,611</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1,002,326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4,162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18,163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212,810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164,270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189,924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173,835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66,242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190,399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403,922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351,266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298,293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275,466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325,606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357,151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2,122,936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18,163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413,589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325,344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339,733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center"/>
              <w:ind w:left="349"/>
              <w:spacing w:after="0"/>
              <w:rPr>
                <w:sz w:val="20"/>
                <w:szCs w:val="20"/>
                <w:color w:val="auto"/>
              </w:rPr>
            </w:pPr>
            <w:r>
              <w:rPr>
                <w:rFonts w:ascii="Times New Roman" w:cs="Times New Roman" w:eastAsia="Times New Roman" w:hAnsi="Times New Roman"/>
                <w:sz w:val="14"/>
                <w:szCs w:val="14"/>
                <w:color w:val="auto"/>
              </w:rPr>
              <w:t>Commercial</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w w:val="99"/>
              </w:rPr>
              <w:t>Revolving</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60" w:type="dxa"/>
            <w:vAlign w:val="bottom"/>
            <w:gridSpan w:val="11"/>
            <w:vMerge w:val="restart"/>
          </w:tcPr>
          <w:p>
            <w:pPr>
              <w:ind w:left="2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Loans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11"/>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color w:val="auto"/>
              </w:rPr>
              <w:t>Amortized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2"/>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Pr>
          <w:p>
            <w:pPr>
              <w:spacing w:after="0"/>
              <w:rPr>
                <w:sz w:val="15"/>
                <w:szCs w:val="15"/>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183,261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137,270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71,225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242,573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955,973</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31,732</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13,570</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5"/>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1,001,329</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153,321</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75,053</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72,879</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896,732</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38,486</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169,328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75,188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936,035</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373,660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295,951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273,052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315,452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1,852,705</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70,218</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14,387</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5"/>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338,456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6,496</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each of our mortgage and installment portfolio segment classes we generally monitor credit quality based on the credit scores of the borrowers. These credit scores are generally updated semi-annually. The following tables summarize credit scores by loan class for our mortgage and installment loan portfolio segments at December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2"/>
                <w:szCs w:val="12"/>
                <w:color w:val="auto"/>
              </w:rPr>
              <w:t>Mortgage (1)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20" w:type="dxa"/>
            <w:vAlign w:val="bottom"/>
            <w:gridSpan w:val="9"/>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right="28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Prior</w:t>
            </w:r>
          </w:p>
        </w:tc>
        <w:tc>
          <w:tcPr>
            <w:tcW w:w="2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2025</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jumbo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13,290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40,752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55,563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160,982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168,312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75,497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445,743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32,634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68,111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172,909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69,175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12,273</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88,048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54,892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61,030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190,714</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312,208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166,277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878,761</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non-jumbo</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53,501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116,977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23,235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57,844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28,824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14,030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9,261</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6,433</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2,692</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19,483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14,772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20,335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58,982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46,583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103,729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25,678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289,562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5"/>
                <w:szCs w:val="15"/>
                <w:color w:val="auto"/>
              </w:rPr>
            </w:pP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non-owner occupied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10,379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34,903</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94,193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24,014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15,499</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2,255</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22,813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17,390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14,137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22,587</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44,207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46,744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4,415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172,293</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- 2nd lien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21,475</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71,811</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29,585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40,340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15,681</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2,811</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4,648</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10,997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119,172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157,597</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Mortgage - continued (1)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Revolving</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80" w:type="dxa"/>
            <w:vAlign w:val="bottom"/>
            <w:gridSpan w:val="9"/>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Prior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Cost Basis</w:t>
            </w: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2025</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Resort lending</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4,651</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11,369</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4,128</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5,148</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6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24,935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26,608</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Mortgage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20,619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58,066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76,861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66,192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24,021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275,512</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77,385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131,880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740,093</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26,653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20,486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18,222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45,671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82,088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68,692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37,423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299,235</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134,327</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15,538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32,817</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23,001</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16,628</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3,208</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6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138,407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91,739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100,592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277,297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409,247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352,682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154,857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1,524,821</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2"/>
                <w:szCs w:val="12"/>
                <w:color w:val="auto"/>
              </w:rPr>
              <w:t>Mortgage (1)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20" w:type="dxa"/>
            <w:vAlign w:val="bottom"/>
            <w:gridSpan w:val="9"/>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right="28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Prior</w:t>
            </w:r>
          </w:p>
        </w:tc>
        <w:tc>
          <w:tcPr>
            <w:tcW w:w="2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jumbo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37,147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51,242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142,007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194,725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472,315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68,687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166,160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64,917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20,336</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7,049</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57,391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81,843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215,052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333,112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111,309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73,619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875,551</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non-jumbo</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43,271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21,548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119,072</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68,860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38,417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8,616</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31,345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47,561</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85,554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20,794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299,142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5"/>
                <w:szCs w:val="15"/>
                <w:color w:val="auto"/>
              </w:rPr>
            </w:pP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non-owner occupied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37,980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94,634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28,791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1,448</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19,943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18,075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48,867</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176,950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- 2nd lien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44,896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61,606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26,687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14,301</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5,586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5,145</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98,327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133,947</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2"/>
                <w:szCs w:val="12"/>
                <w:color w:val="auto"/>
              </w:rPr>
              <w:t>Mortgage - continued (1)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gridSpan w:val="9"/>
            <w:vMerge w:val="restart"/>
          </w:tcPr>
          <w:p>
            <w:pPr>
              <w:jc w:val="right"/>
              <w:ind w:right="78"/>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2"/>
                <w:szCs w:val="12"/>
                <w:color w:val="auto"/>
              </w:rPr>
              <w:t>2021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Prior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Resort lending</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4,613</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14,987</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5,331</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4,976</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4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1,274</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27,626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31,136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Mortgage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73,646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243,540</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245,621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762,614</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26,638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61,484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85,925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25,496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46,466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33,440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304,321</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25,049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134,914</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14,126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38,423</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15,198</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12,849</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4,867</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4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114,265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127,634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313,443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435,959</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164,525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232,606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128,294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1,516,726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5"/>
                <w:szCs w:val="15"/>
                <w:color w:val="auto"/>
              </w:rPr>
            </w:pP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80" w:hanging="456"/>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scores have been updated within the last twelve months.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Installment (1)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60" w:type="dxa"/>
            <w:vAlign w:val="bottom"/>
            <w:gridSpan w:val="8"/>
          </w:tcPr>
          <w:p>
            <w:pPr>
              <w:jc w:val="center"/>
              <w:ind w:right="300"/>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w w:val="99"/>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Prior</w:t>
            </w: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Total</w:t>
            </w:r>
          </w:p>
        </w:tc>
      </w:tr>
      <w:tr>
        <w:trPr>
          <w:trHeight w:val="29"/>
        </w:trPr>
        <w:tc>
          <w:tcPr>
            <w:tcW w:w="2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(In thousands)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2025</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Boat lending</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70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43,681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23,385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148,308</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10,315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57,993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16,133</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7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7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54,420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39,011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41,552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43,954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39,001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54,574</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272,512</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70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7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614</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Recreational vehicle lending</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70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30,317</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96,726</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41,236</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13,982</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4,712</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2,555</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7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7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6,288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14,527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19,740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56,943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57,377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36,982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191,857</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70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700" w:type="dxa"/>
            <w:vAlign w:val="bottom"/>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8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1,110</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70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32,131</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21,030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8,633</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2,278</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7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21,750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13,568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11,057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10,093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6,250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10,820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73,538</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70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7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1,937</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installment</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70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9,969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16,803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17,692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19,757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80,508</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34,782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58,070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49,380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277,165</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18,987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18,212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24,393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22,199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20,954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120,259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38,748</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11,089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5,129</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r>
      <w:tr>
        <w:trPr>
          <w:trHeight w:val="29"/>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7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82,458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67,106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110,990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102,628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102,376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537,907</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70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7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3,661</w:t>
            </w:r>
          </w:p>
        </w:tc>
      </w:tr>
      <w:tr>
        <w:trPr>
          <w:trHeight w:val="21"/>
        </w:trPr>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Installment (1)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gridSpan w:val="8"/>
          </w:tcPr>
          <w:p>
            <w:pPr>
              <w:jc w:val="center"/>
              <w:ind w:right="320"/>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w w:val="99"/>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Prior</w:t>
            </w: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Total</w:t>
            </w: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Boat lending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41,141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147,355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11,342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55,347</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14,847</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48,938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52,414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45,533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20,848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49,513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264,341</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4"/>
        </w:trPr>
        <w:tc>
          <w:tcPr>
            <w:tcW w:w="29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Recreational vehicle lending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37,776</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111,161</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15,336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49,738</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15,634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2,292</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18,619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23,741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65,682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67,126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18,928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30,441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224,537</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4"/>
        </w:trPr>
        <w:tc>
          <w:tcPr>
            <w:tcW w:w="29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36,295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31,084</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16,575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1,003</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16,779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16,069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10,260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4,549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10,548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95,857</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2,171</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4"/>
        </w:trPr>
        <w:tc>
          <w:tcPr>
            <w:tcW w:w="29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installment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21,740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18,206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17,172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85,778</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294,811</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31,311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29,667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17,915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136,169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47,056</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11,090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3,576</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103,366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89,458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134,165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122,919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44,325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90,502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584,735</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3,304</w:t>
            </w:r>
          </w:p>
        </w:tc>
      </w:tr>
      <w:tr>
        <w:trPr>
          <w:trHeight w:val="21"/>
        </w:trPr>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480" w:hanging="456"/>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scores have been updated within the last twelve months.</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Mortgage loans serviced for others are not reported as assets on the Consolidated Statements of Financial Condition. The principal balances of these loans at December 31 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0"/>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r>
      <w:tr>
        <w:trPr>
          <w:trHeight w:val="2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serviced for: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Fannie Mae</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1,134,213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1,674,111</w:t>
            </w:r>
          </w:p>
        </w:tc>
      </w:tr>
      <w:tr>
        <w:trPr>
          <w:trHeight w:val="24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Freddie Mac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1,373,145</w:t>
            </w: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Ginnie Mae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146,363</w:t>
            </w:r>
          </w:p>
        </w:tc>
      </w:tr>
      <w:tr>
        <w:trPr>
          <w:trHeight w:val="24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FHLB</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302,779</w:t>
            </w: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w:t>
            </w:r>
          </w:p>
        </w:tc>
      </w:tr>
      <w:tr>
        <w:trPr>
          <w:trHeight w:val="24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2,611,289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3,543,745</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Custodial deposit accounts maintained in connection with mortgage loans serviced for others totaled $26.2 million and $29.4 million, at December 31, 2025 and 2024, respectively.</w:t>
      </w:r>
    </w:p>
    <w:p>
      <w:pPr>
        <w:spacing w:after="0" w:line="16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net gains on mortgage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capitalized mortgage loan servicing rights for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0" w:type="dxa"/>
            <w:vAlign w:val="bottom"/>
          </w:tcPr>
          <w:p>
            <w:pPr>
              <w:spacing w:after="0"/>
              <w:rPr>
                <w:sz w:val="1"/>
                <w:szCs w:val="1"/>
                <w:color w:val="auto"/>
              </w:rPr>
            </w:pP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due to price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due to pay downs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 originated servicing rights (1)</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sale of originated servicing rights (1)</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2"/>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Loans sold and serviced that have had servicing rights capitalized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2,611,289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3,543,745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3,541,869</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320" w:hanging="313"/>
        <w:spacing w:after="0" w:line="270" w:lineRule="auto"/>
        <w:tabs>
          <w:tab w:leader="none" w:pos="40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$0.1 million relating to this transaction, we are not aware of any issues that will have a material impact on this final payment. We have until the first quarter, 2026 to receive this final payment. Transaction expenses relating to this sale were approximately $0.2 million.</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Fair value of capitalized mortgage loan servicing rights was determined using an average coupon rate of 4.52%, average servicing fee of 0.26%, average discount rate of 9.94% and an average Public Securities Association (‘‘PSA’’) prepayment rate of 160 for December 31, 2025; and average coupon rate of 4.13%, average servicing fee of 0.26%, average discount rate of 10.37% and an average PSA prepayment rate of 125 for December 31, 2024.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OTHER REAL ESTATE</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5"/>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A summary of other real estate activity for the years ended December 31 follows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66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 net of valuation allowance</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transferred to other real estate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 other real estate</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47"/>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Additions to valuation allowance charged to expense</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 net of valuation allowance</w:t>
            </w: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73" w:lineRule="exact"/>
        <w:rPr>
          <w:sz w:val="20"/>
          <w:szCs w:val="20"/>
          <w:color w:val="auto"/>
        </w:rPr>
      </w:pPr>
    </w:p>
    <w:p>
      <w:pPr>
        <w:ind w:left="480" w:hanging="456"/>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excludes other repossessed assets totaling $0.12 million and $0.05 million at December 31, 2025 and 2024, respectively.</w:t>
      </w:r>
    </w:p>
    <w:p>
      <w:pPr>
        <w:spacing w:after="0" w:line="32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center"/>
              <w:ind w:left="831"/>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060" w:type="dxa"/>
            <w:vAlign w:val="bottom"/>
          </w:tcPr>
          <w:p>
            <w:pPr>
              <w:spacing w:after="0"/>
              <w:rPr>
                <w:sz w:val="22"/>
                <w:szCs w:val="22"/>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9"/>
              </w:rPr>
              <w:t>54</w:t>
            </w:r>
          </w:p>
        </w:tc>
      </w:tr>
      <w:tr>
        <w:trPr>
          <w:trHeight w:val="27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write-downs upon sale</w:t>
            </w:r>
          </w:p>
        </w:tc>
        <w:tc>
          <w:tcPr>
            <w:tcW w:w="10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(54)</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831"/>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662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At December 31, 2025 and 2024, the balance of other real estate includes $0.8 million and $0.9 million, respectively of foreclosed residential real estate properties. Retail mortgage loans secured by residential real estate properties for which formal foreclosure proceedings are in process according to local requirements totaled $1.9 million and $2.0 million at December 31, 2025 and 2024, respectively.</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Other real estate and repossessed assets totaling $0.9 million at December 31, 2025 and 2024, are presented net of the valuation allowance on the Consolidated Statements of Financial Condition.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27"/>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property and equipment at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16,329</w:t>
            </w: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64,103</w:t>
            </w: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83,743</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80,988</w:t>
            </w: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161,420</w:t>
            </w: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(128,530)</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(123,928)</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38,972</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37,492</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$5.0 million, $5.2 million and $5.2 million in 2025, 2024 and 2023,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Intangible assets, net of amortization, at December 31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6"/>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 - goodwill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right="20" w:firstLine="320"/>
        <w:spacing w:after="0" w:line="262" w:lineRule="auto"/>
        <w:rPr>
          <w:sz w:val="20"/>
          <w:szCs w:val="20"/>
          <w:color w:val="auto"/>
        </w:rPr>
      </w:pPr>
      <w:r>
        <w:rPr>
          <w:rFonts w:ascii="Times New Roman" w:cs="Times New Roman" w:eastAsia="Times New Roman" w:hAnsi="Times New Roman"/>
          <w:sz w:val="18"/>
          <w:szCs w:val="18"/>
          <w:color w:val="auto"/>
        </w:rPr>
        <w:t>At December 31, 2025, the Bank (our reporting unit) had positive equity and elected to perform a qualitative assessment to determine if it was more likely than not that the fair value of the Bank exceeds its carrying value, including goodwill. The qualitative assessment indicated that it was more likely than not that the fair value of the Bank exceeded its carrying value, resulting in no impairment.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amortization expense was $0.5 million for each of the years ended 2025, 2024 and 2023, respectively.</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estimated core deposit intangible amortization at December 31, 2025,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DEPOSITS</w:t>
            </w: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6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interest expense on deposits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25,870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0" w:type="dxa"/>
            <w:vAlign w:val="bottom"/>
          </w:tcPr>
          <w:p>
            <w:pPr>
              <w:spacing w:after="0"/>
              <w:rPr>
                <w:sz w:val="1"/>
                <w:szCs w:val="1"/>
                <w:color w:val="auto"/>
              </w:rPr>
            </w:pPr>
          </w:p>
        </w:tc>
      </w:tr>
      <w:tr>
        <w:trPr>
          <w:trHeight w:val="26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Reciprocal</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29,386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0" w:type="dxa"/>
            <w:vAlign w:val="bottom"/>
          </w:tcPr>
          <w:p>
            <w:pPr>
              <w:spacing w:after="0"/>
              <w:rPr>
                <w:sz w:val="1"/>
                <w:szCs w:val="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22,741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0" w:type="dxa"/>
            <w:vAlign w:val="bottom"/>
          </w:tcPr>
          <w:p>
            <w:pPr>
              <w:spacing w:after="0"/>
              <w:rPr>
                <w:sz w:val="1"/>
                <w:szCs w:val="1"/>
                <w:color w:val="auto"/>
              </w:rPr>
            </w:pPr>
          </w:p>
        </w:tc>
      </w:tr>
      <w:tr>
        <w:trPr>
          <w:trHeight w:val="26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time</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7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83,498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Aggregate time deposits in denominations of $0.25 million or more amounted to $223.4 million and $211.4 million at December 31, 2025 and 2024,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54"/>
        </w:trPr>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the maturity of time deposits at December 31, 2025, follows (1):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80"/>
        </w:trPr>
        <w:tc>
          <w:tcPr>
            <w:tcW w:w="9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6"/>
        </w:trPr>
        <w:tc>
          <w:tcPr>
            <w:tcW w:w="9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770,122</w:t>
            </w:r>
          </w:p>
        </w:tc>
      </w:tr>
      <w:tr>
        <w:trPr>
          <w:trHeight w:val="24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17,873</w:t>
            </w:r>
          </w:p>
        </w:tc>
      </w:tr>
      <w:tr>
        <w:trPr>
          <w:trHeight w:val="26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4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6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4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2"/>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793,741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(1)</w:t>
        <w:tab/>
        <w:t>Includes time deposits, brokered time deposits and reciprocal time deposits</w:t>
      </w:r>
    </w:p>
    <w:p>
      <w:pPr>
        <w:spacing w:after="0" w:line="313" w:lineRule="exact"/>
        <w:rPr>
          <w:sz w:val="20"/>
          <w:szCs w:val="20"/>
          <w:color w:val="auto"/>
        </w:rPr>
      </w:pPr>
    </w:p>
    <w:p>
      <w:pPr>
        <w:jc w:val="both"/>
        <w:ind w:firstLine="320"/>
        <w:spacing w:after="0" w:line="307" w:lineRule="auto"/>
        <w:rPr>
          <w:sz w:val="20"/>
          <w:szCs w:val="20"/>
          <w:color w:val="auto"/>
        </w:rPr>
      </w:pPr>
      <w:r>
        <w:rPr>
          <w:rFonts w:ascii="Times New Roman" w:cs="Times New Roman" w:eastAsia="Times New Roman" w:hAnsi="Times New Roman"/>
          <w:sz w:val="17"/>
          <w:szCs w:val="17"/>
          <w:color w:val="auto"/>
        </w:rPr>
        <w:t>Reciprocal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reciprocal deposits at December 31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862,697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797,181</w:t>
            </w: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112,224</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109,807</w:t>
            </w:r>
          </w:p>
        </w:tc>
        <w:tc>
          <w:tcPr>
            <w:tcW w:w="0" w:type="dxa"/>
            <w:vAlign w:val="bottom"/>
          </w:tcPr>
          <w:p>
            <w:pPr>
              <w:spacing w:after="0"/>
              <w:rPr>
                <w:sz w:val="1"/>
                <w:szCs w:val="1"/>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974,921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907,031</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BORROWINGS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other borrowings at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from the FHLB</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4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Borrowings with the FRB at both December 31, 2025 and 2024 were zero. Average borrowings with the FRB during the years ended December 31, 2025, 2024 and 2023 totaled $0.1 million, $0.2 million and $4.5 million, respectively. We had unused borrowing capacity with the FRB (subject to the FRB’s credit requirements and policies) of $1.24 billion at December 31, 2025. Collateral for FRB borrowings are certain securities AFS, securities HTM, commercial loans and installment loans. Interest expense on borrowings with the FRB amounted to $0.004 million, $0.013 million and $0.188 million for the years ended December 31, 2025, 2024 and 2023, respectively.</w:t>
      </w:r>
    </w:p>
    <w:p>
      <w:pPr>
        <w:spacing w:after="0" w:line="144"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Advances from the FHLB are secured by unencumbered qualifying mortgage and home equity loans with a market value equal to at least 125% to 165%, respectively, of outstanding advances as well as certain securities AFS, securities HTM and by the FHLB stock that we own. Unused borrowing capacity with the FHLB (subject to the FHLB’s credit requirements and policies) was $0.75 billion at December 31, 2025. Interest expense on advances amounted to $0.8 million, $2.0 million and $2.4 million for the years ended December 31, 2025, 2024 and 2023, respectively. During 2024 we exercised a call option and terminated a $50.0 million fixed rate advance with no penalty.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a member of the FHLB, we must own FHLB stock equal to the greater of 0.10% of total assets or 4.5% of our outstanding advances and certain loans sold to the FHLB. At December 31, 2025, we were in compliance with the FHLB stock ownership requirements.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maturity dates, weighted average interest rates and contractually required repayments of FHLB advances at December 31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291"/>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47"/>
        </w:trPr>
        <w:tc>
          <w:tcPr>
            <w:tcW w:w="4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47"/>
        </w:trPr>
        <w:tc>
          <w:tcPr>
            <w:tcW w:w="4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6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0"/>
        </w:trPr>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Fixed Rate Advances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7"/>
        </w:trPr>
        <w:tc>
          <w:tcPr>
            <w:tcW w:w="4900" w:type="dxa"/>
            <w:vAlign w:val="bottom"/>
            <w:tcBorders>
              <w:bottom w:val="single" w:sz="8" w:color="CCEEFF"/>
            </w:tcBorders>
          </w:tcPr>
          <w:p>
            <w:pPr>
              <w:jc w:val="right"/>
              <w:ind w:right="4291"/>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r>
      <w:tr>
        <w:trPr>
          <w:trHeight w:val="247"/>
        </w:trPr>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fixed rate advances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53"/>
        </w:trPr>
        <w:tc>
          <w:tcPr>
            <w:tcW w:w="4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4"/>
        </w:trPr>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Variable Rate Advances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7"/>
        </w:trPr>
        <w:tc>
          <w:tcPr>
            <w:tcW w:w="4900" w:type="dxa"/>
            <w:vAlign w:val="bottom"/>
          </w:tcPr>
          <w:p>
            <w:pPr>
              <w:jc w:val="right"/>
              <w:ind w:right="429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1"/>
                <w:szCs w:val="21"/>
                <w:color w:val="auto"/>
              </w:rPr>
            </w:pP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260"/>
        </w:trPr>
        <w:tc>
          <w:tcPr>
            <w:tcW w:w="4900" w:type="dxa"/>
            <w:vAlign w:val="bottom"/>
            <w:shd w:val="clear" w:color="auto" w:fill="CCEEFF"/>
          </w:tcPr>
          <w:p>
            <w:pPr>
              <w:jc w:val="right"/>
              <w:ind w:right="4291"/>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9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variable rate advances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r>
      <w:tr>
        <w:trPr>
          <w:trHeight w:val="253"/>
        </w:trPr>
        <w:tc>
          <w:tcPr>
            <w:tcW w:w="49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0"/>
        </w:trPr>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FHLB advances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26"/>
        </w:trPr>
        <w:tc>
          <w:tcPr>
            <w:tcW w:w="49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242424"/>
              <w:bottom w:val="single" w:sz="8" w:color="242424"/>
            </w:tcBorders>
          </w:tcPr>
          <w:p>
            <w:pPr>
              <w:spacing w:after="0"/>
              <w:rPr>
                <w:sz w:val="2"/>
                <w:szCs w:val="2"/>
                <w:color w:val="auto"/>
              </w:rPr>
            </w:pPr>
          </w:p>
        </w:tc>
        <w:tc>
          <w:tcPr>
            <w:tcW w:w="1120" w:type="dxa"/>
            <w:vAlign w:val="bottom"/>
            <w:tcBorders>
              <w:top w:val="single" w:sz="8" w:color="242424"/>
              <w:bottom w:val="single" w:sz="8" w:color="242424"/>
            </w:tcBorders>
          </w:tcPr>
          <w:p>
            <w:pPr>
              <w:spacing w:after="0"/>
              <w:rPr>
                <w:sz w:val="2"/>
                <w:szCs w:val="2"/>
                <w:color w:val="auto"/>
              </w:rPr>
            </w:pPr>
          </w:p>
        </w:tc>
        <w:tc>
          <w:tcPr>
            <w:tcW w:w="60" w:type="dxa"/>
            <w:vAlign w:val="bottom"/>
            <w:tcBorders>
              <w:top w:val="single" w:sz="8" w:color="242424"/>
              <w:bottom w:val="single" w:sz="8" w:color="242424"/>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r>
    </w:tbl>
    <w:p>
      <w:pPr>
        <w:spacing w:after="0" w:line="289"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Assets, consisting of securities AFS, securities HTM, FHLB stock and loans, pledged to secure other borrowings and unused borrowing capacity totaled $2.86 billion at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SUBORDINATED DEBT AND DEBENTURES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22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(May 31, 2030 maturity date) and a five year call option. The initial coupon rate was 5.95% fixed for five years and then floated at the Secured Overnight Financing Rate (“SOFR”) plus 5.825%. These notes are presented in the Consolidated Statements of Financial Condition under the caption “Subordinated debt” and the balances of zero and $39.59 million at December 31, 2025 and 2024, respectively. The December 31, 2024 balance was net of remaining unamortized deferred issuance costs of approximately $0.41 million that was being amortized through the maturity date into interest expense on other borrowings and subordinated debt and debentures in our Consolidated Statements of Operations. On September 2, 2025 we redeemed our $40.0 million floating subordinated notes. As a result, we accelerated the remaining unamortized net issuance costs of $0.36 million during the third quarter of 2025 into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$38.6 million and $38.6 million at December 31, 2025 and 2024, respectively, qualified as Tier 1 regulatory capital.</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the result of a previous acquisition we acquired TCSB Statutory Trust I as summarized in the tables below at a discount. The discount at acquisition totaled $1.4 million and is being amortized through its maturity date and is included in interest expense – other borrowings and subordinated debt and debentures in the Consolidated Statements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Summary information regarding subordinated debentures as of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20" w:type="dxa"/>
            <w:vAlign w:val="bottom"/>
            <w:tcBorders>
              <w:bottom w:val="single" w:sz="8" w:color="auto"/>
            </w:tcBorders>
          </w:tcPr>
          <w:p>
            <w:pPr>
              <w:spacing w:after="0"/>
              <w:rPr>
                <w:sz w:val="21"/>
                <w:szCs w:val="21"/>
                <w:color w:val="auto"/>
              </w:rPr>
            </w:pPr>
          </w:p>
        </w:tc>
      </w:tr>
      <w:tr>
        <w:trPr>
          <w:trHeight w:val="218"/>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42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3"/>
        </w:trPr>
        <w:tc>
          <w:tcPr>
            <w:tcW w:w="2820" w:type="dxa"/>
            <w:vAlign w:val="bottom"/>
          </w:tcPr>
          <w:p>
            <w:pPr>
              <w:spacing w:after="0"/>
              <w:rPr>
                <w:sz w:val="18"/>
                <w:szCs w:val="18"/>
                <w:color w:val="auto"/>
              </w:rPr>
            </w:pPr>
          </w:p>
        </w:tc>
        <w:tc>
          <w:tcPr>
            <w:tcW w:w="38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Subordinated</w:t>
            </w: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Debentures</w:t>
            </w:r>
          </w:p>
        </w:tc>
        <w:tc>
          <w:tcPr>
            <w:tcW w:w="17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40"/>
        </w:trPr>
        <w:tc>
          <w:tcPr>
            <w:tcW w:w="28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2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34225" cy="161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III</w:t>
      </w:r>
      <w:r>
        <w:rPr>
          <w:sz w:val="20"/>
          <w:szCs w:val="20"/>
          <w:color w:val="auto"/>
        </w:rPr>
        <w:tab/>
      </w:r>
      <w:r>
        <w:rPr>
          <w:rFonts w:ascii="Times New Roman" w:cs="Times New Roman" w:eastAsia="Times New Roman" w:hAnsi="Times New Roman"/>
          <w:sz w:val="17"/>
          <w:szCs w:val="17"/>
          <w:color w:val="auto"/>
        </w:rPr>
        <w:t>May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IV</w:t>
      </w:r>
      <w:r>
        <w:rPr>
          <w:sz w:val="20"/>
          <w:szCs w:val="20"/>
          <w:color w:val="auto"/>
        </w:rPr>
        <w:tab/>
      </w:r>
      <w:r>
        <w:rPr>
          <w:rFonts w:ascii="Times New Roman" w:cs="Times New Roman" w:eastAsia="Times New Roman" w:hAnsi="Times New Roman"/>
          <w:sz w:val="17"/>
          <w:szCs w:val="17"/>
          <w:color w:val="auto"/>
        </w:rPr>
        <w:t>September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Midwest Guaranty Trust I</w:t>
      </w:r>
      <w:r>
        <w:rPr>
          <w:sz w:val="20"/>
          <w:szCs w:val="20"/>
          <w:color w:val="auto"/>
        </w:rPr>
        <w:tab/>
      </w:r>
      <w:r>
        <w:rPr>
          <w:rFonts w:ascii="Times New Roman" w:cs="Times New Roman" w:eastAsia="Times New Roman" w:hAnsi="Times New Roman"/>
          <w:sz w:val="17"/>
          <w:szCs w:val="17"/>
          <w:color w:val="auto"/>
        </w:rPr>
        <w:t>November 2002</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TCSB Statutory Trust I</w:t>
      </w:r>
      <w:r>
        <w:rPr>
          <w:sz w:val="20"/>
          <w:szCs w:val="20"/>
          <w:color w:val="auto"/>
        </w:rPr>
        <w:tab/>
      </w:r>
      <w:r>
        <w:rPr>
          <w:rFonts w:ascii="Times New Roman" w:cs="Times New Roman" w:eastAsia="Times New Roman" w:hAnsi="Times New Roman"/>
          <w:sz w:val="17"/>
          <w:szCs w:val="17"/>
          <w:color w:val="auto"/>
        </w:rPr>
        <w:t>March 2005</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Discount on TCSB Statutory Trust 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12,372</w:t>
            </w:r>
          </w:p>
        </w:tc>
        <w:tc>
          <w:tcPr>
            <w:tcW w:w="5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c>
          <w:tcPr>
            <w:tcW w:w="6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15,465</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7,732</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0"/>
        </w:trPr>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39,864</w:t>
            </w:r>
          </w:p>
        </w:tc>
        <w:tc>
          <w:tcPr>
            <w:tcW w:w="5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38,640</w:t>
            </w:r>
          </w:p>
        </w:tc>
        <w:tc>
          <w:tcPr>
            <w:tcW w:w="6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6"/>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-685800</wp:posOffset>
            </wp:positionV>
            <wp:extent cx="7134225" cy="161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-363855</wp:posOffset>
            </wp:positionV>
            <wp:extent cx="7134225" cy="161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620"/>
          </w:cols>
          <w:pgMar w:left="320" w:top="121" w:right="3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20" w:type="dxa"/>
            <w:vAlign w:val="bottom"/>
            <w:tcBorders>
              <w:bottom w:val="single" w:sz="8" w:color="auto"/>
            </w:tcBorders>
          </w:tcPr>
          <w:p>
            <w:pPr>
              <w:spacing w:after="0"/>
              <w:rPr>
                <w:sz w:val="21"/>
                <w:szCs w:val="21"/>
                <w:color w:val="auto"/>
              </w:rPr>
            </w:pPr>
          </w:p>
        </w:tc>
      </w:tr>
      <w:tr>
        <w:trPr>
          <w:trHeight w:val="218"/>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42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3"/>
        </w:trPr>
        <w:tc>
          <w:tcPr>
            <w:tcW w:w="2820" w:type="dxa"/>
            <w:vAlign w:val="bottom"/>
          </w:tcPr>
          <w:p>
            <w:pPr>
              <w:spacing w:after="0"/>
              <w:rPr>
                <w:sz w:val="18"/>
                <w:szCs w:val="18"/>
                <w:color w:val="auto"/>
              </w:rPr>
            </w:pPr>
          </w:p>
        </w:tc>
        <w:tc>
          <w:tcPr>
            <w:tcW w:w="3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Subordinated</w:t>
            </w: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5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Debentures</w:t>
            </w:r>
          </w:p>
        </w:tc>
        <w:tc>
          <w:tcPr>
            <w:tcW w:w="17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40"/>
        </w:trPr>
        <w:tc>
          <w:tcPr>
            <w:tcW w:w="28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2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34225" cy="161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1"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III</w:t>
      </w:r>
      <w:r>
        <w:rPr>
          <w:sz w:val="20"/>
          <w:szCs w:val="20"/>
          <w:color w:val="auto"/>
        </w:rPr>
        <w:tab/>
      </w:r>
      <w:r>
        <w:rPr>
          <w:rFonts w:ascii="Times New Roman" w:cs="Times New Roman" w:eastAsia="Times New Roman" w:hAnsi="Times New Roman"/>
          <w:sz w:val="17"/>
          <w:szCs w:val="17"/>
          <w:color w:val="auto"/>
        </w:rPr>
        <w:t>May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IV</w:t>
      </w:r>
      <w:r>
        <w:rPr>
          <w:sz w:val="20"/>
          <w:szCs w:val="20"/>
          <w:color w:val="auto"/>
        </w:rPr>
        <w:tab/>
      </w:r>
      <w:r>
        <w:rPr>
          <w:rFonts w:ascii="Times New Roman" w:cs="Times New Roman" w:eastAsia="Times New Roman" w:hAnsi="Times New Roman"/>
          <w:sz w:val="17"/>
          <w:szCs w:val="17"/>
          <w:color w:val="auto"/>
        </w:rPr>
        <w:t>September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Midwest Guaranty Trust I</w:t>
      </w:r>
      <w:r>
        <w:rPr>
          <w:sz w:val="20"/>
          <w:szCs w:val="20"/>
          <w:color w:val="auto"/>
        </w:rPr>
        <w:tab/>
      </w:r>
      <w:r>
        <w:rPr>
          <w:rFonts w:ascii="Times New Roman" w:cs="Times New Roman" w:eastAsia="Times New Roman" w:hAnsi="Times New Roman"/>
          <w:sz w:val="17"/>
          <w:szCs w:val="17"/>
          <w:color w:val="auto"/>
        </w:rPr>
        <w:t>November 2002</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TCSB Statutory Trust I</w:t>
      </w:r>
      <w:r>
        <w:rPr>
          <w:sz w:val="20"/>
          <w:szCs w:val="20"/>
          <w:color w:val="auto"/>
        </w:rPr>
        <w:tab/>
      </w:r>
      <w:r>
        <w:rPr>
          <w:rFonts w:ascii="Times New Roman" w:cs="Times New Roman" w:eastAsia="Times New Roman" w:hAnsi="Times New Roman"/>
          <w:sz w:val="17"/>
          <w:szCs w:val="17"/>
          <w:color w:val="auto"/>
        </w:rPr>
        <w:t>March 2005</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Discount on TCSB Statutory Trust 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12,372</w:t>
            </w:r>
          </w:p>
        </w:tc>
        <w:tc>
          <w:tcPr>
            <w:tcW w:w="5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c>
          <w:tcPr>
            <w:tcW w:w="6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15,465</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7,732</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0"/>
        </w:trPr>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39,796</w:t>
            </w:r>
          </w:p>
        </w:tc>
        <w:tc>
          <w:tcPr>
            <w:tcW w:w="5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38,572</w:t>
            </w:r>
          </w:p>
        </w:tc>
        <w:tc>
          <w:tcPr>
            <w:tcW w:w="6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6"/>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-685800</wp:posOffset>
            </wp:positionV>
            <wp:extent cx="7134225" cy="161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-363855</wp:posOffset>
            </wp:positionV>
            <wp:extent cx="7134225" cy="161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620"/>
          </w:cols>
          <w:pgMar w:left="320" w:top="121" w:right="339" w:bottom="1440" w:gutter="0" w:footer="0" w:header="0"/>
          <w:type w:val="continuous"/>
        </w:sectPr>
      </w:pP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key terms for the subordinated debentures and trust preferred securities that were outstanding at December 31, 2025 and 2024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23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294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First Permitted</w:t>
            </w:r>
          </w:p>
        </w:tc>
      </w:tr>
      <w:tr>
        <w:trPr>
          <w:trHeight w:val="256"/>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3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5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Redemption Date</w:t>
            </w:r>
          </w:p>
        </w:tc>
      </w:tr>
      <w:tr>
        <w:trPr>
          <w:trHeight w:val="253"/>
        </w:trPr>
        <w:tc>
          <w:tcPr>
            <w:tcW w:w="22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IBC Capital Finance III</w:t>
            </w:r>
          </w:p>
        </w:tc>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July 30, 2037</w:t>
            </w:r>
          </w:p>
        </w:tc>
        <w:tc>
          <w:tcPr>
            <w:tcW w:w="29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3 month SOFR plus 1.86%</w:t>
            </w:r>
          </w:p>
        </w:tc>
        <w:tc>
          <w:tcPr>
            <w:tcW w:w="2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July 30, 2012</w:t>
            </w:r>
          </w:p>
        </w:tc>
      </w:tr>
      <w:tr>
        <w:trPr>
          <w:trHeight w:val="247"/>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IBC Capital Finance IV</w:t>
            </w:r>
          </w:p>
        </w:tc>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15, 2037</w:t>
            </w:r>
          </w:p>
        </w:tc>
        <w:tc>
          <w:tcPr>
            <w:tcW w:w="29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3 month SOFR plus 3.11%</w:t>
            </w:r>
          </w:p>
        </w:tc>
        <w:tc>
          <w:tcPr>
            <w:tcW w:w="2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September 15, 2012</w:t>
            </w:r>
          </w:p>
        </w:tc>
      </w:tr>
      <w:tr>
        <w:trPr>
          <w:trHeight w:val="26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Midwest Guaranty Trust I</w:t>
            </w:r>
          </w:p>
        </w:tc>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7, 2032</w:t>
            </w:r>
          </w:p>
        </w:tc>
        <w:tc>
          <w:tcPr>
            <w:tcW w:w="29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3 month SOFR plus 3.71%</w:t>
            </w:r>
          </w:p>
        </w:tc>
        <w:tc>
          <w:tcPr>
            <w:tcW w:w="2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November 7, 2007</w:t>
            </w:r>
          </w:p>
        </w:tc>
      </w:tr>
      <w:tr>
        <w:trPr>
          <w:trHeight w:val="241"/>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TCSB Statutory Trust I</w:t>
            </w:r>
          </w:p>
        </w:tc>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17, 2035</w:t>
            </w:r>
          </w:p>
        </w:tc>
        <w:tc>
          <w:tcPr>
            <w:tcW w:w="29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3 month SOFR plus 2.46%</w:t>
            </w:r>
          </w:p>
        </w:tc>
        <w:tc>
          <w:tcPr>
            <w:tcW w:w="2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March 17, 2010</w:t>
            </w:r>
          </w:p>
        </w:tc>
      </w:tr>
    </w:tbl>
    <w:p>
      <w:pPr>
        <w:spacing w:after="0" w:line="3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2025 and 2024.</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Distributions (payment of interest) on the trust preferred securities are included in interest expense – other borrowings and subordinated debt and debentures in the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CONTINGENT LIABILITIES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financial instruments with off-balance sheet risk at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1"/>
                <w:szCs w:val="21"/>
                <w:color w:val="auto"/>
              </w:rPr>
            </w:pPr>
          </w:p>
        </w:tc>
      </w:tr>
      <w:tr>
        <w:trPr>
          <w:trHeight w:val="247"/>
        </w:trPr>
        <w:tc>
          <w:tcPr>
            <w:tcW w:w="6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13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Variable Rate</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Variable Rate</w:t>
            </w:r>
          </w:p>
        </w:tc>
      </w:tr>
      <w:tr>
        <w:trPr>
          <w:trHeight w:val="240"/>
        </w:trPr>
        <w:tc>
          <w:tcPr>
            <w:tcW w:w="6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whose risk is represented by contract amounts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0"/>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154,519</w:t>
            </w:r>
          </w:p>
        </w:tc>
        <w:tc>
          <w:tcPr>
            <w:tcW w:w="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922,192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135,449</w:t>
            </w:r>
          </w:p>
        </w:tc>
        <w:tc>
          <w:tcPr>
            <w:tcW w:w="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816,850</w:t>
            </w:r>
          </w:p>
        </w:tc>
      </w:tr>
      <w:tr>
        <w:trPr>
          <w:trHeight w:val="241"/>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r>
    </w:tbl>
    <w:p>
      <w:pPr>
        <w:spacing w:after="0" w:line="30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 Fixed rate commitments to extend credit have interest rates ranging from zero to 18.00% and maturities ranging from less than one year to 10 years.</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on-demand with no stated maturity date and have variable rates that range from 3.25% to 12.75%.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w:t>
      </w:r>
    </w:p>
    <w:p>
      <w:pPr>
        <w:spacing w:after="0" w:line="235" w:lineRule="exact"/>
        <w:rPr>
          <w:sz w:val="20"/>
          <w:szCs w:val="20"/>
          <w:color w:val="auto"/>
        </w:rPr>
      </w:pPr>
    </w:p>
    <w:p>
      <w:pPr>
        <w:jc w:val="both"/>
        <w:ind w:firstLine="320"/>
        <w:spacing w:after="0" w:line="227" w:lineRule="auto"/>
        <w:rPr>
          <w:sz w:val="20"/>
          <w:szCs w:val="20"/>
          <w:color w:val="auto"/>
        </w:rPr>
      </w:pPr>
      <w:r>
        <w:rPr>
          <w:rFonts w:ascii="Times New Roman" w:cs="Times New Roman" w:eastAsia="Times New Roman" w:hAnsi="Times New Roman"/>
          <w:sz w:val="18"/>
          <w:szCs w:val="18"/>
          <w:color w:val="auto"/>
        </w:rPr>
        <w:t>Pressures from various global and national macroeconomic conditions, including significant volatility and uncertainty with U.S. and global market conditions, the direct and indirect impacts of potential changes to U.S. trade policies, recessionary concerns, uncertainty regarding future interest rates, foreign currency exchange rate fluctuations, the continuation of the Russia-Ukraine war, ongoing and potentially increasing conflict in the Middle East, and potential governmental responses to these events, continue to create significant economic uncertainty. In addition, pursuit of various initiatives announced by the Trump administration may create some degree of volatility in our customers’ businesses, regulation of the financial services industry, and the markets in which we operate.</w:t>
      </w:r>
    </w:p>
    <w:p>
      <w:pPr>
        <w:spacing w:after="0" w:line="200" w:lineRule="exact"/>
        <w:rPr>
          <w:sz w:val="20"/>
          <w:szCs w:val="20"/>
          <w:color w:val="auto"/>
        </w:rPr>
      </w:pPr>
    </w:p>
    <w:p>
      <w:pPr>
        <w:jc w:val="both"/>
        <w:ind w:firstLine="320"/>
        <w:spacing w:after="0" w:line="233" w:lineRule="auto"/>
        <w:rPr>
          <w:sz w:val="20"/>
          <w:szCs w:val="20"/>
          <w:color w:val="auto"/>
        </w:rPr>
      </w:pPr>
      <w:r>
        <w:rPr>
          <w:rFonts w:ascii="Times New Roman" w:cs="Times New Roman" w:eastAsia="Times New Roman" w:hAnsi="Times New Roman"/>
          <w:sz w:val="18"/>
          <w:szCs w:val="18"/>
          <w:color w:val="auto"/>
        </w:rPr>
        <w:t>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securities held to maturity, loans, capitalized mortgage loan servicing rights or deferred tax assets.</w:t>
      </w:r>
    </w:p>
    <w:p>
      <w:pPr>
        <w:spacing w:after="0" w:line="197" w:lineRule="exact"/>
        <w:rPr>
          <w:sz w:val="20"/>
          <w:szCs w:val="20"/>
          <w:color w:val="auto"/>
        </w:rPr>
      </w:pPr>
    </w:p>
    <w:p>
      <w:pPr>
        <w:jc w:val="both"/>
        <w:ind w:firstLine="320"/>
        <w:spacing w:after="0" w:line="233" w:lineRule="auto"/>
        <w:rPr>
          <w:sz w:val="20"/>
          <w:szCs w:val="20"/>
          <w:color w:val="auto"/>
        </w:rPr>
      </w:pPr>
      <w:r>
        <w:rPr>
          <w:rFonts w:ascii="Times New Roman" w:cs="Times New Roman" w:eastAsia="Times New Roman" w:hAnsi="Times New Roman"/>
          <w:sz w:val="18"/>
          <w:szCs w:val="18"/>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which currently include three putative class action complaints brought against the Bank alleging that its practice of charging overdraft and other fees was not consistent with the disclosures the Bank made to consumers. These lawsuits are similar to lawsuits that have recently been filed against other financial institutions pertaining to overdraft fee disclosures. No class has been certified in any of the putative class action complaints brought against the Bank, and we believe we have valid defenses to each of the claims that have been made. The aggregate amount we have accrued for losses we consider probable as a result of all of our outstanding litigation matters is not material. However, because of the inherent uncertainty of outcomes from any litigation matter and because these types of lawsuits often result in settlement, we believe it is reasonably possible we may incur losses in addition to the amounts we have accrued. At this time, we are unable to provide an estimate of the losses that we believe are reasonably possible, primarily because we are still conducting diligence on the underlying factual issues and significant matters remain to be resolved in the litigation, including the issue of class certification.</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Stock</w:t>
      </w:r>
    </w:p>
    <w:p>
      <w:pPr>
        <w:spacing w:after="0" w:line="18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Each Class C share automatically converts to 4 shares of Visa Inc. Class A common stock upon a transfer to anyone other than a Visa member or an affiliate of a Visa member. The Class B-2 shares have the same transfer restrictions as the transfer restrictions on the Class B-1 shares and can only be sold to other Class B shareholders.</w:t>
      </w:r>
    </w:p>
    <w:p>
      <w:pPr>
        <w:spacing w:after="0" w:line="7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Because of the very limited liquidity for the Class B-1 shares (prior to completion of the exchange offer) and uncertainty regarding the likelihood, ultimate timing, and eventual exchange rate for Class B-1 shares into Class A shares, we were carrying these shares at zero (prior to the completion of the exchange offer), representing cost basis less impairment. In light of the continued uncertainty regarding the likelihood, ultimate timing, and eventual exchange rate for Class B-2 shares into Class A shares, we are carrying the Class B-2 shares at zero at both December 31 2025 and 2024, representing cost basis less impairment. However, given the current conversion ratio of 1.5108 Class A shares for every 1 Class B-2 share and the closing price of Visa Class A shares on February 24, 2026 of $307.22 per share, our 6,283 Class B-2 shares would have a current “value” of approximately $2.9 million.</w:t>
      </w:r>
    </w:p>
    <w:p>
      <w:pPr>
        <w:spacing w:after="0" w:line="159"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With the completion of the exchange discussed above, we recorded a gain related to the Class C shares of $2.677 million during the second quarter of 2024 based on the conversion privilege of those shares and the closing price of the Class A shares on May 3, 2024 (the exchange expiration date) of $268.49 per share. Subsequent to the exchange, we sold all 2,493 shares of our Class C shares for net proceeds of $2.685 million. We held no Class C shares at December 31, 2025 and 2024.</w:t>
      </w:r>
    </w:p>
    <w:p>
      <w:pPr>
        <w:spacing w:after="0" w:line="14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As a condition to our participation in the exchange offer,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 are designed to equal the decline in value we would have experienced had we not participated in Visa’s exchange offer. Based on the disclosures that have been made by Visa regarding the status of this litigation and other circumstances relating to the exchange offer and potential future, similar exchange offers, we believe the likelihood we will have to make any payments under the Makewhole Agreement is remote.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SHAREHOLDERS’ EQUITY AND NET INCOME PER COMMON SHARE</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Board of Directors authorized share repurchase plans to buy back up to 5% of our outstanding common stock during 2025, 2024 and 2023. During 2025 and 2023 repurchases were made through open market transactions and totaled 407,113 and 298,601 shares of common stock, respectively for an aggregate purchase price of $12.4 million and $5.2 million, respectively. There were no shares of common stock repurchased pursuant to this authorization during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for the years ended December 31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67"/>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80" w:type="dxa"/>
            <w:vAlign w:val="bottom"/>
            <w:gridSpan w:val="6"/>
          </w:tcPr>
          <w:p>
            <w:pPr>
              <w:jc w:val="center"/>
              <w:ind w:left="11"/>
              <w:spacing w:after="0" w:line="167" w:lineRule="exact"/>
              <w:rPr>
                <w:sz w:val="20"/>
                <w:szCs w:val="20"/>
                <w:color w:val="auto"/>
              </w:rPr>
            </w:pPr>
            <w:r>
              <w:rPr>
                <w:rFonts w:ascii="Times New Roman" w:cs="Times New Roman" w:eastAsia="Times New Roman" w:hAnsi="Times New Roman"/>
                <w:sz w:val="18"/>
                <w:szCs w:val="18"/>
                <w:b w:val="1"/>
                <w:bCs w:val="1"/>
                <w:color w:val="auto"/>
                <w:w w:val="98"/>
              </w:rPr>
              <w:t>(In thousands, except per share</w:t>
            </w:r>
          </w:p>
        </w:tc>
        <w:tc>
          <w:tcPr>
            <w:tcW w:w="1020" w:type="dxa"/>
            <w:vAlign w:val="bottom"/>
          </w:tcPr>
          <w:p>
            <w:pPr>
              <w:spacing w:after="0"/>
              <w:rPr>
                <w:sz w:val="14"/>
                <w:szCs w:val="14"/>
                <w:color w:val="auto"/>
              </w:rPr>
            </w:pPr>
          </w:p>
        </w:tc>
      </w:tr>
      <w:tr>
        <w:trPr>
          <w:trHeight w:val="238"/>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amounts)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68,541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 for deferred compensation plan for non-employee directors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 of stock options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5"/>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for calculation of diluted earnings per share</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(1)</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277" w:lineRule="exact"/>
        <w:rPr>
          <w:sz w:val="20"/>
          <w:szCs w:val="20"/>
          <w:color w:val="auto"/>
        </w:rPr>
      </w:pPr>
    </w:p>
    <w:p>
      <w:pPr>
        <w:ind w:left="480" w:hanging="456"/>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per common share includes weighted average common shares outstanding during the period.</w:t>
      </w:r>
    </w:p>
    <w:p>
      <w:pPr>
        <w:spacing w:after="0" w:line="327"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each year ended 2025, 2024 and 2023,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INCOME TAX</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composition of income tax expense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16,281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17,504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8"/>
              </w:rPr>
              <w:t>(1,248)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12,750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are subject to U.S. federal income taxes and are not subject to state or foreign income taxes. A reconciliation of income tax expense to the amount computed by applying the statutory federal income tax rate of 21% for 2025, 2024 and 2023 to the income before income tax for the years ended December 31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r>
      <w:tr>
        <w:trPr>
          <w:trHeight w:val="220"/>
        </w:trPr>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rate applied to income before income tax</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5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8"/>
              </w:rPr>
              <w:t>21.0%</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r>
      <w:tr>
        <w:trPr>
          <w:trHeight w:val="22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tax credits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27"/>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investments, net of amortization</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9"/>
                <w:szCs w:val="19"/>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7"/>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Tax-exempt interest income</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Pr>
          <w:p>
            <w:pPr>
              <w:spacing w:after="0"/>
              <w:rPr>
                <w:sz w:val="19"/>
                <w:szCs w:val="19"/>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r>
      <w:tr>
        <w:trPr>
          <w:trHeight w:val="227"/>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r>
      <w:tr>
        <w:trPr>
          <w:trHeight w:val="227"/>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meals, entertainment and memberships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r>
      <w:tr>
        <w:trPr>
          <w:trHeight w:val="22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ownership plan dividends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r>
      <w:tr>
        <w:trPr>
          <w:trHeight w:val="22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15.7%</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40" w:type="dxa"/>
            <w:vAlign w:val="bottom"/>
          </w:tcPr>
          <w:p>
            <w:pPr>
              <w:spacing w:after="0"/>
              <w:rPr>
                <w:sz w:val="19"/>
                <w:szCs w:val="19"/>
                <w:color w:val="auto"/>
              </w:rPr>
            </w:pPr>
          </w:p>
        </w:tc>
        <w:tc>
          <w:tcPr>
            <w:tcW w:w="7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19.6%</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19.8%</w:t>
            </w:r>
          </w:p>
        </w:tc>
      </w:tr>
      <w:tr>
        <w:trPr>
          <w:trHeight w:val="20"/>
        </w:trPr>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rPr>
          <w:sz w:val="20"/>
          <w:szCs w:val="20"/>
          <w:color w:val="auto"/>
        </w:rPr>
      </w:pPr>
      <w:r>
        <w:rPr>
          <w:rFonts w:ascii="Times New Roman" w:cs="Times New Roman" w:eastAsia="Times New Roman" w:hAnsi="Times New Roman"/>
          <w:sz w:val="18"/>
          <w:szCs w:val="18"/>
          <w:color w:val="auto"/>
        </w:rPr>
        <w:t>In December, 2025, we executed a Tax Credit Transfer Agreement (TCTA) whereby we agreed to purchase $22.9 million of 2025 Section 48 tax credits at a purchase price of 92% of the tax credit amount. The purchase price of $21.1 million was paid by us to the seller, an independent third party on January 15, 2026. We plan to utilize the purchased tax credits of $22.9 million to offset amounts that otherwise would be due and payable to the IRS for 2025 and prior tax years. The accounting treatment at December 31, 2025 is an increase in income tax receivable from the Internal Revenue Service ("IRS") of $22.9 million (recorded in Accrued income and other assets in the Consolidated Statements of Financial Condition), a liability to the seller of $21.1 million (recorded in Accrued expenses and other liabilities in the Consolidated Statements of Financial Condition), and a reduction to income tax expense of $1.8 million in the Consolidated Statements of Operations for the year ending December 31, 2025. This $1.8 million is included in "Purchased tax credits" in the table above. The $21.1 million liability to the seller was paid on January 15, 2026.</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the deferred tax assets and deferred tax liabilities at December 31 follow: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3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 AFS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 HTM transferred from AFS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unfunded lending commitments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accrual loan interest income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reimbursement on sold loans reserve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than temporary impairment charge on securities available for sale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Securities premium amortization</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35,674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38,375</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loan fees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 of use asset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premiums,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10,939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 assets, net (1)</w:t>
            </w:r>
          </w:p>
        </w:tc>
        <w:tc>
          <w:tcPr>
            <w:tcW w:w="9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24,735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480" w:hanging="456"/>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on the Consolidated Statements of Financial Position.</w:t>
      </w:r>
    </w:p>
    <w:p>
      <w:pPr>
        <w:spacing w:after="0" w:line="31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2025 and 2024, that the realization of substantially all of our deferred tax assets continues to be more likely than not.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unrecognized tax benefits for the years ended December 31 follow:</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6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due to settlements</w:t>
            </w:r>
          </w:p>
        </w:tc>
        <w:tc>
          <w:tcPr>
            <w:tcW w:w="10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If recognized, the entire amount of unrecognized tax benefits, net of $0.04 million of federal tax on state benefits, would affect our effective tax rate. No amounts were expensed for interest and penalties for the years ended December 31,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2025, 2024 and 2023. No amounts were accrued for interest and penalties at December 31, 2025, 2024 and 2023. At December 31, 2025, U.S. Federal tax years 2022 through the present remain open to examination.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BASED COMPENSATION AND BENEFIT PLANS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0.30 million shares of common stock as of December 31, 2025. The non-employee director stock purchase plan permits the issuance of additional share based payments for up to 0.05 million shares of common stock as of December 31, 2025. Share based awards and payments are measured at fair value at the date of grant and are expensed over the requisite service period. Common shares issued upon exercise of stock options come from currently authorized but unissued shares.</w:t>
      </w:r>
    </w:p>
    <w:p>
      <w:pPr>
        <w:spacing w:after="0" w:line="18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During 2025, 2024 and 2023 pursuant to our long-term incentive plan, we granted 0.05 million, 0.09 million and 0.08 million shares, respectively of restricted stock and 0.02 million during each year of performance stock units (‘‘PSU’’), to certain officers. The shares of restricted stock and PSUs generally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6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We issued 0.01 million, 0.01 million and 0.02 million shares to directors pursuant to this plan during each of the years ending 2025, 2024 and 2023, respectively and expensed their value during those same periods.</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$2.5 million, $2.1 million and $1.9 million in 2025, 2024 and 2023, respectively. The corresponding tax benefit relating to this expense was $0.5 million, $0.4 million, and $0.4 million during each year, respectively. Total expense recognized for non-employee director share based payments was $0.3 million, $0.2 million, and $0.4 million for the years ending 2025, 2024 and 2023, respectively. The corresponding tax benefit relating to this expense was $0.06 million, $0.05 million and $0.08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Aggregated</w:t>
            </w:r>
          </w:p>
        </w:tc>
      </w:tr>
      <w:tr>
        <w:trPr>
          <w:trHeight w:val="213"/>
        </w:trPr>
        <w:tc>
          <w:tcPr>
            <w:tcW w:w="50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36"/>
        </w:trPr>
        <w:tc>
          <w:tcPr>
            <w:tcW w:w="504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4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6"/>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4"/>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6"/>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4"/>
        </w:trPr>
        <w:tc>
          <w:tcPr>
            <w:tcW w:w="50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ending December 31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12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0"/>
        </w:trPr>
        <w:tc>
          <w:tcPr>
            <w:tcW w:w="6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00"/>
        </w:trPr>
        <w:tc>
          <w:tcPr>
            <w:tcW w:w="66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Cash proceeds received</w:t>
            </w:r>
          </w:p>
        </w:tc>
        <w:tc>
          <w:tcPr>
            <w:tcW w:w="1200" w:type="dxa"/>
            <w:vAlign w:val="bottom"/>
            <w:tcBorders>
              <w:top w:val="single" w:sz="8" w:color="auto"/>
              <w:bottom w:val="single" w:sz="8" w:color="auto"/>
            </w:tcBorders>
          </w:tcPr>
          <w:p>
            <w:pPr>
              <w:jc w:val="right"/>
              <w:ind w:right="10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realized</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81"/>
        </w:trPr>
        <w:tc>
          <w:tcPr>
            <w:tcW w:w="7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A summary of outstanding non-vested stock (restricted stock and PSUs) and related transactions follows: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7"/>
        </w:trPr>
        <w:tc>
          <w:tcPr>
            <w:tcW w:w="6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3"/>
        </w:trPr>
        <w:tc>
          <w:tcPr>
            <w:tcW w:w="6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3"/>
        </w:trPr>
        <w:tc>
          <w:tcPr>
            <w:tcW w:w="6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0" w:type="dxa"/>
            <w:vAlign w:val="bottom"/>
          </w:tcPr>
          <w:p>
            <w:pPr>
              <w:spacing w:after="0"/>
              <w:rPr>
                <w:sz w:val="18"/>
                <w:szCs w:val="18"/>
                <w:color w:val="auto"/>
              </w:rPr>
            </w:pPr>
          </w:p>
        </w:tc>
        <w:tc>
          <w:tcPr>
            <w:tcW w:w="12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6"/>
        </w:trPr>
        <w:tc>
          <w:tcPr>
            <w:tcW w:w="6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Pr>
          <w:p>
            <w:pPr>
              <w:spacing w:after="0"/>
              <w:rPr>
                <w:sz w:val="20"/>
                <w:szCs w:val="20"/>
                <w:color w:val="auto"/>
              </w:rPr>
            </w:pPr>
          </w:p>
        </w:tc>
        <w:tc>
          <w:tcPr>
            <w:tcW w:w="12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6"/>
        </w:trPr>
        <w:tc>
          <w:tcPr>
            <w:tcW w:w="66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4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At December 31, 2025, the total expected compensation cost related to non-vested restricted stock and PSUs not yet recognized was $2.8 million. The weighted-average period over which this amount will be recognized is 1.85 years.</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maintain 401(k) and employee stock ownership plans covering substantially all of our full-time employees. We matched 50% of employee contributions to the 401(k) plan up to a maximum of 8% of participating employees’ eligible wages for 2025, 2024 and 2023. Contributions to the employee stock ownership plan are determined annually and require approval of our Board of Directors. The maximum contribution is 6% of employees’ eligible wages. Contributions to the employee stock ownership plan were 2% for each of 2025, 2024 and 2023. Amounts expensed for these retirement plans were $3.4 million, $3.3 million and $3.1 million in 2025, 2024 and 2023, respectively.</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employees participate in various performance-based compensation plans. Amounts expensed for all incentive plans totaled $11.6 million, $12.9 million and $8.0 million in 2025, 2024 and 2023,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also provide certain health care and life insurance programs to substantially all full-time employees. Amounts expensed for these programs totaled $6.7 million, $7.1 million and $7.2 million in 2025, 2024 and 2023 respectively.</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insurance programs are also available to retired employees at their own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NON-INTEREST INCOME - OTHER</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non-interest income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fees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12,525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DERIVATIVE FINANCIAL INSTRUMENTS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at December 31 follow: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412,107</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 designation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floor agreements - commercial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 - short-term funding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24,909</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683,715</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683,715</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1,409,519</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442,512</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 designation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floor agreements - commercial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 - short-term funding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538,053</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538,053</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1,108,683</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7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swaps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Consolidated Statements of Financial Condition to reflect the then current fair values of both the Fair Value Hedge – Portfolio Loans and the hedged items. The related gains or losses are reported in interest income – interest and fees on loans in our Consolidated Statements of Operations. During the second quarter of 2023 we terminated the interest rate cap that was previously hedging certain installment loans. The remaining unrealized gain on this terminated interest cap of $0.12 million as of December 31, 2025 is being amortized into earnings over the original life of the interest rate cap which was February, 2030.</w:t>
      </w:r>
    </w:p>
    <w:p>
      <w:pPr>
        <w:spacing w:after="0" w:line="19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Consolidated Statements of Financial Condition. The hedged items (fixed rate securities available for sale) are also recorded at fair value which offsets the adjustment to the Fair Value Hedge – AFS Securities. On an ongoing basis, we adjust our Consolidated Statements of Financial Condition to reflect the then current fair value of both the Fair Value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Hedge – AFS Securities and the hedged item. The related gains or losses are reported in interest income – interest on securities – tax-exempt in our Consolidated Statements of Operations.</w:t>
      </w:r>
    </w:p>
    <w:p>
      <w:pPr>
        <w:spacing w:after="0" w:line="1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Consolidated Statements of Financial Condition. The changes in the fair value of Cash Flow Hedge - Portfolio Loans are recorded in accumulated other comprehensive loss and are reclassified into the line item in our Consolidated Statements of Operations in which the hedged items are recorded in the same period the hedged items affect earnings.</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entered into an interest rate cap agreement to manage the variability in future expected cash flows of certain short-term funding liabilities (‘‘Cash Flow Hedge – Short-term Funding Liabilities’’). We record the fair value of Cash Flow Hedge – Short-term Funding Liabilities in accrued income and other assets and accrued expenses and other liabilities on our Consolidated Statements of Financial Condition. The changes in the fair value of Cash Flow Hedge - Short-term Funding Liabilities are recorded in accumulated other comprehensive loss and are reclassified into the line item in our Consolidated Statements of Operations in which the hedged items are recorded in the same period the hedged items affect earnings.</w:t>
      </w:r>
    </w:p>
    <w:p>
      <w:pPr>
        <w:spacing w:after="0" w:line="14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For Cash Flow Hedges, it is anticipated that as of December 31, 2025, $0.9 million will be reclassified from accumulated other comprehensive loss as a reduction to earnings over the next twelve months. The maximum term of any Cash Flow Hedge at December 31, 2025 is 3.62 years.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 - commercial with no hedge designation in the table above relate to this program.</w:t>
      </w:r>
    </w:p>
    <w:p>
      <w:pPr>
        <w:spacing w:after="0" w:line="14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had entered into a no hedge designation pay-variable interest rate swap agreement in an attempt to manage the cost of certain funding liabilities. The changes in fair value of this no hedge pay-variable interest rate swap is recorded in non-interest expense-other in our Consolidated Statements of Operations. This no hedge designation pay-variable interest rate swap agreement matured during the third quarter of 2023.</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illustrates the impact that the derivative financial instruments discussed above have on individual line items in the Consolidated Statements of Financial Condition for the periods presented:</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Fair Values of Derivative Instruments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right="480" w:hanging="159"/>
        <w:spacing w:after="0" w:line="293" w:lineRule="auto"/>
        <w:rPr>
          <w:sz w:val="20"/>
          <w:szCs w:val="20"/>
          <w:color w:val="auto"/>
        </w:rPr>
      </w:pPr>
      <w:r>
        <w:rPr>
          <w:rFonts w:ascii="Times New Roman" w:cs="Times New Roman" w:eastAsia="Times New Roman" w:hAnsi="Times New Roman"/>
          <w:sz w:val="14"/>
          <w:szCs w:val="14"/>
          <w:color w:val="auto"/>
        </w:rPr>
        <w:t>Derivatives designated as hedging instruments</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Pay-fixed interest rate swap agreements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Interest rate cap agreements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Interest rate floor agreements</w:t>
      </w:r>
    </w:p>
    <w:p>
      <w:pPr>
        <w:spacing w:after="0" w:line="279" w:lineRule="exact"/>
        <w:rPr>
          <w:sz w:val="20"/>
          <w:szCs w:val="20"/>
          <w:color w:val="auto"/>
        </w:rPr>
      </w:pPr>
    </w:p>
    <w:p>
      <w:pPr>
        <w:ind w:left="300" w:right="260" w:hanging="159"/>
        <w:spacing w:after="0" w:line="293" w:lineRule="auto"/>
        <w:rPr>
          <w:sz w:val="20"/>
          <w:szCs w:val="20"/>
          <w:color w:val="auto"/>
        </w:rPr>
      </w:pPr>
      <w:r>
        <w:rPr>
          <w:rFonts w:ascii="Times New Roman" w:cs="Times New Roman" w:eastAsia="Times New Roman" w:hAnsi="Times New Roman"/>
          <w:sz w:val="14"/>
          <w:szCs w:val="14"/>
          <w:color w:val="auto"/>
        </w:rPr>
        <w:t>Derivatives not designated as hedging instruments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4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78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4"/>
                <w:szCs w:val="14"/>
                <w:color w:val="auto"/>
              </w:rPr>
            </w:pP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4"/>
                <w:szCs w:val="14"/>
                <w:color w:val="auto"/>
              </w:rPr>
            </w:pPr>
          </w:p>
        </w:tc>
        <w:tc>
          <w:tcPr>
            <w:tcW w:w="6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92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0"/>
        </w:trPr>
        <w:tc>
          <w:tcPr>
            <w:tcW w:w="80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0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78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7"/>
                <w:szCs w:val="17"/>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92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
        </w:trPr>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6"/>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7,114</w:t>
            </w:r>
          </w:p>
        </w:tc>
        <w:tc>
          <w:tcPr>
            <w:tcW w:w="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14,336</w:t>
            </w:r>
          </w:p>
        </w:tc>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27"/>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7"/>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1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3,642</w:t>
            </w:r>
          </w:p>
        </w:tc>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18,624</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-575310</wp:posOffset>
            </wp:positionV>
            <wp:extent cx="6998335" cy="144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6998335" cy="14414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-287655</wp:posOffset>
            </wp:positionV>
            <wp:extent cx="6998335" cy="144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6998335" cy="14414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-7620</wp:posOffset>
            </wp:positionV>
            <wp:extent cx="6998335" cy="2540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6998335" cy="254000"/>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2560" w:space="120"/>
            <w:col w:w="8540"/>
          </w:cols>
          <w:pgMar w:left="320" w:top="121" w:right="359" w:bottom="1440" w:gutter="0" w:footer="0" w:header="0"/>
          <w:type w:val="continuous"/>
        </w:sectPr>
      </w:pPr>
    </w:p>
    <w:tbl>
      <w:tblPr>
        <w:tblLayout w:type="fixed"/>
        <w:tblInd w:w="120" w:type="dxa"/>
        <w:tblCellMar>
          <w:top w:w="0" w:type="dxa"/>
          <w:left w:w="0" w:type="dxa"/>
          <w:bottom w:w="0" w:type="dxa"/>
          <w:right w:w="0" w:type="dxa"/>
        </w:tblCellMar>
      </w:tblPr>
      <w:tr>
        <w:trPr>
          <w:trHeight w:val="198"/>
        </w:trPr>
        <w:tc>
          <w:tcPr>
            <w:tcW w:w="2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Rate-lock mortgage loan commitments</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2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Mandatory commitments to sell</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03"/>
        </w:trPr>
        <w:tc>
          <w:tcPr>
            <w:tcW w:w="2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mortgage loans</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w:t>
            </w:r>
          </w:p>
        </w:tc>
        <w:tc>
          <w:tcPr>
            <w:tcW w:w="1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2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Pay-fixed interest rate swap agreements -</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8"/>
        </w:trPr>
        <w:tc>
          <w:tcPr>
            <w:tcW w:w="2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commercial</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7,074</w:t>
            </w: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15,799</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10,419</w:t>
            </w:r>
          </w:p>
        </w:tc>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w:t>
            </w:r>
          </w:p>
        </w:tc>
      </w:tr>
      <w:tr>
        <w:trPr>
          <w:trHeight w:val="25"/>
        </w:trPr>
        <w:tc>
          <w:tcPr>
            <w:tcW w:w="2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Pay-variable interest rate swap</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23"/>
        </w:trPr>
        <w:tc>
          <w:tcPr>
            <w:tcW w:w="2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agreements - commercial</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10,419</w:t>
            </w:r>
          </w:p>
        </w:tc>
        <w:tc>
          <w:tcPr>
            <w:tcW w:w="1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2,474</w:t>
            </w:r>
          </w:p>
        </w:tc>
        <w:tc>
          <w:tcPr>
            <w:tcW w:w="1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7,074</w:t>
            </w:r>
          </w:p>
        </w:tc>
        <w:tc>
          <w:tcPr>
            <w:tcW w:w="1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15,799</w:t>
            </w:r>
          </w:p>
        </w:tc>
      </w:tr>
      <w:tr>
        <w:trPr>
          <w:trHeight w:val="187"/>
        </w:trPr>
        <w:tc>
          <w:tcPr>
            <w:tcW w:w="25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17,723</w:t>
            </w:r>
          </w:p>
        </w:tc>
        <w:tc>
          <w:tcPr>
            <w:tcW w:w="11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18,435</w:t>
            </w:r>
          </w:p>
        </w:tc>
        <w:tc>
          <w:tcPr>
            <w:tcW w:w="14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17,525</w:t>
            </w:r>
          </w:p>
        </w:tc>
        <w:tc>
          <w:tcPr>
            <w:tcW w:w="14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18,273</w:t>
            </w:r>
          </w:p>
        </w:tc>
      </w:tr>
      <w:tr>
        <w:trPr>
          <w:trHeight w:val="219"/>
        </w:trPr>
        <w:tc>
          <w:tcPr>
            <w:tcW w:w="2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derivatives</w:t>
            </w: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29,584</w:t>
            </w:r>
          </w:p>
        </w:tc>
        <w:tc>
          <w:tcPr>
            <w:tcW w:w="1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37,059</w:t>
            </w:r>
          </w:p>
        </w:tc>
        <w:tc>
          <w:tcPr>
            <w:tcW w:w="1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19,551</w:t>
            </w:r>
          </w:p>
        </w:tc>
        <w:tc>
          <w:tcPr>
            <w:tcW w:w="1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18,623</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Consolidated Statements of Operations follows: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17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Fair Value Hedges</w:t>
      </w:r>
    </w:p>
    <w:p>
      <w:pPr>
        <w:spacing w:after="0" w:line="62" w:lineRule="exact"/>
        <w:rPr>
          <w:sz w:val="20"/>
          <w:szCs w:val="20"/>
          <w:color w:val="auto"/>
        </w:rPr>
      </w:pPr>
    </w:p>
    <w:p>
      <w:pPr>
        <w:jc w:val="right"/>
        <w:ind w:left="180" w:right="340"/>
        <w:spacing w:after="0" w:line="298" w:lineRule="auto"/>
        <w:rPr>
          <w:sz w:val="20"/>
          <w:szCs w:val="20"/>
          <w:color w:val="auto"/>
        </w:rPr>
      </w:pPr>
      <w:r>
        <w:rPr>
          <w:rFonts w:ascii="Times New Roman" w:cs="Times New Roman" w:eastAsia="Times New Roman" w:hAnsi="Times New Roman"/>
          <w:sz w:val="12"/>
          <w:szCs w:val="12"/>
          <w:color w:val="auto"/>
        </w:rPr>
        <w:t>Pay-fixed interest rate swap agreement - commercial</w:t>
      </w:r>
    </w:p>
    <w:p>
      <w:pPr>
        <w:spacing w:after="0" w:line="4" w:lineRule="exact"/>
        <w:rPr>
          <w:sz w:val="20"/>
          <w:szCs w:val="20"/>
          <w:color w:val="auto"/>
        </w:rPr>
      </w:pPr>
    </w:p>
    <w:p>
      <w:pPr>
        <w:ind w:left="340" w:hanging="159"/>
        <w:spacing w:after="0" w:line="276" w:lineRule="auto"/>
        <w:rPr>
          <w:sz w:val="20"/>
          <w:szCs w:val="20"/>
          <w:color w:val="auto"/>
        </w:rPr>
      </w:pPr>
      <w:r>
        <w:rPr>
          <w:rFonts w:ascii="Times New Roman" w:cs="Times New Roman" w:eastAsia="Times New Roman" w:hAnsi="Times New Roman"/>
          <w:sz w:val="12"/>
          <w:szCs w:val="12"/>
          <w:color w:val="auto"/>
        </w:rPr>
        <w:t>Pay-fixed interest rate swap agreement - securities available for sale</w:t>
      </w:r>
    </w:p>
    <w:p>
      <w:pPr>
        <w:spacing w:after="0" w:line="31" w:lineRule="exact"/>
        <w:rPr>
          <w:sz w:val="20"/>
          <w:szCs w:val="20"/>
          <w:color w:val="auto"/>
        </w:rPr>
      </w:pPr>
    </w:p>
    <w:p>
      <w:pPr>
        <w:ind w:left="340" w:right="340" w:hanging="159"/>
        <w:spacing w:after="0" w:line="298" w:lineRule="auto"/>
        <w:rPr>
          <w:sz w:val="20"/>
          <w:szCs w:val="20"/>
          <w:color w:val="auto"/>
        </w:rPr>
      </w:pPr>
      <w:r>
        <w:rPr>
          <w:rFonts w:ascii="Times New Roman" w:cs="Times New Roman" w:eastAsia="Times New Roman" w:hAnsi="Times New Roman"/>
          <w:sz w:val="12"/>
          <w:szCs w:val="12"/>
          <w:color w:val="auto"/>
        </w:rPr>
        <w:t>Pay-fixed interest rate swap agreement - installment</w:t>
      </w:r>
    </w:p>
    <w:p>
      <w:pPr>
        <w:spacing w:after="0" w:line="4" w:lineRule="exact"/>
        <w:rPr>
          <w:sz w:val="20"/>
          <w:szCs w:val="20"/>
          <w:color w:val="auto"/>
        </w:rPr>
      </w:pPr>
    </w:p>
    <w:p>
      <w:pPr>
        <w:ind w:left="340" w:right="340" w:hanging="159"/>
        <w:spacing w:after="0" w:line="298" w:lineRule="auto"/>
        <w:rPr>
          <w:sz w:val="20"/>
          <w:szCs w:val="20"/>
          <w:color w:val="auto"/>
        </w:rPr>
      </w:pPr>
      <w:r>
        <w:rPr>
          <w:rFonts w:ascii="Times New Roman" w:cs="Times New Roman" w:eastAsia="Times New Roman" w:hAnsi="Times New Roman"/>
          <w:sz w:val="12"/>
          <w:szCs w:val="12"/>
          <w:color w:val="auto"/>
        </w:rPr>
        <w:t>Pay-fixed interest rate swap agreements - Mortgage</w:t>
      </w:r>
    </w:p>
    <w:p>
      <w:pPr>
        <w:spacing w:after="0" w:line="4" w:lineRule="exact"/>
        <w:rPr>
          <w:sz w:val="20"/>
          <w:szCs w:val="20"/>
          <w:color w:val="auto"/>
        </w:rPr>
      </w:pPr>
    </w:p>
    <w:p>
      <w:pPr>
        <w:ind w:left="340" w:right="220" w:hanging="159"/>
        <w:spacing w:after="0" w:line="298" w:lineRule="auto"/>
        <w:rPr>
          <w:sz w:val="20"/>
          <w:szCs w:val="20"/>
          <w:color w:val="auto"/>
        </w:rPr>
      </w:pPr>
      <w:r>
        <w:rPr>
          <w:rFonts w:ascii="Times New Roman" w:cs="Times New Roman" w:eastAsia="Times New Roman" w:hAnsi="Times New Roman"/>
          <w:sz w:val="12"/>
          <w:szCs w:val="12"/>
          <w:color w:val="auto"/>
        </w:rPr>
        <w:t>Interest rate cap agreements - securities available for sale</w:t>
      </w:r>
    </w:p>
    <w:p>
      <w:pPr>
        <w:spacing w:after="0" w:line="58" w:lineRule="exact"/>
        <w:rPr>
          <w:sz w:val="20"/>
          <w:szCs w:val="20"/>
          <w:color w:val="auto"/>
        </w:rPr>
      </w:pPr>
    </w:p>
    <w:p>
      <w:pPr>
        <w:ind w:left="340" w:right="280" w:hanging="159"/>
        <w:spacing w:after="0" w:line="298" w:lineRule="auto"/>
        <w:rPr>
          <w:sz w:val="20"/>
          <w:szCs w:val="20"/>
          <w:color w:val="auto"/>
        </w:rPr>
      </w:pPr>
      <w:r>
        <w:rPr>
          <w:rFonts w:ascii="Times New Roman" w:cs="Times New Roman" w:eastAsia="Times New Roman" w:hAnsi="Times New Roman"/>
          <w:sz w:val="12"/>
          <w:szCs w:val="12"/>
          <w:color w:val="auto"/>
        </w:rPr>
        <w:t>Interest rate cap agreements - installment</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Total</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Cash Flow Hedges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from</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1840" w:type="dxa"/>
            <w:vAlign w:val="bottom"/>
            <w:gridSpan w:val="8"/>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Gain (loss) Recognized</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1840" w:type="dxa"/>
            <w:vAlign w:val="bottom"/>
            <w:gridSpan w:val="8"/>
            <w:vMerge w:val="continue"/>
          </w:tcPr>
          <w:p>
            <w:pPr>
              <w:spacing w:after="0"/>
              <w:rPr>
                <w:sz w:val="6"/>
                <w:szCs w:val="6"/>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 Other</w:t>
            </w: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6"/>
            <w:vMerge w:val="restart"/>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Reclassified from</w:t>
            </w:r>
          </w:p>
        </w:tc>
        <w:tc>
          <w:tcPr>
            <w:tcW w:w="4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6"/>
            <w:vMerge w:val="restart"/>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4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6"/>
            <w:vMerge w:val="restart"/>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4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gridSpan w:val="6"/>
            <w:vMerge w:val="continue"/>
          </w:tcPr>
          <w:p>
            <w:pPr>
              <w:spacing w:after="0"/>
              <w:rPr>
                <w:sz w:val="6"/>
                <w:szCs w:val="6"/>
                <w:color w:val="auto"/>
              </w:rPr>
            </w:pPr>
          </w:p>
        </w:tc>
        <w:tc>
          <w:tcPr>
            <w:tcW w:w="460" w:type="dxa"/>
            <w:vAlign w:val="bottom"/>
          </w:tcPr>
          <w:p>
            <w:pPr>
              <w:spacing w:after="0"/>
              <w:rPr>
                <w:sz w:val="6"/>
                <w:szCs w:val="6"/>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gridSpan w:val="7"/>
            <w:vMerge w:val="restart"/>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Comprehensive Loss into Income</w:t>
            </w:r>
          </w:p>
        </w:tc>
        <w:tc>
          <w:tcPr>
            <w:tcW w:w="1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Recognized</w:t>
            </w: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into Income</w:t>
            </w:r>
          </w:p>
        </w:tc>
        <w:tc>
          <w:tcPr>
            <w:tcW w:w="100" w:type="dxa"/>
            <w:vAlign w:val="bottom"/>
          </w:tcPr>
          <w:p>
            <w:pPr>
              <w:spacing w:after="0"/>
              <w:rPr>
                <w:sz w:val="6"/>
                <w:szCs w:val="6"/>
                <w:color w:val="auto"/>
              </w:rPr>
            </w:pPr>
          </w:p>
        </w:tc>
        <w:tc>
          <w:tcPr>
            <w:tcW w:w="1900" w:type="dxa"/>
            <w:vAlign w:val="bottom"/>
            <w:gridSpan w:val="7"/>
            <w:vMerge w:val="continue"/>
          </w:tcPr>
          <w:p>
            <w:pPr>
              <w:spacing w:after="0"/>
              <w:rPr>
                <w:sz w:val="6"/>
                <w:szCs w:val="6"/>
                <w:color w:val="auto"/>
              </w:rPr>
            </w:pPr>
          </w:p>
        </w:tc>
        <w:tc>
          <w:tcPr>
            <w:tcW w:w="1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1380" w:type="dxa"/>
            <w:vAlign w:val="bottom"/>
            <w:gridSpan w:val="7"/>
            <w:vMerge w:val="restart"/>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(Effective Portion)</w:t>
            </w:r>
          </w:p>
        </w:tc>
        <w:tc>
          <w:tcPr>
            <w:tcW w:w="4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6"/>
            <w:vMerge w:val="restart"/>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(Effective Portion)</w:t>
            </w:r>
          </w:p>
        </w:tc>
        <w:tc>
          <w:tcPr>
            <w:tcW w:w="44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in Income</w:t>
            </w: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20" w:type="dxa"/>
            <w:vAlign w:val="bottom"/>
          </w:tcPr>
          <w:p>
            <w:pPr>
              <w:spacing w:after="0"/>
              <w:rPr>
                <w:sz w:val="9"/>
                <w:szCs w:val="9"/>
                <w:color w:val="auto"/>
              </w:rPr>
            </w:pPr>
          </w:p>
        </w:tc>
        <w:tc>
          <w:tcPr>
            <w:tcW w:w="1380" w:type="dxa"/>
            <w:vAlign w:val="bottom"/>
            <w:gridSpan w:val="7"/>
            <w:vMerge w:val="continue"/>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vMerge w:val="restart"/>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100" w:type="dxa"/>
            <w:vAlign w:val="bottom"/>
          </w:tcPr>
          <w:p>
            <w:pPr>
              <w:spacing w:after="0"/>
              <w:rPr>
                <w:sz w:val="9"/>
                <w:szCs w:val="9"/>
                <w:color w:val="auto"/>
              </w:rPr>
            </w:pPr>
          </w:p>
        </w:tc>
        <w:tc>
          <w:tcPr>
            <w:tcW w:w="1460" w:type="dxa"/>
            <w:vAlign w:val="bottom"/>
            <w:gridSpan w:val="6"/>
            <w:vMerge w:val="continue"/>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vMerge w:val="restart"/>
          </w:tcPr>
          <w:p>
            <w:pPr>
              <w:jc w:val="center"/>
              <w:ind w:right="18"/>
              <w:spacing w:after="0" w:line="121" w:lineRule="exact"/>
              <w:rPr>
                <w:sz w:val="20"/>
                <w:szCs w:val="20"/>
                <w:color w:val="auto"/>
              </w:rPr>
            </w:pPr>
            <w:r>
              <w:rPr>
                <w:rFonts w:ascii="Times New Roman" w:cs="Times New Roman" w:eastAsia="Times New Roman" w:hAnsi="Times New Roman"/>
                <w:sz w:val="12"/>
                <w:szCs w:val="12"/>
                <w:b w:val="1"/>
                <w:bCs w:val="1"/>
                <w:color w:val="auto"/>
              </w:rPr>
              <w:t>Recognized</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Portion)</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6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rPr>
              <w:t>in Income</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5"/>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and fees on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507"/>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on securities</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(4,619)</w:t>
            </w:r>
          </w:p>
        </w:tc>
        <w:tc>
          <w:tcPr>
            <w:tcW w:w="0" w:type="dxa"/>
            <w:vAlign w:val="bottom"/>
          </w:tcPr>
          <w:p>
            <w:pPr>
              <w:spacing w:after="0"/>
              <w:rPr>
                <w:sz w:val="1"/>
                <w:szCs w:val="1"/>
                <w:color w:val="auto"/>
              </w:rPr>
            </w:pPr>
          </w:p>
        </w:tc>
      </w:tr>
      <w:tr>
        <w:trPr>
          <w:trHeight w:val="347"/>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and fees on loans</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0" w:type="dxa"/>
            <w:vAlign w:val="bottom"/>
          </w:tcPr>
          <w:p>
            <w:pPr>
              <w:spacing w:after="0"/>
              <w:rPr>
                <w:sz w:val="1"/>
                <w:szCs w:val="1"/>
                <w:color w:val="auto"/>
              </w:rPr>
            </w:pPr>
          </w:p>
        </w:tc>
      </w:tr>
      <w:tr>
        <w:trPr>
          <w:trHeight w:val="347"/>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and fees on loans</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0" w:type="dxa"/>
            <w:vAlign w:val="bottom"/>
          </w:tcPr>
          <w:p>
            <w:pPr>
              <w:spacing w:after="0"/>
              <w:rPr>
                <w:sz w:val="1"/>
                <w:szCs w:val="1"/>
                <w:color w:val="auto"/>
              </w:rPr>
            </w:pPr>
          </w:p>
        </w:tc>
      </w:tr>
      <w:tr>
        <w:trPr>
          <w:trHeight w:val="347"/>
        </w:trPr>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Interest on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80" w:type="dxa"/>
            <w:vAlign w:val="bottom"/>
          </w:tcPr>
          <w:p>
            <w:pPr>
              <w:spacing w:after="0"/>
              <w:rPr>
                <w:sz w:val="24"/>
                <w:szCs w:val="24"/>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on securities</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and fees on</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Interest and fees on loans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71"/>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15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6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(8,898)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1,564</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-1574165</wp:posOffset>
            </wp:positionV>
            <wp:extent cx="7117080" cy="2203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17080" cy="22034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-1031875</wp:posOffset>
            </wp:positionV>
            <wp:extent cx="7117080" cy="2203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17080" cy="22034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-591185</wp:posOffset>
            </wp:positionV>
            <wp:extent cx="7117080" cy="2203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17080" cy="22034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-116840</wp:posOffset>
            </wp:positionV>
            <wp:extent cx="7117080" cy="1270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17080" cy="12700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1920" w:space="80"/>
            <w:col w:w="922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rate floor agreements -</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Interest and fees on</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commercial</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(612)</w:t>
            </w:r>
          </w:p>
        </w:tc>
        <w:tc>
          <w:tcPr>
            <w:tcW w:w="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7"/>
              </w:rPr>
              <w:t>(4,223)</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1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(1,199)</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and fees on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155"/>
        </w:trPr>
        <w:tc>
          <w:tcPr>
            <w:tcW w:w="2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 rate cap agreements - short-</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term funding liabilities</w:t>
            </w: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(324)</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(12)</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3"/>
        </w:trPr>
        <w:tc>
          <w:tcPr>
            <w:tcW w:w="2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w:t>
            </w: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(936)</w:t>
            </w:r>
          </w:p>
        </w:tc>
        <w:tc>
          <w:tcPr>
            <w:tcW w:w="2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7"/>
              </w:rPr>
              <w:t>(4,235)</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1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(1,199)</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(1,884)</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No hedge designation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Rate-lock mortgage loan commitments</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gains on mortgage</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0" w:type="dxa"/>
            <w:vAlign w:val="bottom"/>
          </w:tcPr>
          <w:p>
            <w:pPr>
              <w:spacing w:after="0"/>
              <w:rPr>
                <w:sz w:val="1"/>
                <w:szCs w:val="1"/>
                <w:color w:val="auto"/>
              </w:rPr>
            </w:pPr>
          </w:p>
        </w:tc>
      </w:tr>
      <w:tr>
        <w:trPr>
          <w:trHeight w:val="155"/>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Mandatory commitments to sell mortgage loans</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gains on mortgage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loans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0" w:type="dxa"/>
            <w:vAlign w:val="bottom"/>
          </w:tcPr>
          <w:p>
            <w:pPr>
              <w:spacing w:after="0"/>
              <w:rPr>
                <w:sz w:val="1"/>
                <w:szCs w:val="1"/>
                <w:color w:val="auto"/>
              </w:rPr>
            </w:pPr>
          </w:p>
        </w:tc>
      </w:tr>
      <w:tr>
        <w:trPr>
          <w:trHeight w:val="208"/>
        </w:trPr>
        <w:tc>
          <w:tcPr>
            <w:tcW w:w="2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Pay-fixed interest rate swap agreements - commercial</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and fees on loans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(9,894)</w:t>
            </w:r>
          </w:p>
        </w:tc>
        <w:tc>
          <w:tcPr>
            <w:tcW w:w="0" w:type="dxa"/>
            <w:vAlign w:val="bottom"/>
          </w:tcPr>
          <w:p>
            <w:pPr>
              <w:spacing w:after="0"/>
              <w:rPr>
                <w:sz w:val="1"/>
                <w:szCs w:val="1"/>
                <w:color w:val="auto"/>
              </w:rPr>
            </w:pPr>
          </w:p>
        </w:tc>
      </w:tr>
      <w:tr>
        <w:trPr>
          <w:trHeight w:val="192"/>
        </w:trPr>
        <w:tc>
          <w:tcPr>
            <w:tcW w:w="3320" w:type="dxa"/>
            <w:vAlign w:val="bottom"/>
            <w:gridSpan w:val="5"/>
          </w:tcPr>
          <w:p>
            <w:pPr>
              <w:ind w:left="180"/>
              <w:spacing w:after="0"/>
              <w:rPr>
                <w:sz w:val="20"/>
                <w:szCs w:val="20"/>
                <w:color w:val="auto"/>
              </w:rPr>
            </w:pPr>
            <w:r>
              <w:rPr>
                <w:rFonts w:ascii="Times New Roman" w:cs="Times New Roman" w:eastAsia="Times New Roman" w:hAnsi="Times New Roman"/>
                <w:sz w:val="12"/>
                <w:szCs w:val="12"/>
                <w:color w:val="auto"/>
              </w:rPr>
              <w:t>Pay-variable interest rate swap agreements -commercial</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and fees on loans</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9,894</w:t>
            </w:r>
          </w:p>
        </w:tc>
        <w:tc>
          <w:tcPr>
            <w:tcW w:w="0" w:type="dxa"/>
            <w:vAlign w:val="bottom"/>
          </w:tcPr>
          <w:p>
            <w:pPr>
              <w:spacing w:after="0"/>
              <w:rPr>
                <w:sz w:val="1"/>
                <w:szCs w:val="1"/>
                <w:color w:val="auto"/>
              </w:rPr>
            </w:pPr>
          </w:p>
        </w:tc>
      </w:tr>
      <w:tr>
        <w:trPr>
          <w:trHeight w:val="141"/>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Pay-variable interest rate swap agreement</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Non-interest expense -</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73"/>
        </w:trPr>
        <w:tc>
          <w:tcPr>
            <w:tcW w:w="2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12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Total</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Certain directors and executive officers, including companies in which they are officers or have significant ownership, were loan and deposit customers during 2025 and 2024.</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loans to our directors and executive officers (which includes loans to entities in which the individual owns a 10% or more voting interest)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0"/>
        </w:trPr>
        <w:tc>
          <w:tcPr>
            <w:tcW w:w="8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9"/>
                <w:szCs w:val="19"/>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6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loans and advances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0"/>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307" w:lineRule="auto"/>
        <w:rPr>
          <w:sz w:val="20"/>
          <w:szCs w:val="20"/>
          <w:color w:val="auto"/>
        </w:rPr>
      </w:pPr>
      <w:r>
        <w:rPr>
          <w:rFonts w:ascii="Times New Roman" w:cs="Times New Roman" w:eastAsia="Times New Roman" w:hAnsi="Times New Roman"/>
          <w:sz w:val="17"/>
          <w:szCs w:val="17"/>
          <w:color w:val="auto"/>
        </w:rPr>
        <w:t>We had $1.34 million and $1.39 million in loan commitments to directors and executive officers at December 31, 2025 and 2024, respectively. Of these commitments, balances outstanding were $0.10 million and $0.01 million at December 31, 2025 and 2024, respectively, and included in the table above.</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Deposits held by us for directors and executive officers totaled $3.4 million and $1.5 million at December 31, 2025 and 2024,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LEASES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(we did not have any finance leases as of December 31, 2025 and 2024).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cost components of our operating leases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6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follows: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6"/>
        </w:trPr>
        <w:tc>
          <w:tcPr>
            <w:tcW w:w="79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7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19"/>
                <w:szCs w:val="19"/>
                <w:color w:val="auto"/>
              </w:rPr>
            </w:pPr>
          </w:p>
        </w:tc>
      </w:tr>
      <w:tr>
        <w:trPr>
          <w:trHeight w:val="29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 of use asset (1)</w:t>
            </w:r>
          </w:p>
        </w:tc>
        <w:tc>
          <w:tcPr>
            <w:tcW w:w="98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3"/>
              </w:rPr>
              <w:t>7,296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5,971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9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Lease liabilities (2)</w:t>
            </w:r>
          </w:p>
        </w:tc>
        <w:tc>
          <w:tcPr>
            <w:tcW w:w="980" w:type="dxa"/>
            <w:vAlign w:val="bottom"/>
            <w:tcBorders>
              <w:bottom w:val="single" w:sz="8" w:color="auto"/>
            </w:tcBorders>
          </w:tcPr>
          <w:p>
            <w:pPr>
              <w:jc w:val="right"/>
              <w:ind w:right="7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93"/>
              </w:rPr>
              <w:t>7,528</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6,338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7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our Consolidated Statements of Financial Condition.</w:t>
      </w:r>
    </w:p>
    <w:p>
      <w:pPr>
        <w:spacing w:after="0" w:line="25" w:lineRule="exact"/>
        <w:rPr>
          <w:rFonts w:ascii="Times New Roman" w:cs="Times New Roman" w:eastAsia="Times New Roman" w:hAnsi="Times New Roman"/>
          <w:sz w:val="18"/>
          <w:szCs w:val="18"/>
          <w:color w:val="auto"/>
        </w:rPr>
      </w:pPr>
    </w:p>
    <w:p>
      <w:pPr>
        <w:ind w:left="320" w:right="2980" w:hanging="313"/>
        <w:spacing w:after="0" w:line="534" w:lineRule="auto"/>
        <w:tabs>
          <w:tab w:leader="none" w:pos="31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Consolidated Statements of Financial Condition. Maturity analysis of our lease liabilities at December 31, 2025 based on required contractual payments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8"/>
              </w:rPr>
              <w:t>1,479</w:t>
            </w: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34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1,340</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8"/>
              </w:rPr>
              <w:t>1,289</w:t>
            </w: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34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1,296</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8"/>
              </w:rPr>
              <w:t>1,126</w:t>
            </w:r>
          </w:p>
        </w:tc>
      </w:tr>
      <w:tr>
        <w:trPr>
          <w:trHeight w:val="22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8"/>
              </w:rPr>
              <w:t>2,255</w:t>
            </w:r>
          </w:p>
        </w:tc>
      </w:tr>
      <w:tr>
        <w:trPr>
          <w:trHeight w:val="22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8"/>
              </w:rPr>
              <w:t>8,785</w:t>
            </w:r>
          </w:p>
        </w:tc>
      </w:tr>
      <w:tr>
        <w:trPr>
          <w:trHeight w:val="22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w w:val="98"/>
              </w:rPr>
              <w:t>(1,257)</w:t>
            </w:r>
          </w:p>
        </w:tc>
      </w:tr>
      <w:tr>
        <w:trPr>
          <w:trHeight w:val="245"/>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8"/>
              </w:rPr>
              <w:t>7,528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CONCENTRATIONS OF CREDIT RISK</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Credit risk is the risk to earnings and capital arising from an obligor’s failure to meet the terms of any contract with our organization or otherwise failing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2025, include $1.497 billion of loans secured by residential real estate and $273.6 million of construction and land development loans.</w:t>
      </w:r>
    </w:p>
    <w:p>
      <w:pPr>
        <w:spacing w:after="0" w:line="19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Additionally, within our commercial real estate and commercial and industrial loan classes, we had significant standard industry classification concentrations in the following categories as of December 31, 2025: Lessors of Nonresidential Real Estate ($624.3 million); Construction ($214.1 million); Lessors of Residential Real Estate ($180.8 million); Health Care and Social Assistance ($174.5 million); Accommodation and Food Services ($164.5 million); and Manufacturing ($112.9 million). A geographic concentration arises because we primarily conduct our lending activities in the State of Michigan.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REGULATORY MATTERS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2025,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Bank had positive undivided profits of $222.6 million. It is not our intent to have dividends paid in amounts that would reduce the capital of our Bank to levels below those which we consider prudent or that would not be in accordance with guidelines of regulatory authorities.</w:t>
      </w:r>
    </w:p>
    <w:p>
      <w:pPr>
        <w:spacing w:after="0" w:line="16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December 31, 2025 and 2024, categorized our Bank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actual capital amounts and ratios at December 31 follow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Minimum for</w:t>
            </w:r>
          </w:p>
        </w:tc>
        <w:tc>
          <w:tcPr>
            <w:tcW w:w="200" w:type="dxa"/>
            <w:vAlign w:val="bottom"/>
          </w:tcPr>
          <w:p>
            <w:pPr>
              <w:spacing w:after="0"/>
              <w:rPr>
                <w:sz w:val="18"/>
                <w:szCs w:val="18"/>
                <w:color w:val="auto"/>
              </w:rPr>
            </w:pPr>
          </w:p>
        </w:tc>
        <w:tc>
          <w:tcPr>
            <w:tcW w:w="2420" w:type="dxa"/>
            <w:vAlign w:val="bottom"/>
            <w:gridSpan w:val="2"/>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Minimum for</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Adequately Capitalized</w:t>
            </w:r>
          </w:p>
        </w:tc>
        <w:tc>
          <w:tcPr>
            <w:tcW w:w="200" w:type="dxa"/>
            <w:vAlign w:val="bottom"/>
          </w:tcPr>
          <w:p>
            <w:pPr>
              <w:spacing w:after="0"/>
              <w:rPr>
                <w:sz w:val="18"/>
                <w:szCs w:val="18"/>
                <w:color w:val="auto"/>
              </w:rPr>
            </w:pPr>
          </w:p>
        </w:tc>
        <w:tc>
          <w:tcPr>
            <w:tcW w:w="24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Well-Capitalized</w:t>
            </w:r>
          </w:p>
        </w:tc>
        <w:tc>
          <w:tcPr>
            <w:tcW w:w="0" w:type="dxa"/>
            <w:vAlign w:val="bottom"/>
          </w:tcPr>
          <w:p>
            <w:pPr>
              <w:spacing w:after="0"/>
              <w:rPr>
                <w:sz w:val="1"/>
                <w:szCs w:val="1"/>
                <w:color w:val="auto"/>
              </w:rPr>
            </w:pPr>
          </w:p>
        </w:tc>
      </w:tr>
      <w:tr>
        <w:trPr>
          <w:trHeight w:val="263"/>
        </w:trPr>
        <w:tc>
          <w:tcPr>
            <w:tcW w:w="3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7"/>
              </w:rPr>
              <w:t>Institutions</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7"/>
              </w:rPr>
              <w:t>Institutions</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95"/>
              </w:rPr>
              <w:t>Ratio</w:t>
            </w:r>
          </w:p>
        </w:tc>
        <w:tc>
          <w:tcPr>
            <w:tcW w:w="0" w:type="dxa"/>
            <w:vAlign w:val="bottom"/>
          </w:tcPr>
          <w:p>
            <w:pPr>
              <w:spacing w:after="0"/>
              <w:rPr>
                <w:sz w:val="1"/>
                <w:szCs w:val="1"/>
                <w:color w:val="auto"/>
              </w:rPr>
            </w:pPr>
          </w:p>
        </w:tc>
      </w:tr>
      <w:tr>
        <w:trPr>
          <w:trHeight w:val="23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621,506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365,958</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8.00 %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570,750</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365,463</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456,829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564,180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274,468</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6.00 %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513,500</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274,098</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365,463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assets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525,540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205,851</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4.50 %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513,500</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205,573</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296,939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564,180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219,663</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4.00 %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513,500</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219,422</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274,278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622,444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350,113</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8.00 %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567,254</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349,335</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436,668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527,616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262,585</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6.00 %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512,546</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262,001</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349,335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assets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489,044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196,939</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512,546</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196,501</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283,834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527,616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214,332</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512,546</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214,112</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267,640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3" w:lineRule="exact"/>
        <w:rPr>
          <w:sz w:val="20"/>
          <w:szCs w:val="20"/>
          <w:color w:val="auto"/>
        </w:rPr>
      </w:pPr>
    </w:p>
    <w:p>
      <w:pPr>
        <w:ind w:right="3780" w:firstLine="24"/>
        <w:spacing w:after="0" w:line="385" w:lineRule="auto"/>
        <w:tabs>
          <w:tab w:leader="none" w:pos="4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ratios do not reflect a capital conservation buffer of 2.50% at December 31, 2025 and 2024. NA - Not applicable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3"/>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451"/>
              <w:spacing w:after="0"/>
              <w:rPr>
                <w:sz w:val="20"/>
                <w:szCs w:val="20"/>
                <w:color w:val="auto"/>
              </w:rPr>
            </w:pPr>
            <w:r>
              <w:rPr>
                <w:rFonts w:ascii="Times New Roman" w:cs="Times New Roman" w:eastAsia="Times New Roman" w:hAnsi="Times New Roman"/>
                <w:sz w:val="18"/>
                <w:szCs w:val="18"/>
                <w:b w:val="1"/>
                <w:bCs w:val="1"/>
                <w:color w:val="auto"/>
                <w:w w:val="99"/>
              </w:rPr>
              <w:t>Independent Bank</w:t>
            </w:r>
          </w:p>
        </w:tc>
      </w:t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60" w:type="dxa"/>
            <w:vAlign w:val="bottom"/>
          </w:tcPr>
          <w:p>
            <w:pPr>
              <w:spacing w:after="0"/>
              <w:rPr>
                <w:sz w:val="20"/>
                <w:szCs w:val="20"/>
                <w:color w:val="auto"/>
              </w:rPr>
            </w:pPr>
          </w:p>
        </w:tc>
      </w:tr>
      <w:tr>
        <w:trPr>
          <w:trHeight w:val="253"/>
        </w:trPr>
        <w:tc>
          <w:tcPr>
            <w:tcW w:w="50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454,686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478,188</w:t>
            </w:r>
          </w:p>
        </w:tc>
      </w:tr>
      <w:tr>
        <w:trPr>
          <w:trHeight w:val="22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(deduct)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for regulatory purposes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64,146</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64,146</w:t>
            </w:r>
          </w:p>
        </w:tc>
      </w:tr>
      <w:tr>
        <w:trPr>
          <w:trHeight w:val="227"/>
        </w:trPr>
        <w:tc>
          <w:tcPr>
            <w:tcW w:w="5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(29,788)</w:t>
            </w:r>
          </w:p>
        </w:tc>
      </w:tr>
      <w:tr>
        <w:trPr>
          <w:trHeight w:val="220"/>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489,044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512,546</w:t>
            </w:r>
          </w:p>
        </w:tc>
      </w:tr>
      <w:tr>
        <w:trPr>
          <w:trHeight w:val="227"/>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0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Tier 1 capital</w:t>
            </w: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564,180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527,616</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512,546</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340"/>
        <w:spacing w:after="0"/>
        <w:rPr>
          <w:sz w:val="20"/>
          <w:szCs w:val="20"/>
          <w:color w:val="auto"/>
        </w:rPr>
      </w:pPr>
      <w:r>
        <w:rPr>
          <w:rFonts w:ascii="Times New Roman" w:cs="Times New Roman" w:eastAsia="Times New Roman" w:hAnsi="Times New Roman"/>
          <w:sz w:val="18"/>
          <w:szCs w:val="18"/>
          <w:color w:val="auto"/>
        </w:rPr>
        <w:t>Subordinated debt</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7"/>
          <w:szCs w:val="17"/>
          <w:color w:val="auto"/>
        </w:rPr>
        <w:t>Allowance for credit losses and allowance for unfunded lending</w:t>
      </w:r>
    </w:p>
    <w:p>
      <w:pPr>
        <w:spacing w:after="0" w:line="37"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commitments limited to 1.25% of total risk-weighted assets</w:t>
      </w:r>
    </w:p>
    <w:p>
      <w:pPr>
        <w:spacing w:after="0" w:line="41" w:lineRule="exact"/>
        <w:rPr>
          <w:sz w:val="20"/>
          <w:szCs w:val="20"/>
          <w:color w:val="auto"/>
        </w:rPr>
      </w:pPr>
    </w:p>
    <w:p>
      <w:pPr>
        <w:ind w:left="500"/>
        <w:spacing w:after="0"/>
        <w:tabs>
          <w:tab w:leader="none" w:pos="5040" w:val="left"/>
        </w:tabs>
        <w:rPr>
          <w:sz w:val="20"/>
          <w:szCs w:val="20"/>
          <w:color w:val="auto"/>
        </w:rPr>
      </w:pPr>
      <w:r>
        <w:rPr>
          <w:rFonts w:ascii="Times New Roman" w:cs="Times New Roman" w:eastAsia="Times New Roman" w:hAnsi="Times New Roman"/>
          <w:sz w:val="18"/>
          <w:szCs w:val="18"/>
          <w:color w:val="auto"/>
        </w:rPr>
        <w:t>Total risk-based capital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57,326</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54,828</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54,708</w:t>
            </w:r>
          </w:p>
        </w:tc>
      </w:tr>
      <w:tr>
        <w:trPr>
          <w:trHeight w:val="220"/>
        </w:trPr>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5"/>
              </w:rPr>
              <w:t>621,506</w:t>
            </w: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622,444</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567,254</w:t>
            </w:r>
          </w:p>
        </w:tc>
      </w:tr>
      <w:tr>
        <w:trPr>
          <w:trHeight w:val="20"/>
        </w:trPr>
        <w:tc>
          <w:tcPr>
            <w:tcW w:w="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-490855</wp:posOffset>
            </wp:positionV>
            <wp:extent cx="7134225" cy="4914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4225" cy="491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00"/>
            <w:col w:w="53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FAIR VALUE DISCLOSURES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20"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76"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76"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218"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Where quoted market prices are available in an active market, securities are classified as Level 1 of the valuation hierarchy. We currently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securities without relying exclusively on quoted prices for specific securities but rather by relying on the securities’ relationship to other benchmark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and corporate securities.</w:t>
      </w:r>
    </w:p>
    <w:p>
      <w:pPr>
        <w:spacing w:after="0" w:line="174" w:lineRule="exact"/>
        <w:rPr>
          <w:sz w:val="20"/>
          <w:szCs w:val="20"/>
          <w:color w:val="auto"/>
        </w:rPr>
      </w:pPr>
    </w:p>
    <w:p>
      <w:pPr>
        <w:jc w:val="both"/>
        <w:ind w:right="20"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Loans held for sale</w:t>
      </w:r>
      <w:r>
        <w:rPr>
          <w:rFonts w:ascii="Times New Roman" w:cs="Times New Roman" w:eastAsia="Times New Roman" w:hAnsi="Times New Roman"/>
          <w:sz w:val="18"/>
          <w:szCs w:val="18"/>
          <w:color w:val="auto"/>
        </w:rPr>
        <w:t>: The fair value of loans held for sale, carried at fair value is based on agency cash window loan pricing for comparable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Level 2).</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Collateral dependent </w:t>
      </w:r>
      <w:r>
        <w:rPr>
          <w:rFonts w:ascii="Times New Roman" w:cs="Times New Roman" w:eastAsia="Times New Roman" w:hAnsi="Times New Roman"/>
          <w:sz w:val="18"/>
          <w:szCs w:val="18"/>
          <w:i w:val="1"/>
          <w:iCs w:val="1"/>
          <w:color w:val="000000"/>
        </w:rPr>
        <w:t>loans with specific loss allocations based on collateral value</w:t>
      </w:r>
      <w:r>
        <w:rPr>
          <w:rFonts w:ascii="Times New Roman" w:cs="Times New Roman" w:eastAsia="Times New Roman" w:hAnsi="Times New Roman"/>
          <w:sz w:val="18"/>
          <w:szCs w:val="18"/>
          <w:color w:val="000000"/>
        </w:rPr>
        <w:t>: From time to time, certain collateral dependent loans will have 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i w:val="1"/>
          <w:iCs w:val="1"/>
          <w:color w:val="auto"/>
        </w:rPr>
        <w:t>Other real estate</w:t>
      </w:r>
      <w:r>
        <w:rPr>
          <w:rFonts w:ascii="Times New Roman" w:cs="Times New Roman" w:eastAsia="Times New Roman" w:hAnsi="Times New Roman"/>
          <w:sz w:val="18"/>
          <w:szCs w:val="18"/>
          <w:color w:val="auto"/>
        </w:rPr>
        <w:t>: At the time of acquisition, other real estate is recorded at fair value, less estimated costs to sell, which becomes the property’s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Subsequent write-downs to reflect declines in value since the time of acquisition may occur from time to time and are recorded in net gains (losses) on other real estate and repossessed assets, which is part of non-interest expense - other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8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85"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The fair value of rate-lock mortgage loan commitments is based on agency cash window loan pricing for comparable assets and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mandatory commitments to sell mortgage loans is based on mortgage 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center"/>
              <w:ind w:right="1011"/>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80" w:type="dxa"/>
            <w:vAlign w:val="bottom"/>
            <w:gridSpan w:val="2"/>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7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0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7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0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Un-</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8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6"/>
              </w:rPr>
              <w:t>Identical</w:t>
            </w:r>
          </w:p>
        </w:tc>
        <w:tc>
          <w:tcPr>
            <w:tcW w:w="7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30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Measure-</w:t>
            </w:r>
          </w:p>
        </w:tc>
        <w:tc>
          <w:tcPr>
            <w:tcW w:w="108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7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0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0" w:type="dxa"/>
            <w:vAlign w:val="bottom"/>
          </w:tcPr>
          <w:p>
            <w:pPr>
              <w:spacing w:after="0"/>
              <w:rPr>
                <w:sz w:val="1"/>
                <w:szCs w:val="1"/>
                <w:color w:val="auto"/>
              </w:rPr>
            </w:pPr>
          </w:p>
        </w:tc>
      </w:tr>
      <w:tr>
        <w:trPr>
          <w:trHeight w:val="236"/>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5"/>
              </w:rPr>
              <w:t>ments</w:t>
            </w:r>
          </w:p>
        </w:tc>
        <w:tc>
          <w:tcPr>
            <w:tcW w:w="108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700" w:type="dxa"/>
            <w:vAlign w:val="bottom"/>
          </w:tcPr>
          <w:p>
            <w:pPr>
              <w:spacing w:after="0"/>
              <w:rPr>
                <w:sz w:val="20"/>
                <w:szCs w:val="20"/>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300" w:type="dxa"/>
            <w:vAlign w:val="bottom"/>
          </w:tcPr>
          <w:p>
            <w:pPr>
              <w:spacing w:after="0"/>
              <w:rPr>
                <w:sz w:val="20"/>
                <w:szCs w:val="20"/>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6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agency</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7,917</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81,065</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7,186</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40,506</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30,185</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280,402</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47,661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987</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9,031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31,493</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Derivatives (1)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29,584</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29,584</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Derivatives (2)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19,551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 dependent loans (3)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7,361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27"/>
        </w:trPr>
        <w:tc>
          <w:tcPr>
            <w:tcW w:w="5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10,123</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432</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5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1-4 family - 2nd lien</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238</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Resort lending</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Boat lending</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150</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7"/>
        </w:trPr>
        <w:tc>
          <w:tcPr>
            <w:tcW w:w="5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3" w:lineRule="exact"/>
        <w:rPr>
          <w:sz w:val="20"/>
          <w:szCs w:val="20"/>
          <w:color w:val="auto"/>
        </w:rPr>
      </w:pPr>
    </w:p>
    <w:p>
      <w:pPr>
        <w:ind w:left="480" w:hanging="456"/>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the Consolidated Statements of Financial Condition.</w:t>
      </w:r>
    </w:p>
    <w:p>
      <w:pPr>
        <w:spacing w:after="0" w:line="153"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the Consolidated Statements of Financial Condition.</w:t>
      </w:r>
    </w:p>
    <w:p>
      <w:pPr>
        <w:spacing w:after="0" w:line="16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center"/>
              <w:ind w:right="1011"/>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80" w:type="dxa"/>
            <w:vAlign w:val="bottom"/>
            <w:gridSpan w:val="2"/>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7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0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7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0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Un-</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8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6"/>
              </w:rPr>
              <w:t>Identical</w:t>
            </w:r>
          </w:p>
        </w:tc>
        <w:tc>
          <w:tcPr>
            <w:tcW w:w="7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30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Measure-</w:t>
            </w:r>
          </w:p>
        </w:tc>
        <w:tc>
          <w:tcPr>
            <w:tcW w:w="108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7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0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0" w:type="dxa"/>
            <w:vAlign w:val="bottom"/>
          </w:tcPr>
          <w:p>
            <w:pPr>
              <w:spacing w:after="0"/>
              <w:rPr>
                <w:sz w:val="1"/>
                <w:szCs w:val="1"/>
                <w:color w:val="auto"/>
              </w:rPr>
            </w:pPr>
          </w:p>
        </w:tc>
      </w:tr>
      <w:tr>
        <w:trPr>
          <w:trHeight w:val="236"/>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5"/>
              </w:rPr>
              <w:t>ments</w:t>
            </w:r>
          </w:p>
        </w:tc>
        <w:tc>
          <w:tcPr>
            <w:tcW w:w="108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700" w:type="dxa"/>
            <w:vAlign w:val="bottom"/>
          </w:tcPr>
          <w:p>
            <w:pPr>
              <w:spacing w:after="0"/>
              <w:rPr>
                <w:sz w:val="20"/>
                <w:szCs w:val="20"/>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300" w:type="dxa"/>
            <w:vAlign w:val="bottom"/>
          </w:tcPr>
          <w:p>
            <w:pPr>
              <w:spacing w:after="0"/>
              <w:rPr>
                <w:sz w:val="20"/>
                <w:szCs w:val="20"/>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6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agency</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8,159</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71,137</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11,641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70,035</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38,516</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288,791</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288,791</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69,921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982</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7,643</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46,796</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Derivatives (1)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37,059</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Derivatives (2)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18,623</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 dependent loans (3)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4,205</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27"/>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132</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627</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- 2nd lien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170</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7"/>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Resort lending</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Boat lending</w:t>
            </w:r>
          </w:p>
        </w:tc>
        <w:tc>
          <w:tcPr>
            <w:tcW w:w="2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c>
          <w:tcPr>
            <w:tcW w:w="10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172</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2"/>
        </w:trPr>
        <w:tc>
          <w:tcPr>
            <w:tcW w:w="5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59</w:t>
            </w:r>
          </w:p>
        </w:tc>
        <w:tc>
          <w:tcPr>
            <w:tcW w:w="10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7" w:lineRule="exact"/>
        <w:rPr>
          <w:sz w:val="20"/>
          <w:szCs w:val="20"/>
          <w:color w:val="auto"/>
        </w:rPr>
      </w:pPr>
    </w:p>
    <w:p>
      <w:pPr>
        <w:ind w:left="480" w:hanging="456"/>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the Consolidated Statements of Financial Condition.</w:t>
      </w:r>
    </w:p>
    <w:p>
      <w:pPr>
        <w:spacing w:after="0" w:line="153"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the Consolidated Statements of Financial Condition.</w:t>
      </w:r>
    </w:p>
    <w:p>
      <w:pPr>
        <w:spacing w:after="0" w:line="16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fair values of financial assets for which we have elected the fair value option for the years ended December 31 were as follows:</w:t>
      </w:r>
    </w:p>
    <w:p>
      <w:pPr>
        <w:spacing w:after="0" w:line="269"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in Fair</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Values</w:t>
            </w:r>
          </w:p>
        </w:tc>
      </w:tr>
      <w:tr>
        <w:trPr>
          <w:trHeight w:val="213"/>
        </w:trPr>
        <w:tc>
          <w:tcPr>
            <w:tcW w:w="50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Gains (Losses)</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6"/>
              </w:rPr>
              <w:t>Included</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on Assets -</w:t>
            </w:r>
          </w:p>
        </w:tc>
        <w:tc>
          <w:tcPr>
            <w:tcW w:w="220" w:type="dxa"/>
            <w:vAlign w:val="bottom"/>
          </w:tcPr>
          <w:p>
            <w:pPr>
              <w:spacing w:after="0"/>
              <w:rPr>
                <w:sz w:val="18"/>
                <w:szCs w:val="18"/>
                <w:color w:val="auto"/>
              </w:rPr>
            </w:pPr>
          </w:p>
        </w:tc>
        <w:tc>
          <w:tcPr>
            <w:tcW w:w="166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in Current</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220" w:type="dxa"/>
            <w:vAlign w:val="bottom"/>
          </w:tcPr>
          <w:p>
            <w:pPr>
              <w:spacing w:after="0"/>
              <w:rPr>
                <w:sz w:val="18"/>
                <w:szCs w:val="18"/>
                <w:color w:val="auto"/>
              </w:rPr>
            </w:pPr>
          </w:p>
        </w:tc>
        <w:tc>
          <w:tcPr>
            <w:tcW w:w="166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36"/>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20" w:type="dxa"/>
            <w:vAlign w:val="bottom"/>
          </w:tcPr>
          <w:p>
            <w:pPr>
              <w:spacing w:after="0"/>
              <w:rPr>
                <w:sz w:val="20"/>
                <w:szCs w:val="20"/>
                <w:color w:val="auto"/>
              </w:rPr>
            </w:pPr>
          </w:p>
        </w:tc>
        <w:tc>
          <w:tcPr>
            <w:tcW w:w="166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Servicing, net</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6"/>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60" w:type="dxa"/>
            <w:vAlign w:val="bottom"/>
          </w:tcPr>
          <w:p>
            <w:pPr>
              <w:spacing w:after="0"/>
              <w:rPr>
                <w:sz w:val="19"/>
                <w:szCs w:val="19"/>
                <w:color w:val="auto"/>
              </w:rPr>
            </w:pPr>
          </w:p>
        </w:tc>
      </w:tr>
      <w:tr>
        <w:trPr>
          <w:trHeight w:val="257"/>
        </w:trPr>
        <w:tc>
          <w:tcPr>
            <w:tcW w:w="5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(5,741)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r>
      <w:tr>
        <w:trPr>
          <w:trHeight w:val="267"/>
        </w:trPr>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9"/>
                <w:szCs w:val="19"/>
                <w:color w:val="auto"/>
              </w:rPr>
            </w:pP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533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67"/>
        </w:trPr>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2,281</w:t>
            </w:r>
          </w:p>
        </w:tc>
        <w:tc>
          <w:tcPr>
            <w:tcW w:w="220" w:type="dxa"/>
            <w:vAlign w:val="bottom"/>
          </w:tcPr>
          <w:p>
            <w:pPr>
              <w:spacing w:after="0"/>
              <w:rPr>
                <w:sz w:val="19"/>
                <w:szCs w:val="19"/>
                <w:color w:val="auto"/>
              </w:rPr>
            </w:pP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(4,202)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r>
    </w:tbl>
    <w:p>
      <w:pPr>
        <w:spacing w:after="0" w:line="289"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w:t>
      </w:r>
    </w:p>
    <w:p>
      <w:pPr>
        <w:spacing w:after="0" w:line="163"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years ended December 31, 2025, 2024 and 2023 relating to assets measured at fair value on a non-recurring basis:</w:t>
      </w:r>
    </w:p>
    <w:p>
      <w:pPr>
        <w:spacing w:after="0" w:line="163" w:lineRule="exact"/>
        <w:rPr>
          <w:sz w:val="20"/>
          <w:szCs w:val="20"/>
          <w:color w:val="auto"/>
        </w:rPr>
      </w:pPr>
    </w:p>
    <w:p>
      <w:pPr>
        <w:jc w:val="both"/>
        <w:ind w:left="800" w:hanging="473"/>
        <w:spacing w:after="0" w:line="254" w:lineRule="auto"/>
        <w:tabs>
          <w:tab w:leader="none" w:pos="7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that are individually evaluated using the fair value of collateral for collateral dependent loans had a carrying amount of $18.6 million, which is net of a valuation allowance of $6.8 million at December 31, 2025, and had a carrying amount of $5.5 million, which is net of a valuation allowance of $2.3 million at December 31, 2024. An additional provision for credit losses relating to these collateral dependent loans of $7.0 million, $0.2 million and $1.1 million was included in our results of operations for the years ending December 31, 2025, 2024 and 2023, respectively.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A reconciliation for all assets and (liabilities) measured at fair value on a recurring basis using significant unobservable inputs (Level 3) for the years ended December 31 follows:</w:t>
      </w:r>
    </w:p>
    <w:p>
      <w:pPr>
        <w:spacing w:after="0" w:line="2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Capitalized Mortgage</w:t>
      </w:r>
    </w:p>
    <w:p>
      <w:pPr>
        <w:spacing w:after="0" w:line="2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Loan Servicing Rights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losses realized and unrealized:</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2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results of operations - gain on sale (1)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Included in other comprehensive income (loss)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total gains (losses) for the period included in earnings attributable to the change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unrealized losses relating to assets and liabilities still held at December 31</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320" w:hanging="313"/>
        <w:spacing w:after="0" w:line="263" w:lineRule="auto"/>
        <w:tabs>
          <w:tab w:leader="none" w:pos="40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$0.1 million relating to this transaction, we are not aware of any issues that will have a material impact on this final payment. We have until the first quarter, 2026 to receive this final payment. Transaction expenses relating to this sale were approximately $0.2 million and were expensed in 2025.</w:t>
      </w:r>
    </w:p>
    <w:p>
      <w:pPr>
        <w:spacing w:after="0" w:line="19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value of our capitalized mortgage loan servicing rights. Quantitative information about our Level 3 fair value measurements measured on a recurring basis follows:</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36"/>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16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80" w:type="dxa"/>
            <w:vAlign w:val="bottom"/>
            <w:vMerge w:val="restart"/>
          </w:tcPr>
          <w:p>
            <w:pPr>
              <w:jc w:val="right"/>
              <w:ind w:right="2131"/>
              <w:spacing w:after="0"/>
              <w:rPr>
                <w:sz w:val="20"/>
                <w:szCs w:val="20"/>
                <w:color w:val="auto"/>
              </w:rPr>
            </w:pPr>
            <w:r>
              <w:rPr>
                <w:rFonts w:ascii="Times New Roman" w:cs="Times New Roman" w:eastAsia="Times New Roman" w:hAnsi="Times New Roman"/>
                <w:sz w:val="18"/>
                <w:szCs w:val="18"/>
                <w:color w:val="auto"/>
                <w:w w:val="94"/>
              </w:rPr>
              <w:t>2025</w:t>
            </w:r>
          </w:p>
        </w:tc>
        <w:tc>
          <w:tcPr>
            <w:tcW w:w="160" w:type="dxa"/>
            <w:vAlign w:val="bottom"/>
          </w:tcPr>
          <w:p>
            <w:pPr>
              <w:spacing w:after="0"/>
              <w:rPr>
                <w:sz w:val="19"/>
                <w:szCs w:val="19"/>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580" w:type="dxa"/>
            <w:vAlign w:val="bottom"/>
          </w:tcPr>
          <w:p>
            <w:pPr>
              <w:jc w:val="right"/>
              <w:ind w:right="451"/>
              <w:spacing w:after="0" w:line="178" w:lineRule="exact"/>
              <w:rPr>
                <w:sz w:val="20"/>
                <w:szCs w:val="20"/>
                <w:color w:val="auto"/>
              </w:rPr>
            </w:pPr>
            <w:r>
              <w:rPr>
                <w:rFonts w:ascii="Times New Roman" w:cs="Times New Roman" w:eastAsia="Times New Roman" w:hAnsi="Times New Roman"/>
                <w:sz w:val="18"/>
                <w:szCs w:val="18"/>
                <w:color w:val="auto"/>
              </w:rPr>
              <w:t>Capitalized mortgage loan</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Present value of net</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58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8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0" w:type="dxa"/>
            <w:vAlign w:val="bottom"/>
          </w:tcPr>
          <w:p>
            <w:pPr>
              <w:spacing w:after="0"/>
              <w:rPr>
                <w:sz w:val="1"/>
                <w:szCs w:val="1"/>
                <w:color w:val="auto"/>
              </w:rPr>
            </w:pPr>
          </w:p>
        </w:tc>
      </w:tr>
      <w:tr>
        <w:trPr>
          <w:trHeight w:val="227"/>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0" w:type="dxa"/>
            <w:vAlign w:val="bottom"/>
          </w:tcPr>
          <w:p>
            <w:pPr>
              <w:spacing w:after="0"/>
              <w:rPr>
                <w:sz w:val="1"/>
                <w:szCs w:val="1"/>
                <w:color w:val="auto"/>
              </w:rPr>
            </w:pPr>
          </w:p>
        </w:tc>
      </w:tr>
      <w:tr>
        <w:trPr>
          <w:trHeight w:val="227"/>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Ancillary income</w:t>
            </w:r>
          </w:p>
        </w:tc>
        <w:tc>
          <w:tcPr>
            <w:tcW w:w="0" w:type="dxa"/>
            <w:vAlign w:val="bottom"/>
          </w:tcPr>
          <w:p>
            <w:pPr>
              <w:spacing w:after="0"/>
              <w:rPr>
                <w:sz w:val="1"/>
                <w:szCs w:val="1"/>
                <w:color w:val="auto"/>
              </w:rPr>
            </w:pPr>
          </w:p>
        </w:tc>
      </w:tr>
      <w:tr>
        <w:trPr>
          <w:trHeight w:val="232"/>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Float rate</w:t>
            </w:r>
          </w:p>
        </w:tc>
        <w:tc>
          <w:tcPr>
            <w:tcW w:w="0" w:type="dxa"/>
            <w:vAlign w:val="bottom"/>
          </w:tcPr>
          <w:p>
            <w:pPr>
              <w:spacing w:after="0"/>
              <w:rPr>
                <w:sz w:val="1"/>
                <w:szCs w:val="1"/>
                <w:color w:val="auto"/>
              </w:rPr>
            </w:pPr>
          </w:p>
        </w:tc>
      </w:tr>
      <w:tr>
        <w:trPr>
          <w:trHeight w:val="267"/>
        </w:trPr>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0" w:type="dxa"/>
            <w:vAlign w:val="bottom"/>
          </w:tcPr>
          <w:p>
            <w:pPr>
              <w:spacing w:after="0"/>
              <w:rPr>
                <w:sz w:val="1"/>
                <w:szCs w:val="1"/>
                <w:color w:val="auto"/>
              </w:rPr>
            </w:pPr>
          </w:p>
        </w:tc>
      </w:tr>
      <w:tr>
        <w:trPr>
          <w:trHeight w:val="488"/>
        </w:trPr>
        <w:tc>
          <w:tcPr>
            <w:tcW w:w="2580" w:type="dxa"/>
            <w:vAlign w:val="bottom"/>
          </w:tcPr>
          <w:p>
            <w:pPr>
              <w:jc w:val="right"/>
              <w:ind w:right="2131"/>
              <w:spacing w:after="0"/>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580" w:type="dxa"/>
            <w:vAlign w:val="bottom"/>
          </w:tcPr>
          <w:p>
            <w:pPr>
              <w:jc w:val="right"/>
              <w:ind w:right="451"/>
              <w:spacing w:after="0" w:line="178" w:lineRule="exact"/>
              <w:rPr>
                <w:sz w:val="20"/>
                <w:szCs w:val="20"/>
                <w:color w:val="auto"/>
              </w:rPr>
            </w:pPr>
            <w:r>
              <w:rPr>
                <w:rFonts w:ascii="Times New Roman" w:cs="Times New Roman" w:eastAsia="Times New Roman" w:hAnsi="Times New Roman"/>
                <w:sz w:val="18"/>
                <w:szCs w:val="18"/>
                <w:color w:val="auto"/>
              </w:rPr>
              <w:t>Capitalized mortgage loan</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Present value of net</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58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8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0" w:type="dxa"/>
            <w:vAlign w:val="bottom"/>
          </w:tcPr>
          <w:p>
            <w:pPr>
              <w:spacing w:after="0"/>
              <w:rPr>
                <w:sz w:val="1"/>
                <w:szCs w:val="1"/>
                <w:color w:val="auto"/>
              </w:rPr>
            </w:pPr>
          </w:p>
        </w:tc>
      </w:tr>
      <w:tr>
        <w:trPr>
          <w:trHeight w:val="227"/>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0" w:type="dxa"/>
            <w:vAlign w:val="bottom"/>
          </w:tcPr>
          <w:p>
            <w:pPr>
              <w:spacing w:after="0"/>
              <w:rPr>
                <w:sz w:val="1"/>
                <w:szCs w:val="1"/>
                <w:color w:val="auto"/>
              </w:rPr>
            </w:pPr>
          </w:p>
        </w:tc>
      </w:tr>
      <w:tr>
        <w:trPr>
          <w:trHeight w:val="227"/>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Ancillary income</w:t>
            </w:r>
          </w:p>
        </w:tc>
        <w:tc>
          <w:tcPr>
            <w:tcW w:w="0" w:type="dxa"/>
            <w:vAlign w:val="bottom"/>
          </w:tcPr>
          <w:p>
            <w:pPr>
              <w:spacing w:after="0"/>
              <w:rPr>
                <w:sz w:val="1"/>
                <w:szCs w:val="1"/>
                <w:color w:val="auto"/>
              </w:rPr>
            </w:pPr>
          </w:p>
        </w:tc>
      </w:tr>
      <w:tr>
        <w:trPr>
          <w:trHeight w:val="232"/>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Float rate</w:t>
            </w:r>
          </w:p>
        </w:tc>
        <w:tc>
          <w:tcPr>
            <w:tcW w:w="0" w:type="dxa"/>
            <w:vAlign w:val="bottom"/>
          </w:tcPr>
          <w:p>
            <w:pPr>
              <w:spacing w:after="0"/>
              <w:rPr>
                <w:sz w:val="1"/>
                <w:szCs w:val="1"/>
                <w:color w:val="auto"/>
              </w:rPr>
            </w:pPr>
          </w:p>
        </w:tc>
      </w:tr>
      <w:tr>
        <w:trPr>
          <w:trHeight w:val="267"/>
        </w:trPr>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-2041525</wp:posOffset>
            </wp:positionV>
            <wp:extent cx="7134225" cy="262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34225" cy="262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-1635125</wp:posOffset>
            </wp:positionV>
            <wp:extent cx="7134225" cy="144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-1346835</wp:posOffset>
            </wp:positionV>
            <wp:extent cx="7134225" cy="169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-1007745</wp:posOffset>
            </wp:positionV>
            <wp:extent cx="7134225" cy="144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-601345</wp:posOffset>
            </wp:positionV>
            <wp:extent cx="7134225" cy="144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-313055</wp:posOffset>
            </wp:positionV>
            <wp:extent cx="7134225" cy="144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63"/>
        </w:trPr>
        <w:tc>
          <w:tcPr>
            <w:tcW w:w="18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Range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856"/>
        </w:trPr>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 to 18.65%</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9.94 %</w:t>
            </w:r>
          </w:p>
        </w:tc>
      </w:tr>
      <w:tr>
        <w:trPr>
          <w:trHeight w:val="227"/>
        </w:trPr>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 to $817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27"/>
        </w:trPr>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to 30</w:t>
            </w:r>
          </w:p>
        </w:tc>
        <w:tc>
          <w:tcPr>
            <w:tcW w:w="2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32"/>
        </w:trPr>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67"/>
        </w:trPr>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 to 39.62%</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9.60 %</w:t>
            </w:r>
          </w:p>
        </w:tc>
      </w:tr>
      <w:tr>
        <w:trPr>
          <w:trHeight w:val="902"/>
        </w:trPr>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to 19.15%</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10.37 %</w:t>
            </w:r>
          </w:p>
        </w:tc>
      </w:tr>
      <w:tr>
        <w:trPr>
          <w:trHeight w:val="227"/>
        </w:trPr>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 to $817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r>
      <w:tr>
        <w:trPr>
          <w:trHeight w:val="227"/>
        </w:trPr>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to 30</w:t>
            </w:r>
          </w:p>
        </w:tc>
        <w:tc>
          <w:tcPr>
            <w:tcW w:w="2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32"/>
        </w:trPr>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67"/>
        </w:trPr>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 to 28.28%</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r>
    </w:tbl>
    <w:p>
      <w:pPr>
        <w:spacing w:after="0" w:line="200" w:lineRule="exact"/>
        <w:rPr>
          <w:sz w:val="20"/>
          <w:szCs w:val="20"/>
          <w:color w:val="auto"/>
        </w:rPr>
      </w:pPr>
    </w:p>
    <w:p>
      <w:pPr>
        <w:sectPr>
          <w:pgSz w:w="11900" w:h="16838" w:orient="portrait"/>
          <w:cols w:equalWidth="0" w:num="2">
            <w:col w:w="7900" w:space="80"/>
            <w:col w:w="3260"/>
          </w:cols>
          <w:pgMar w:left="320" w:top="121"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measured on a non-recurring basis follows:</w:t>
      </w:r>
    </w:p>
    <w:p>
      <w:pPr>
        <w:sectPr>
          <w:pgSz w:w="11900" w:h="16838" w:orient="portrait"/>
          <w:cols w:equalWidth="0" w:num="1">
            <w:col w:w="11240"/>
          </w:cols>
          <w:pgMar w:left="320" w:top="121" w:right="339" w:bottom="1440" w:gutter="0" w:footer="0" w:header="0"/>
        </w:sect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Fair</w:t>
            </w:r>
          </w:p>
        </w:tc>
        <w:tc>
          <w:tcPr>
            <w:tcW w:w="360" w:type="dxa"/>
            <w:vAlign w:val="bottom"/>
          </w:tcPr>
          <w:p>
            <w:pPr>
              <w:spacing w:after="0"/>
              <w:rPr>
                <w:sz w:val="18"/>
                <w:szCs w:val="18"/>
                <w:color w:val="auto"/>
              </w:rPr>
            </w:pP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1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360" w:type="dxa"/>
            <w:vAlign w:val="bottom"/>
          </w:tcPr>
          <w:p>
            <w:pPr>
              <w:spacing w:after="0"/>
              <w:rPr>
                <w:sz w:val="20"/>
                <w:szCs w:val="20"/>
                <w:color w:val="auto"/>
              </w:rPr>
            </w:pPr>
          </w:p>
        </w:tc>
        <w:tc>
          <w:tcPr>
            <w:tcW w:w="20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21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 used</w:t>
            </w:r>
          </w:p>
        </w:tc>
        <w:tc>
          <w:tcPr>
            <w:tcW w:w="0" w:type="dxa"/>
            <w:vAlign w:val="bottom"/>
          </w:tcPr>
          <w:p>
            <w:pPr>
              <w:spacing w:after="0"/>
              <w:rPr>
                <w:sz w:val="1"/>
                <w:szCs w:val="1"/>
                <w:color w:val="auto"/>
              </w:rPr>
            </w:pPr>
          </w:p>
        </w:tc>
      </w:tr>
      <w:tr>
        <w:trPr>
          <w:trHeight w:val="248"/>
        </w:trPr>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32"/>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r>
        <w:trPr>
          <w:trHeight w:val="248"/>
        </w:trPr>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Discounting financial</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statement and machinery</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equipment appraised</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360" w:type="dxa"/>
            <w:vAlign w:val="bottom"/>
          </w:tcPr>
          <w:p>
            <w:pPr>
              <w:spacing w:after="0"/>
              <w:rPr>
                <w:sz w:val="22"/>
                <w:szCs w:val="22"/>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values</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 used</w:t>
            </w:r>
          </w:p>
        </w:tc>
        <w:tc>
          <w:tcPr>
            <w:tcW w:w="0" w:type="dxa"/>
            <w:vAlign w:val="bottom"/>
          </w:tcPr>
          <w:p>
            <w:pPr>
              <w:spacing w:after="0"/>
              <w:rPr>
                <w:sz w:val="1"/>
                <w:szCs w:val="1"/>
                <w:color w:val="auto"/>
              </w:rPr>
            </w:pPr>
          </w:p>
        </w:tc>
      </w:tr>
      <w:tr>
        <w:trPr>
          <w:trHeight w:val="221"/>
        </w:trPr>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59"/>
        </w:trPr>
        <w:tc>
          <w:tcPr>
            <w:tcW w:w="2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60" w:type="dxa"/>
            <w:vAlign w:val="bottom"/>
          </w:tcPr>
          <w:p>
            <w:pPr>
              <w:spacing w:after="0"/>
              <w:rPr>
                <w:sz w:val="22"/>
                <w:szCs w:val="22"/>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r>
        <w:trPr>
          <w:trHeight w:val="240"/>
        </w:trPr>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Mortgage and</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41"/>
        </w:trPr>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Installment (2)</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6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r>
        <w:trPr>
          <w:trHeight w:val="49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Discounting financial</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statement and machinery</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equipment appraised</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360" w:type="dxa"/>
            <w:vAlign w:val="bottom"/>
          </w:tcPr>
          <w:p>
            <w:pPr>
              <w:spacing w:after="0"/>
              <w:rPr>
                <w:sz w:val="22"/>
                <w:szCs w:val="22"/>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values</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 used</w:t>
            </w:r>
          </w:p>
        </w:tc>
        <w:tc>
          <w:tcPr>
            <w:tcW w:w="0" w:type="dxa"/>
            <w:vAlign w:val="bottom"/>
          </w:tcPr>
          <w:p>
            <w:pPr>
              <w:spacing w:after="0"/>
              <w:rPr>
                <w:sz w:val="1"/>
                <w:szCs w:val="1"/>
                <w:color w:val="auto"/>
              </w:rPr>
            </w:pPr>
          </w:p>
        </w:tc>
      </w:tr>
      <w:tr>
        <w:trPr>
          <w:trHeight w:val="221"/>
        </w:trPr>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32"/>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r>
        <w:trPr>
          <w:trHeight w:val="266"/>
        </w:trPr>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Mortgage and</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41"/>
        </w:trPr>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Installment (2)</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36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-3473450</wp:posOffset>
            </wp:positionV>
            <wp:extent cx="7134225" cy="144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-3159760</wp:posOffset>
            </wp:positionV>
            <wp:extent cx="7134225" cy="304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4225" cy="3048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-2279015</wp:posOffset>
            </wp:positionV>
            <wp:extent cx="7134225" cy="304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4225" cy="3048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-1668780</wp:posOffset>
            </wp:positionV>
            <wp:extent cx="7134225" cy="169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-1355090</wp:posOffset>
            </wp:positionV>
            <wp:extent cx="7134225" cy="169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-609600</wp:posOffset>
            </wp:positionV>
            <wp:extent cx="7134225" cy="304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63"/>
        </w:trPr>
        <w:tc>
          <w:tcPr>
            <w:tcW w:w="16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00" w:type="dxa"/>
            <w:vAlign w:val="bottom"/>
          </w:tcPr>
          <w:p>
            <w:pPr>
              <w:spacing w:after="0"/>
              <w:rPr>
                <w:sz w:val="22"/>
                <w:szCs w:val="22"/>
                <w:color w:val="auto"/>
              </w:rPr>
            </w:pPr>
          </w:p>
        </w:tc>
        <w:tc>
          <w:tcPr>
            <w:tcW w:w="12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1208"/>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 to 16.0%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480"/>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 to 15.0</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r>
      <w:tr>
        <w:trPr>
          <w:trHeight w:val="907"/>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 to 65.0</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w:t>
            </w:r>
          </w:p>
        </w:tc>
      </w:tr>
      <w:tr>
        <w:trPr>
          <w:trHeight w:val="480"/>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 to 65.0</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r>
      <w:tr>
        <w:trPr>
          <w:trHeight w:val="480"/>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 to 16.9</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1668"/>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 to 55.0%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480"/>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 to 35.0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80"/>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 to 21.7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481" w:lineRule="exact"/>
        <w:rPr>
          <w:sz w:val="20"/>
          <w:szCs w:val="20"/>
          <w:color w:val="auto"/>
        </w:rPr>
      </w:pPr>
    </w:p>
    <w:p>
      <w:pPr>
        <w:sectPr>
          <w:pgSz w:w="11900" w:h="16838" w:orient="portrait"/>
          <w:cols w:equalWidth="0" w:num="2">
            <w:col w:w="8100" w:space="80"/>
            <w:col w:w="3060"/>
          </w:cols>
          <w:pgMar w:left="320" w:top="121" w:right="339" w:bottom="1440" w:gutter="0" w:footer="0" w:header="0"/>
          <w:type w:val="continuous"/>
        </w:sectPr>
      </w:pPr>
    </w:p>
    <w:p>
      <w:pPr>
        <w:spacing w:after="0" w:line="73" w:lineRule="exact"/>
        <w:rPr>
          <w:sz w:val="20"/>
          <w:szCs w:val="20"/>
          <w:color w:val="auto"/>
        </w:rPr>
      </w:pPr>
    </w:p>
    <w:p>
      <w:pPr>
        <w:ind w:left="580" w:hanging="556"/>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commercial loan relationship that is cross collateralized by several properties whose appraisals used different valuation techniques.</w:t>
      </w:r>
    </w:p>
    <w:p>
      <w:pPr>
        <w:spacing w:after="0" w:line="59" w:lineRule="exact"/>
        <w:rPr>
          <w:rFonts w:ascii="Times New Roman" w:cs="Times New Roman" w:eastAsia="Times New Roman" w:hAnsi="Times New Roman"/>
          <w:sz w:val="18"/>
          <w:szCs w:val="18"/>
          <w:color w:val="auto"/>
        </w:rPr>
      </w:pPr>
    </w:p>
    <w:p>
      <w:pPr>
        <w:jc w:val="both"/>
        <w:ind w:left="580" w:right="20" w:hanging="556"/>
        <w:spacing w:after="0" w:line="262"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valuation techniques and unobservable inputs discussed above, at December 31, 2025 and 2024 certain collateral dependent installment loans totaling approximately $0.37 million and $0.29 million, respectively, are secured by collateral other than real estate. For the majority of these loans, we apply internal discount rates to industry valuation guides.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30"/>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4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7,643</w:t>
            </w:r>
          </w:p>
        </w:tc>
        <w:tc>
          <w:tcPr>
            <w:tcW w:w="22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12,063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0" w:type="dxa"/>
            <w:vAlign w:val="bottom"/>
          </w:tcPr>
          <w:p>
            <w:pPr>
              <w:spacing w:after="0"/>
              <w:rPr>
                <w:sz w:val="1"/>
                <w:szCs w:val="1"/>
                <w:color w:val="auto"/>
              </w:rPr>
            </w:pPr>
          </w:p>
        </w:tc>
      </w:tr>
      <w:tr>
        <w:trPr>
          <w:trHeight w:val="895"/>
        </w:trPr>
        <w:tc>
          <w:tcPr>
            <w:tcW w:w="3440" w:type="dxa"/>
            <w:vAlign w:val="bottom"/>
          </w:tcPr>
          <w:p>
            <w:pPr>
              <w:spacing w:after="0"/>
              <w:rPr>
                <w:sz w:val="24"/>
                <w:szCs w:val="24"/>
                <w:color w:val="auto"/>
              </w:rPr>
            </w:pPr>
          </w:p>
        </w:tc>
        <w:tc>
          <w:tcPr>
            <w:tcW w:w="318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4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FAIR VALUES OF FINANCIAL INSTRUMENTS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estimated recorded book balances and fair values at December 31 follow: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Fair Value Using</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0"/>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5"/>
                <w:szCs w:val="15"/>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for</w:t>
            </w:r>
          </w:p>
        </w:tc>
        <w:tc>
          <w:tcPr>
            <w:tcW w:w="200" w:type="dxa"/>
            <w:vAlign w:val="bottom"/>
          </w:tcPr>
          <w:p>
            <w:pPr>
              <w:spacing w:after="0"/>
              <w:rPr>
                <w:sz w:val="15"/>
                <w:szCs w:val="15"/>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Un-</w:t>
            </w:r>
          </w:p>
        </w:tc>
      </w:tr>
      <w:tr>
        <w:trPr>
          <w:trHeight w:val="160"/>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3"/>
                <w:szCs w:val="13"/>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00" w:type="dxa"/>
            <w:vAlign w:val="bottom"/>
          </w:tcPr>
          <w:p>
            <w:pPr>
              <w:spacing w:after="0"/>
              <w:rPr>
                <w:sz w:val="13"/>
                <w:szCs w:val="13"/>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observable</w:t>
            </w: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6"/>
              </w:rPr>
              <w:t>Book</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0"/>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17"/>
                <w:szCs w:val="17"/>
                <w:color w:val="auto"/>
              </w:rPr>
            </w:pPr>
          </w:p>
        </w:tc>
        <w:tc>
          <w:tcPr>
            <w:tcW w:w="13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(Level 3)</w:t>
            </w:r>
          </w:p>
        </w:tc>
      </w:tr>
      <w:tr>
        <w:trPr>
          <w:trHeight w:val="25"/>
        </w:trPr>
        <w:tc>
          <w:tcPr>
            <w:tcW w:w="3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52,235</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52,235</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52,235</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86,152</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86,152</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86,152</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495,909</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495,909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495,909</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held to maturity</w:t>
            </w:r>
          </w:p>
        </w:tc>
        <w:tc>
          <w:tcPr>
            <w:tcW w:w="26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309,523</w:t>
            </w:r>
          </w:p>
        </w:tc>
        <w:tc>
          <w:tcPr>
            <w:tcW w:w="320" w:type="dxa"/>
            <w:vAlign w:val="bottom"/>
          </w:tcPr>
          <w:p>
            <w:pPr>
              <w:spacing w:after="0"/>
              <w:rPr>
                <w:sz w:val="17"/>
                <w:szCs w:val="17"/>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282,830</w:t>
            </w:r>
          </w:p>
        </w:tc>
        <w:tc>
          <w:tcPr>
            <w:tcW w:w="20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282,830</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7"/>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3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18,102</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loans and loans held for sale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4,221,871</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4,062,200</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9,031</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4,053,169</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19,030</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19,030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5,043</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13,952</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29,584</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29,584</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29,584</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Deposits with no stated maturity (1)</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3,967,941</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3,967,941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3,967,941</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Deposits with stated maturity (1)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793,741</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791,598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791,598</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borrowings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77,003</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76,680</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76,680</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Subordinated debentures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39,864</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39,761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39,761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1,892</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1,892</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316</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1,576</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19,551</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19,551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19,551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8"/>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56,984</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56,984</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56,984</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62,898</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62,898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62,898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559,182</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559,182</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559,182</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3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held to maturity</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339,436</w:t>
            </w: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301,860</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301,860</w:t>
            </w:r>
          </w:p>
        </w:tc>
        <w:tc>
          <w:tcPr>
            <w:tcW w:w="3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8"/>
        </w:trPr>
        <w:tc>
          <w:tcPr>
            <w:tcW w:w="35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16,099</w:t>
            </w:r>
          </w:p>
        </w:tc>
        <w:tc>
          <w:tcPr>
            <w:tcW w:w="32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7"/>
                <w:szCs w:val="17"/>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loans and loans held for sale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3,987,089</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3,772,862</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7,643</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3,765,219</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19,113</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19,113</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5,606</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13,461</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37,059</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37,059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37,059</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Deposits with no stated maturity (1)</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3,806,185</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3,806,185</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3,806,185</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Deposits with stated maturity (1)</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847,903</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845,534</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845,534</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borrowings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45,009</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44,996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44,996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Subordinated debt</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39,586</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40,412</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40,412</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Subordinated debentures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39,796</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40,235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40,235</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3,109</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3,109</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374</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2,735</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5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18,623</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18,623</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18,623</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52" w:lineRule="exact"/>
        <w:rPr>
          <w:sz w:val="20"/>
          <w:szCs w:val="20"/>
          <w:color w:val="auto"/>
        </w:rPr>
      </w:pPr>
    </w:p>
    <w:p>
      <w:pPr>
        <w:ind w:left="480" w:right="20" w:hanging="456"/>
        <w:spacing w:after="0" w:line="182" w:lineRule="auto"/>
        <w:tabs>
          <w:tab w:leader="none" w:pos="480" w:val="left"/>
        </w:tabs>
        <w:numPr>
          <w:ilvl w:val="0"/>
          <w:numId w:val="3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3"/>
          <w:szCs w:val="13"/>
          <w:color w:val="auto"/>
        </w:rPr>
        <w:t>Deposits with no stated maturity include reciprocal deposits with a recorded book balance of $862.697 million and $797.224 million at December 31, 2025 and 2024, respectively. Deposits with a stated maturity include reciprocal deposits with a recorded book balance of $112.224 million and $109.807 million at December 31, 2025 and 2024, respectively.</w:t>
      </w:r>
    </w:p>
    <w:p>
      <w:pPr>
        <w:spacing w:after="0" w:line="327"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ACCUMULATED OTHER COMPREHENSIVE LOSS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accumulated other comprehensive loss (‘‘AOCL’’), net of tax during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Dispropor-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tionate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Tax Effects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Gains (Losses) on</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6"/>
              </w:rPr>
              <w:t>Transferred to</w:t>
            </w:r>
          </w:p>
        </w:tc>
        <w:tc>
          <w:tcPr>
            <w:tcW w:w="1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5"/>
                <w:szCs w:val="5"/>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80" w:type="dxa"/>
            <w:vAlign w:val="bottom"/>
            <w:gridSpan w:val="3"/>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Securities HTM</w:t>
            </w: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3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(69,944)</w:t>
            </w:r>
          </w:p>
        </w:tc>
        <w:tc>
          <w:tcPr>
            <w:tcW w:w="0" w:type="dxa"/>
            <w:vAlign w:val="bottom"/>
          </w:tcPr>
          <w:p>
            <w:pPr>
              <w:spacing w:after="0"/>
              <w:rPr>
                <w:sz w:val="1"/>
                <w:szCs w:val="1"/>
                <w:color w:val="auto"/>
              </w:rPr>
            </w:pPr>
          </w:p>
        </w:tc>
      </w:tr>
      <w:tr>
        <w:trPr>
          <w:trHeight w:val="222"/>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153"/>
        </w:trPr>
        <w:tc>
          <w:tcPr>
            <w:tcW w:w="3600" w:type="dxa"/>
            <w:vAlign w:val="bottom"/>
          </w:tcPr>
          <w:p>
            <w:pPr>
              <w:ind w:left="460"/>
              <w:spacing w:after="0" w:line="154" w:lineRule="exact"/>
              <w:rPr>
                <w:sz w:val="20"/>
                <w:szCs w:val="20"/>
                <w:color w:val="auto"/>
              </w:rPr>
            </w:pPr>
            <w:r>
              <w:rPr>
                <w:rFonts w:ascii="Times New Roman" w:cs="Times New Roman" w:eastAsia="Times New Roman" w:hAnsi="Times New Roman"/>
                <w:sz w:val="17"/>
                <w:szCs w:val="17"/>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0" w:type="dxa"/>
            <w:vAlign w:val="bottom"/>
          </w:tcPr>
          <w:p>
            <w:pPr>
              <w:spacing w:after="0"/>
              <w:rPr>
                <w:sz w:val="1"/>
                <w:szCs w:val="1"/>
                <w:color w:val="auto"/>
              </w:rPr>
            </w:pPr>
          </w:p>
        </w:tc>
      </w:tr>
      <w:tr>
        <w:trPr>
          <w:trHeight w:val="245"/>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153"/>
        </w:trPr>
        <w:tc>
          <w:tcPr>
            <w:tcW w:w="3600" w:type="dxa"/>
            <w:vAlign w:val="bottom"/>
            <w:tcBorders>
              <w:top w:val="single" w:sz="8" w:color="CCEEFF"/>
            </w:tcBorders>
            <w:shd w:val="clear" w:color="auto" w:fill="CCEEFF"/>
          </w:tcPr>
          <w:p>
            <w:pPr>
              <w:ind w:left="500"/>
              <w:spacing w:after="0" w:line="154" w:lineRule="exact"/>
              <w:rPr>
                <w:sz w:val="20"/>
                <w:szCs w:val="20"/>
                <w:color w:val="auto"/>
              </w:rPr>
            </w:pPr>
            <w:r>
              <w:rPr>
                <w:rFonts w:ascii="Times New Roman" w:cs="Times New Roman" w:eastAsia="Times New Roman" w:hAnsi="Times New Roman"/>
                <w:sz w:val="17"/>
                <w:szCs w:val="17"/>
                <w:color w:val="auto"/>
              </w:rPr>
              <w:t>Net current period other comprehensive</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2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(69,944)</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0" w:type="dxa"/>
            <w:vAlign w:val="bottom"/>
          </w:tcPr>
          <w:p>
            <w:pPr>
              <w:spacing w:after="0"/>
              <w:rPr>
                <w:sz w:val="1"/>
                <w:szCs w:val="1"/>
                <w:color w:val="auto"/>
              </w:rPr>
            </w:pPr>
          </w:p>
        </w:tc>
      </w:tr>
      <w:tr>
        <w:trPr>
          <w:trHeight w:val="222"/>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2"/>
        </w:trPr>
        <w:tc>
          <w:tcPr>
            <w:tcW w:w="3600" w:type="dxa"/>
            <w:vAlign w:val="bottom"/>
          </w:tcPr>
          <w:p>
            <w:pPr>
              <w:ind w:left="500"/>
              <w:spacing w:after="0" w:line="201" w:lineRule="exact"/>
              <w:rPr>
                <w:sz w:val="20"/>
                <w:szCs w:val="20"/>
                <w:color w:val="auto"/>
              </w:rPr>
            </w:pPr>
            <w:r>
              <w:rPr>
                <w:rFonts w:ascii="Times New Roman" w:cs="Times New Roman" w:eastAsia="Times New Roman" w:hAnsi="Times New Roman"/>
                <w:sz w:val="18"/>
                <w:szCs w:val="18"/>
                <w:color w:val="auto"/>
              </w:rPr>
              <w:t>Net current period other comprehensive</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0" w:type="dxa"/>
            <w:vAlign w:val="bottom"/>
          </w:tcPr>
          <w:p>
            <w:pPr>
              <w:spacing w:after="0"/>
              <w:rPr>
                <w:sz w:val="1"/>
                <w:szCs w:val="1"/>
                <w:color w:val="auto"/>
              </w:rPr>
            </w:pPr>
          </w:p>
        </w:tc>
      </w:tr>
      <w:tr>
        <w:trPr>
          <w:trHeight w:val="245"/>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22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disproportionate tax effects from securities AFS arose primarily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AFS.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AOCL for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From</w:t>
            </w:r>
          </w:p>
        </w:tc>
        <w:tc>
          <w:tcPr>
            <w:tcW w:w="100" w:type="dxa"/>
            <w:vAlign w:val="bottom"/>
          </w:tcPr>
          <w:p>
            <w:pPr>
              <w:spacing w:after="0"/>
              <w:rPr>
                <w:sz w:val="18"/>
                <w:szCs w:val="18"/>
                <w:color w:val="auto"/>
              </w:rPr>
            </w:pPr>
          </w:p>
        </w:tc>
        <w:tc>
          <w:tcPr>
            <w:tcW w:w="480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Affected Line Item in</w:t>
            </w:r>
          </w:p>
        </w:tc>
        <w:tc>
          <w:tcPr>
            <w:tcW w:w="0" w:type="dxa"/>
            <w:vAlign w:val="bottom"/>
          </w:tcPr>
          <w:p>
            <w:pPr>
              <w:spacing w:after="0"/>
              <w:rPr>
                <w:sz w:val="1"/>
                <w:szCs w:val="1"/>
                <w:color w:val="auto"/>
              </w:rPr>
            </w:pPr>
          </w:p>
        </w:tc>
      </w:tr>
      <w:tr>
        <w:trPr>
          <w:trHeight w:val="263"/>
        </w:trPr>
        <w:tc>
          <w:tcPr>
            <w:tcW w:w="486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AOCL Component</w:t>
            </w:r>
          </w:p>
        </w:tc>
        <w:tc>
          <w:tcPr>
            <w:tcW w:w="160" w:type="dxa"/>
            <w:vAlign w:val="bottom"/>
          </w:tcPr>
          <w:p>
            <w:pPr>
              <w:spacing w:after="0"/>
              <w:rPr>
                <w:sz w:val="22"/>
                <w:szCs w:val="22"/>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AOCL</w:t>
            </w:r>
          </w:p>
        </w:tc>
        <w:tc>
          <w:tcPr>
            <w:tcW w:w="100" w:type="dxa"/>
            <w:vAlign w:val="bottom"/>
          </w:tcPr>
          <w:p>
            <w:pPr>
              <w:spacing w:after="0"/>
              <w:rPr>
                <w:sz w:val="22"/>
                <w:szCs w:val="22"/>
                <w:color w:val="auto"/>
              </w:rPr>
            </w:pPr>
          </w:p>
        </w:tc>
        <w:tc>
          <w:tcPr>
            <w:tcW w:w="48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0" w:type="dxa"/>
            <w:vAlign w:val="bottom"/>
          </w:tcPr>
          <w:p>
            <w:pPr>
              <w:spacing w:after="0"/>
              <w:rPr>
                <w:sz w:val="1"/>
                <w:szCs w:val="1"/>
                <w:color w:val="auto"/>
              </w:rPr>
            </w:pPr>
          </w:p>
        </w:tc>
      </w:tr>
      <w:tr>
        <w:trPr>
          <w:trHeight w:val="230"/>
        </w:trPr>
        <w:tc>
          <w:tcPr>
            <w:tcW w:w="47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securities available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3"/>
                <w:szCs w:val="23"/>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on securities available for sale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23"/>
                <w:szCs w:val="23"/>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60"/>
        </w:trPr>
        <w:tc>
          <w:tcPr>
            <w:tcW w:w="4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47"/>
        </w:trPr>
        <w:tc>
          <w:tcPr>
            <w:tcW w:w="47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top w:val="single" w:sz="8" w:color="CCEEFF"/>
            </w:tcBorders>
            <w:shd w:val="clear" w:color="auto" w:fill="CCEEFF"/>
          </w:tcPr>
          <w:p>
            <w:pPr>
              <w:spacing w:after="0"/>
              <w:rPr>
                <w:sz w:val="21"/>
                <w:szCs w:val="21"/>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7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78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bottom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losses on securities available for sale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3"/>
                <w:szCs w:val="23"/>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losses on securities available for sale</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47"/>
        </w:trPr>
        <w:tc>
          <w:tcPr>
            <w:tcW w:w="47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780" w:type="dxa"/>
            <w:vAlign w:val="bottom"/>
            <w:tcBorders>
              <w:top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2"/>
                <w:szCs w:val="22"/>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53"/>
        </w:trPr>
        <w:tc>
          <w:tcPr>
            <w:tcW w:w="47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78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securities available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3"/>
                <w:szCs w:val="23"/>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on securities available for sale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3"/>
                <w:szCs w:val="23"/>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47"/>
        </w:trPr>
        <w:tc>
          <w:tcPr>
            <w:tcW w:w="47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top w:val="single" w:sz="8" w:color="CCEEFF"/>
            </w:tcBorders>
            <w:shd w:val="clear" w:color="auto" w:fill="CCEEFF"/>
          </w:tcPr>
          <w:p>
            <w:pPr>
              <w:spacing w:after="0"/>
              <w:rPr>
                <w:sz w:val="21"/>
                <w:szCs w:val="21"/>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7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78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6"/>
              </w:rPr>
              <w:t>135</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INDEPENDENT BANK CORPORATION (PARENT COMPANY ONLY) FINANCIAL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Presented below are condensed financial statements for our parent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484,887</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income and other assets</w:t>
            </w:r>
          </w:p>
        </w:tc>
        <w:tc>
          <w:tcPr>
            <w:tcW w:w="9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0" w:type="dxa"/>
            <w:vAlign w:val="bottom"/>
          </w:tcPr>
          <w:p>
            <w:pPr>
              <w:spacing w:after="0"/>
              <w:rPr>
                <w:sz w:val="1"/>
                <w:szCs w:val="1"/>
                <w:color w:val="auto"/>
              </w:rPr>
            </w:pP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564,739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543,618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39,796</w:t>
            </w: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504,129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455,716</w:t>
            </w:r>
          </w:p>
        </w:tc>
        <w:tc>
          <w:tcPr>
            <w:tcW w:w="0" w:type="dxa"/>
            <w:vAlign w:val="bottom"/>
          </w:tcPr>
          <w:p>
            <w:pPr>
              <w:spacing w:after="0"/>
              <w:rPr>
                <w:sz w:val="1"/>
                <w:szCs w:val="1"/>
                <w:color w:val="auto"/>
              </w:rPr>
            </w:pPr>
          </w:p>
        </w:tc>
      </w:tr>
      <w:tr>
        <w:trPr>
          <w:trHeight w:val="22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564,739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543,618</w:t>
            </w:r>
          </w:p>
        </w:tc>
        <w:tc>
          <w:tcPr>
            <w:tcW w:w="0" w:type="dxa"/>
            <w:vAlign w:val="bottom"/>
          </w:tcPr>
          <w:p>
            <w:pPr>
              <w:spacing w:after="0"/>
              <w:rPr>
                <w:sz w:val="1"/>
                <w:szCs w:val="1"/>
                <w:color w:val="auto"/>
              </w:rPr>
            </w:pPr>
          </w:p>
        </w:tc>
      </w:tr>
      <w:tr>
        <w:trPr>
          <w:trHeight w:val="20"/>
        </w:trPr>
        <w:tc>
          <w:tcPr>
            <w:tcW w:w="8180" w:type="dxa"/>
            <w:vAlign w:val="bottom"/>
            <w:gridSpan w:val="4"/>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81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from subsidiary</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76,500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77,943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0" w:type="dxa"/>
            <w:vAlign w:val="bottom"/>
          </w:tcPr>
          <w:p>
            <w:pPr>
              <w:spacing w:after="0"/>
              <w:rPr>
                <w:sz w:val="1"/>
                <w:szCs w:val="1"/>
                <w:color w:val="auto"/>
              </w:rPr>
            </w:pPr>
          </w:p>
        </w:tc>
      </w:tr>
      <w:tr>
        <w:trPr>
          <w:trHeight w:val="247"/>
        </w:trPr>
        <w:tc>
          <w:tcPr>
            <w:tcW w:w="66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 and Equity in Undistributed Net Income of Subsidiaries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71,403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Equity in Undistributed Net Income of Subsidiaries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72,895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19,768</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39,299</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68,541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136</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5"/>
        </w:trPr>
        <w:tc>
          <w:tcPr>
            <w:tcW w:w="6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6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4"/>
          </w:tcPr>
          <w:p>
            <w:pPr>
              <w:ind w:left="37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20"/>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r>
      <w:tr>
        <w:trPr>
          <w:trHeight w:val="202"/>
        </w:trPr>
        <w:tc>
          <w:tcPr>
            <w:tcW w:w="66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w w:val="99"/>
              </w:rPr>
              <w:t>ADJUSTMENTS TO RECONCILE NET INCOME TO NET CASH FROM OPERATING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discount on subordinated debt and debentures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income and other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expenses and other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(39,299)</w:t>
            </w: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w:t>
            </w:r>
          </w:p>
        </w:tc>
      </w:tr>
      <w:tr>
        <w:trPr>
          <w:trHeight w:val="22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w:t>
            </w:r>
          </w:p>
        </w:tc>
      </w:tr>
      <w:tr>
        <w:trPr>
          <w:trHeight w:val="220"/>
        </w:trPr>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interest bearing deposits - time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Maturity of interest bearing deposits - time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USED IN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of subordinated debt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20"/>
        </w:trPr>
        <w:tc>
          <w:tcPr>
            <w:tcW w:w="6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w:t>
            </w: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r>
      <w:tr>
        <w:trPr>
          <w:trHeight w:val="220"/>
        </w:trPr>
        <w:tc>
          <w:tcPr>
            <w:tcW w:w="6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 REVENUE FROM CONTRACTS WITH CUSTOMERS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losses on securities AFS, mortgage loan servicing, net and bank owned life insurance and were approximately 88.2%, 88.5% and 86.8% of total revenues at December 31, 2025, 2024 and 2023, respectively.</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December 31, 2025 and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Service charges on deposit accounts and other deposit related income</w:t>
      </w:r>
      <w:r>
        <w:rPr>
          <w:rFonts w:ascii="Times New Roman" w:cs="Times New Roman" w:eastAsia="Times New Roman" w:hAnsi="Times New Roman"/>
          <w:sz w:val="18"/>
          <w:szCs w:val="18"/>
          <w:color w:val="auto"/>
        </w:rPr>
        <w:t>: Revenues are earned on depository accounts for commercial and retail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8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Interchange income: </w:t>
      </w:r>
      <w:r>
        <w:rPr>
          <w:rFonts w:ascii="Times New Roman" w:cs="Times New Roman" w:eastAsia="Times New Roman" w:hAnsi="Times New Roman"/>
          <w:sz w:val="18"/>
          <w:szCs w:val="18"/>
          <w:color w:val="auto"/>
        </w:rPr>
        <w:t>Interchange income primarily includes debit card interchange and network revenues. Debit card interchange and network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earned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77"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and insurance commissions: </w:t>
      </w:r>
      <w:r>
        <w:rPr>
          <w:rFonts w:ascii="Times New Roman" w:cs="Times New Roman" w:eastAsia="Times New Roman" w:hAnsi="Times New Roman"/>
          <w:sz w:val="18"/>
          <w:szCs w:val="18"/>
          <w:color w:val="auto"/>
        </w:rPr>
        <w:t>Investment and insurance commissions include fees and commissions from asset management, custody,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recordkeeping,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77"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Net (gains) losses on other real estate and repossessed assets</w:t>
      </w:r>
      <w:r>
        <w:rPr>
          <w:rFonts w:ascii="Times New Roman" w:cs="Times New Roman" w:eastAsia="Times New Roman" w:hAnsi="Times New Roman"/>
          <w:sz w:val="18"/>
          <w:szCs w:val="18"/>
          <w:color w:val="auto"/>
        </w:rPr>
        <w:t>: We record a gain or loss from the sale of other real estate when control of the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2025, 2024 or 2023 that were financed by us.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Disaggregation of our revenue sources by attribute for the years ended December 31 follow:</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6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r>
      <w:tr>
        <w:trPr>
          <w:trHeight w:val="22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3"/>
        </w:trPr>
        <w:tc>
          <w:tcPr>
            <w:tcW w:w="350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2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 SEGMENT REPORTING</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Independent Bank Corporation is a bank holding company, whose principal activity is the ownership and management of its wholly-owned subsidiaries, including Independent Bank. As a community-oriented financial institution, substantially all of our operations involve the delivery of loan and deposit products to customers.</w:t>
      </w:r>
    </w:p>
    <w:p>
      <w:pPr>
        <w:spacing w:after="0" w:line="176"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We have one reportable segment which is determined by the Chief Executive Officer, who is the designated chief operating decision maker, based upon information provided about the products and services we offer, primarily banking operations. The segment is also distinguished by the level of information provided to the chief operating decision maker, who uses such information to review performance of various components of the business, which are then aggregated if the operating performance, products/services, and customers are similar. The chief operating decision maker will evaluate the performance of our business components such as evaluating revenue streams, significant expenses, and budget to actual results assessing our segment and in the determination of allocating resources. The chief operating decision maker uses revenue streams to evaluate product pricing and significant expenses to assess performance and evaluate return on assets. The chief operating decision maker uses consolidated net income, earnings per share, and return on average assets to benchmark us against our competitors. The benchmarking analysis coupled with monitoring of budget to actual results are used in assessing performance and in establishing compensation. Loans, investments, and deposits provide the majority of revenues in the banking operation. Interest expense, provisions for credit losses, and compensation and employee benefits provide the significant expenses in the banking operation. All operations are domestic.</w:t>
      </w:r>
    </w:p>
    <w:p>
      <w:pPr>
        <w:spacing w:after="0" w:line="17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Accounting policies for our segment are the same as those described in Note #1 - Accounting Policies. Segment performance is evaluated using consolidated net income, earnings per share, and return on average assets. Information reported internally for performance assessment by the chief operating decision maker is as follows, inclusive of reconciliations of significant segment totals to the consolidated financial statements for the years ended December 31, 2025, 2024 and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0"/>
        </w:trPr>
        <w:tc>
          <w:tcPr>
            <w:tcW w:w="5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Independent Bank</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238,833</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25,948</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269,436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269,737</w:t>
            </w: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83,498</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85,682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89,722</w:t>
            </w:r>
          </w:p>
        </w:tc>
      </w:tr>
      <w:tr>
        <w:trPr>
          <w:trHeight w:val="253"/>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180,015</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r>
      <w:tr>
        <w:trPr>
          <w:trHeight w:val="253"/>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173,880</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45,644</w:t>
            </w: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85,194</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r>
      <w:tr>
        <w:trPr>
          <w:trHeight w:val="247"/>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138,233</w:t>
            </w:r>
          </w:p>
        </w:tc>
      </w:tr>
      <w:tr>
        <w:trPr>
          <w:trHeight w:val="247"/>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81,291</w:t>
            </w:r>
          </w:p>
        </w:tc>
      </w:tr>
      <w:tr>
        <w:trPr>
          <w:trHeight w:val="254"/>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r>
      <w:tr>
        <w:trPr>
          <w:trHeight w:val="25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68,541</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4"/>
        </w:trPr>
        <w:tc>
          <w:tcPr>
            <w:tcW w:w="5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r>
      <w:tr>
        <w:trPr>
          <w:trHeight w:val="25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5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5,499,615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5,505,720</w:t>
            </w:r>
          </w:p>
        </w:tc>
      </w:tr>
    </w:tbl>
    <w:p>
      <w:pPr>
        <w:spacing w:after="0" w:line="289" w:lineRule="exact"/>
        <w:rPr>
          <w:sz w:val="20"/>
          <w:szCs w:val="20"/>
          <w:color w:val="auto"/>
        </w:rPr>
      </w:pPr>
    </w:p>
    <w:p>
      <w:pPr>
        <w:ind w:left="5500" w:right="4760" w:hanging="5493"/>
        <w:spacing w:after="0" w:line="1028" w:lineRule="auto"/>
        <w:tabs>
          <w:tab w:leader="none" w:pos="40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715962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0"/>
        </w:trPr>
        <w:tc>
          <w:tcPr>
            <w:tcW w:w="5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Independent Bank</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line="220"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228,585</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r>
      <w:tr>
        <w:trPr>
          <w:trHeight w:val="25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4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266,776</w:t>
            </w:r>
          </w:p>
        </w:tc>
      </w:tr>
      <w:tr>
        <w:trPr>
          <w:trHeight w:val="24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92,694</w:t>
            </w:r>
          </w:p>
        </w:tc>
      </w:tr>
      <w:tr>
        <w:trPr>
          <w:trHeight w:val="25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4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96,456</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100,528</w:t>
            </w:r>
          </w:p>
        </w:tc>
      </w:tr>
      <w:tr>
        <w:trPr>
          <w:trHeight w:val="25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r>
      <w:tr>
        <w:trPr>
          <w:trHeight w:val="253"/>
        </w:trPr>
        <w:tc>
          <w:tcPr>
            <w:tcW w:w="51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161,780</w:t>
            </w:r>
          </w:p>
        </w:tc>
      </w:tr>
      <w:tr>
        <w:trPr>
          <w:trHeight w:val="22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r>
      <w:tr>
        <w:trPr>
          <w:trHeight w:val="25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r>
      <w:tr>
        <w:trPr>
          <w:trHeight w:val="24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56,362</w:t>
            </w:r>
          </w:p>
        </w:tc>
      </w:tr>
      <w:tr>
        <w:trPr>
          <w:trHeight w:val="24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84,955</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47"/>
        </w:trPr>
        <w:tc>
          <w:tcPr>
            <w:tcW w:w="51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135,096</w:t>
            </w:r>
          </w:p>
        </w:tc>
      </w:tr>
      <w:tr>
        <w:trPr>
          <w:trHeight w:val="247"/>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83,046</w:t>
            </w:r>
          </w:p>
        </w:tc>
      </w:tr>
      <w:tr>
        <w:trPr>
          <w:trHeight w:val="254"/>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r>
      <w:tr>
        <w:trPr>
          <w:trHeight w:val="253"/>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4"/>
        </w:trPr>
        <w:tc>
          <w:tcPr>
            <w:tcW w:w="5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5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5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5,328,488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549,242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5,338,104</w:t>
            </w:r>
          </w:p>
        </w:tc>
      </w:tr>
    </w:tbl>
    <w:p>
      <w:pPr>
        <w:spacing w:after="0" w:line="289" w:lineRule="exact"/>
        <w:rPr>
          <w:sz w:val="20"/>
          <w:szCs w:val="20"/>
          <w:color w:val="auto"/>
        </w:rPr>
      </w:pPr>
    </w:p>
    <w:p>
      <w:pPr>
        <w:ind w:left="5500" w:right="4760" w:hanging="5493"/>
        <w:spacing w:after="0" w:line="1028" w:lineRule="auto"/>
        <w:tabs>
          <w:tab w:leader="none" w:pos="40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715962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0"/>
        </w:trPr>
        <w:tc>
          <w:tcPr>
            <w:tcW w:w="5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Independent Bank</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197,489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197,725</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36,523</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239,441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239,677</w:t>
            </w: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75,075</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78,939</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83,348</w:t>
            </w:r>
          </w:p>
        </w:tc>
      </w:tr>
      <w:tr>
        <w:trPr>
          <w:trHeight w:val="253"/>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156,329</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r>
      <w:tr>
        <w:trPr>
          <w:trHeight w:val="253"/>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154,292</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150,119</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50,676</w:t>
            </w: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78,965</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r>
      <w:tr>
        <w:trPr>
          <w:trHeight w:val="247"/>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125,202</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127,119</w:t>
            </w:r>
          </w:p>
        </w:tc>
      </w:tr>
      <w:tr>
        <w:trPr>
          <w:trHeight w:val="247"/>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73,676</w:t>
            </w:r>
          </w:p>
        </w:tc>
      </w:tr>
      <w:tr>
        <w:trPr>
          <w:trHeight w:val="254"/>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r>
      <w:tr>
        <w:trPr>
          <w:trHeight w:val="25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63,368</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59,067</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7"/>
        </w:trPr>
        <w:tc>
          <w:tcPr>
            <w:tcW w:w="5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5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5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5,259,523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493,158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5,263,726</w:t>
            </w:r>
          </w:p>
        </w:tc>
      </w:tr>
    </w:tbl>
    <w:p>
      <w:pPr>
        <w:spacing w:after="0" w:line="289" w:lineRule="exact"/>
        <w:rPr>
          <w:sz w:val="20"/>
          <w:szCs w:val="20"/>
          <w:color w:val="auto"/>
        </w:rPr>
      </w:pPr>
    </w:p>
    <w:p>
      <w:pPr>
        <w:ind w:left="5500" w:right="4760" w:hanging="5493"/>
        <w:spacing w:after="0" w:line="1028" w:lineRule="auto"/>
        <w:tabs>
          <w:tab w:leader="none" w:pos="4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715962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gridSpan w:val="1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520" w:type="dxa"/>
            <w:vAlign w:val="bottom"/>
            <w:gridSpan w:val="16"/>
          </w:tcPr>
          <w:p>
            <w:pPr>
              <w:ind w:left="320"/>
              <w:spacing w:after="0"/>
              <w:rPr>
                <w:sz w:val="20"/>
                <w:szCs w:val="20"/>
                <w:color w:val="auto"/>
              </w:rPr>
            </w:pPr>
            <w:r>
              <w:rPr>
                <w:rFonts w:ascii="Times New Roman" w:cs="Times New Roman" w:eastAsia="Times New Roman" w:hAnsi="Times New Roman"/>
                <w:sz w:val="18"/>
                <w:szCs w:val="18"/>
                <w:color w:val="auto"/>
              </w:rPr>
              <w:t>A summary of selected quarterly results of operations for the years ended December 31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10"/>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amounts)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66,144</w:t>
            </w:r>
          </w:p>
        </w:tc>
        <w:tc>
          <w:tcPr>
            <w:tcW w:w="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66,878</w:t>
            </w:r>
          </w:p>
        </w:tc>
        <w:tc>
          <w:tcPr>
            <w:tcW w:w="8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Net interest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43,685</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44,615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46,354</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27"/>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19,126</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20,678</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15,590</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16,877</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w:t>
            </w:r>
          </w:p>
        </w:tc>
        <w:tc>
          <w:tcPr>
            <w:tcW w:w="0" w:type="dxa"/>
            <w:vAlign w:val="bottom"/>
          </w:tcPr>
          <w:p>
            <w:pPr>
              <w:spacing w:after="0"/>
              <w:rPr>
                <w:sz w:val="1"/>
                <w:szCs w:val="1"/>
                <w:color w:val="auto"/>
              </w:rPr>
            </w:pPr>
          </w:p>
        </w:tc>
      </w:tr>
      <w:tr>
        <w:trPr>
          <w:trHeight w:val="267"/>
        </w:trPr>
        <w:tc>
          <w:tcPr>
            <w:tcW w:w="222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Net income per common share</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0.74</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0.74</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67"/>
        </w:trPr>
        <w:tc>
          <w:tcPr>
            <w:tcW w:w="1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65,126</w:t>
            </w:r>
          </w:p>
        </w:tc>
        <w:tc>
          <w:tcPr>
            <w:tcW w:w="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66,338</w:t>
            </w:r>
          </w:p>
        </w:tc>
        <w:tc>
          <w:tcPr>
            <w:tcW w:w="8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68,334</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66,978</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Net interest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40,197</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41,346</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41,854</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0" w:type="dxa"/>
            <w:vAlign w:val="bottom"/>
          </w:tcPr>
          <w:p>
            <w:pPr>
              <w:spacing w:after="0"/>
              <w:rPr>
                <w:sz w:val="1"/>
                <w:szCs w:val="1"/>
                <w:color w:val="auto"/>
              </w:rPr>
            </w:pPr>
          </w:p>
        </w:tc>
      </w:tr>
      <w:tr>
        <w:trPr>
          <w:trHeight w:val="227"/>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19,821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23,166</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15,991</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18,528</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0" w:type="dxa"/>
            <w:vAlign w:val="bottom"/>
          </w:tcPr>
          <w:p>
            <w:pPr>
              <w:spacing w:after="0"/>
              <w:rPr>
                <w:sz w:val="1"/>
                <w:szCs w:val="1"/>
                <w:color w:val="auto"/>
              </w:rPr>
            </w:pPr>
          </w:p>
        </w:tc>
      </w:tr>
      <w:tr>
        <w:trPr>
          <w:trHeight w:val="267"/>
        </w:trPr>
        <w:tc>
          <w:tcPr>
            <w:tcW w:w="2220" w:type="dxa"/>
            <w:vAlign w:val="bottom"/>
            <w:gridSpan w:val="2"/>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Net income per common share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0.77</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32"/>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0.76</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409"/>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gridSpan w:val="10"/>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QUARTERLY SUMMARY (UNAUDITED)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6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Reported Sales Prices of Common Shares</w:t>
            </w: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6"/>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Cash Dividends</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Declared</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19"/>
                <w:szCs w:val="19"/>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60" w:type="dxa"/>
            <w:vAlign w:val="bottom"/>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Low</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9"/>
              </w:rPr>
              <w:t>Close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0"/>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620" w:type="dxa"/>
            <w:vAlign w:val="bottom"/>
            <w:tcBorders>
              <w:top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7"/>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3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35.67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have approximately 1,100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31"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3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INDEPENDENT BANK CORPORATION</w:t>
            </w: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Subsidiaries of the Registrant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IBC Capital Finance III</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State of Incorporation</w:t>
            </w:r>
          </w:p>
        </w:tc>
        <w:tc>
          <w:tcPr>
            <w:tcW w:w="0" w:type="dxa"/>
            <w:vAlign w:val="bottom"/>
          </w:tcPr>
          <w:p>
            <w:pPr>
              <w:spacing w:after="0"/>
              <w:rPr>
                <w:sz w:val="1"/>
                <w:szCs w:val="1"/>
                <w:color w:val="auto"/>
              </w:rPr>
            </w:pPr>
          </w:p>
        </w:tc>
      </w:tr>
      <w:tr>
        <w:trPr>
          <w:trHeight w:val="242"/>
        </w:trPr>
        <w:tc>
          <w:tcPr>
            <w:tcW w:w="634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IBC Capital Finance IV</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Midwest Guaranty Trust I</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TCSB Statutory Trust I</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Bank</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IB Advisory Services, Inc. (dba IB Wealth Management),</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Title Services, Inc.,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 Corporation)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Life Insurance Trust,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Community Equity, LLC,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 Corporation)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Investment Company,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Community Capital, LLC,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20"/>
                <w:szCs w:val="20"/>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excludes insignificant subsidiaries, such as single-member limited liability companies formed solely to hold other real estate.</w:t>
      </w:r>
    </w:p>
    <w:p>
      <w:pPr>
        <w:sectPr>
          <w:pgSz w:w="11900" w:h="16838" w:orient="portrait"/>
          <w:cols w:equalWidth="0" w:num="1">
            <w:col w:w="11240"/>
          </w:cols>
          <w:pgMar w:left="320" w:top="1162"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1" w:lineRule="exact"/>
        <w:rPr>
          <w:sz w:val="20"/>
          <w:szCs w:val="20"/>
          <w:color w:val="auto"/>
        </w:rPr>
      </w:pPr>
    </w:p>
    <w:p>
      <w:pPr>
        <w:ind w:firstLine="320"/>
        <w:spacing w:after="0" w:line="22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333-89072, 333-125484, 333-189437, 333-221177, 333-222358, and 333-255976) on Form S-8 of Independent Bank Corporation of our report dated March 6, 2026 relating to the consolidated financial statements and</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effectiveness of internal control over financial reporting appearing in the Annual Report on Form 10-K of Independent Bank Corporation for the year ended December 31, 2025.</w:t>
      </w: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Crowe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rPr>
          <w:sz w:val="20"/>
          <w:szCs w:val="20"/>
          <w:color w:val="auto"/>
        </w:rPr>
      </w:pPr>
      <w:r>
        <w:rPr>
          <w:rFonts w:ascii="Times New Roman" w:cs="Times New Roman" w:eastAsia="Times New Roman" w:hAnsi="Times New Roman"/>
          <w:sz w:val="18"/>
          <w:szCs w:val="18"/>
          <w:color w:val="auto"/>
        </w:rPr>
        <w:t>March 6, 2026</w:t>
      </w:r>
    </w:p>
    <w:p>
      <w:pPr>
        <w:sectPr>
          <w:pgSz w:w="11900" w:h="16838" w:orient="portrait"/>
          <w:cols w:equalWidth="0" w:num="1">
            <w:col w:w="11240"/>
          </w:cols>
          <w:pgMar w:left="320" w:top="110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Kessel, certify that:</w:t>
      </w:r>
    </w:p>
    <w:p>
      <w:pPr>
        <w:spacing w:after="0" w:line="220" w:lineRule="exact"/>
        <w:rPr>
          <w:sz w:val="20"/>
          <w:szCs w:val="20"/>
          <w:color w:val="auto"/>
        </w:rPr>
      </w:pPr>
    </w:p>
    <w:p>
      <w:pPr>
        <w:ind w:left="640" w:hanging="633"/>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Independent Bank Corporation;</w:t>
      </w:r>
    </w:p>
    <w:p>
      <w:pPr>
        <w:spacing w:after="0" w:line="25"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40" w:hanging="633"/>
        <w:spacing w:after="0" w:line="247"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80" w:hanging="633"/>
        <w:spacing w:after="0" w:line="247" w:lineRule="auto"/>
        <w:tabs>
          <w:tab w:leader="none" w:pos="12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3"/>
        <w:spacing w:after="0" w:line="247" w:lineRule="auto"/>
        <w:tabs>
          <w:tab w:leader="none" w:pos="12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80" w:right="20" w:hanging="633"/>
        <w:spacing w:after="0" w:line="247" w:lineRule="auto"/>
        <w:tabs>
          <w:tab w:leader="none" w:pos="12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3"/>
        <w:spacing w:after="0" w:line="255" w:lineRule="auto"/>
        <w:tabs>
          <w:tab w:leader="none" w:pos="12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2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7"/>
          <w:szCs w:val="17"/>
          <w:u w:val="single" w:color="auto"/>
          <w:color w:val="auto"/>
        </w:rPr>
        <w:t>/s/ William B. Kessel</w:t>
      </w:r>
    </w:p>
    <w:p>
      <w:pPr>
        <w:spacing w:after="0" w:line="6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3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certify that:</w:t>
      </w:r>
    </w:p>
    <w:p>
      <w:pPr>
        <w:spacing w:after="0" w:line="220" w:lineRule="exact"/>
        <w:rPr>
          <w:sz w:val="20"/>
          <w:szCs w:val="20"/>
          <w:color w:val="auto"/>
        </w:rPr>
      </w:pPr>
    </w:p>
    <w:p>
      <w:pPr>
        <w:ind w:left="640" w:hanging="633"/>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Independent Bank Corporation;</w:t>
      </w:r>
    </w:p>
    <w:p>
      <w:pPr>
        <w:spacing w:after="0" w:line="25"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40" w:hanging="633"/>
        <w:spacing w:after="0" w:line="247"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80" w:hanging="633"/>
        <w:spacing w:after="0" w:line="247" w:lineRule="auto"/>
        <w:tabs>
          <w:tab w:leader="none" w:pos="12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3"/>
        <w:spacing w:after="0" w:line="247" w:lineRule="auto"/>
        <w:tabs>
          <w:tab w:leader="none" w:pos="12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80" w:right="20" w:hanging="633"/>
        <w:spacing w:after="0" w:line="247" w:lineRule="auto"/>
        <w:tabs>
          <w:tab w:leader="none" w:pos="12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3"/>
        <w:spacing w:after="0" w:line="255" w:lineRule="auto"/>
        <w:tabs>
          <w:tab w:leader="none" w:pos="12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3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7"/>
          <w:szCs w:val="17"/>
          <w:u w:val="single" w:color="auto"/>
          <w:color w:val="auto"/>
        </w:rPr>
        <w:t>/s/ 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3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 William B. Kessel, President and Chief Executive Officer of Independent Bank Corporation, certify pursuant to Section 906 of the Sarbanes-Oxley Act of 2002 that:</w:t>
      </w:r>
    </w:p>
    <w:p>
      <w:pPr>
        <w:spacing w:after="0" w:line="163" w:lineRule="exact"/>
        <w:rPr>
          <w:sz w:val="20"/>
          <w:szCs w:val="20"/>
          <w:color w:val="auto"/>
        </w:rPr>
      </w:pPr>
    </w:p>
    <w:p>
      <w:pPr>
        <w:ind w:left="320" w:hanging="313"/>
        <w:spacing w:after="0" w:line="277" w:lineRule="auto"/>
        <w:tabs>
          <w:tab w:leader="none" w:pos="3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annual period ended December 31, 2025, which this statement accompanies, fully complies with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on Form 10-K for the annual period ended December 31, 2025, fairly presents, in all material respects, the financial condition and results of operations of Independent Bank Corporation.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7"/>
          <w:szCs w:val="17"/>
          <w:u w:val="single" w:color="auto"/>
          <w:color w:val="auto"/>
        </w:rPr>
        <w:t>/s/ 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13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Chief Financial Officer of Independent Bank Corporation, certify pursuant to Section 906 of the Sarbanes-Oxley Act of 2002 that:</w:t>
      </w:r>
    </w:p>
    <w:p>
      <w:pPr>
        <w:spacing w:after="0" w:line="220" w:lineRule="exact"/>
        <w:rPr>
          <w:sz w:val="20"/>
          <w:szCs w:val="20"/>
          <w:color w:val="auto"/>
        </w:rPr>
      </w:pPr>
    </w:p>
    <w:p>
      <w:pPr>
        <w:ind w:left="320" w:hanging="313"/>
        <w:spacing w:after="0" w:line="277" w:lineRule="auto"/>
        <w:tabs>
          <w:tab w:leader="none" w:pos="3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annual period ended December 31, 2025, which this statement accompanies, fully complies with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on Form 10-K for the annual period ended December 31, 2025, fairly presents, in all material respects, the financial condition and results of operations of Independent Bank Corporation.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7"/>
          <w:szCs w:val="17"/>
          <w:u w:val="single" w:color="auto"/>
          <w:color w:val="auto"/>
        </w:rPr>
        <w:t>/s/ 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1"/>
      <w:numFmt w:val="decimal"/>
      <w:start w:val="13"/>
    </w:lvl>
  </w:abstractNum>
  <w:abstractNum w:abstractNumId="7">
    <w:nsid w:val="189A769B"/>
    <w:multiLevelType w:val="hybridMultilevel"/>
    <w:lvl w:ilvl="0">
      <w:lvlJc w:val="left"/>
      <w:lvlText w:val="%1"/>
      <w:numFmt w:val="decimal"/>
      <w:start w:val="21"/>
    </w:lvl>
  </w:abstractNum>
  <w:abstractNum w:abstractNumId="8">
    <w:nsid w:val="54E49EB4"/>
    <w:multiLevelType w:val="hybridMultilevel"/>
    <w:lvl w:ilvl="0">
      <w:lvlJc w:val="left"/>
      <w:lvlText w:val="%1"/>
      <w:numFmt w:val="decimal"/>
      <w:start w:val="23"/>
    </w:lvl>
  </w:abstractNum>
  <w:abstractNum w:abstractNumId="9">
    <w:nsid w:val="71F32454"/>
    <w:multiLevelType w:val="hybridMultilevel"/>
    <w:lvl w:ilvl="0">
      <w:lvlJc w:val="left"/>
      <w:lvlText w:val="%1"/>
      <w:numFmt w:val="decimal"/>
      <w:start w:val="19"/>
    </w:lvl>
  </w:abstractNum>
  <w:abstractNum w:abstractNumId="10">
    <w:nsid w:val="2CA88611"/>
    <w:multiLevelType w:val="hybridMultilevel"/>
    <w:lvl w:ilvl="0">
      <w:lvlJc w:val="left"/>
      <w:lvlText w:val="*"/>
      <w:numFmt w:val="bullet"/>
      <w:start w:val="1"/>
    </w:lvl>
    <w:lvl w:ilvl="1">
      <w:lvlJc w:val="left"/>
      <w:lvlText w:val="%2"/>
      <w:numFmt w:val="decimal"/>
      <w:start w:val="97"/>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lvl w:ilvl="1">
      <w:lvlJc w:val="left"/>
      <w:lvlText w:val="◦"/>
      <w:numFmt w:val="bullet"/>
      <w:start w:val="1"/>
    </w:lvl>
  </w:abstractNum>
  <w:abstractNum w:abstractNumId="21">
    <w:nsid w:val="3006C83E"/>
    <w:multiLevelType w:val="hybridMultilevel"/>
    <w:lvl w:ilvl="0">
      <w:lvlJc w:val="left"/>
      <w:lvlText w:val="•"/>
      <w:numFmt w:val="bullet"/>
      <w:start w:val="1"/>
    </w:lvl>
    <w:lvl w:ilvl="1">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4" Type="http://schemas.openxmlformats.org/officeDocument/2006/relationships/image" Target="media/image43.png"/><Relationship Id="rId57" Type="http://schemas.openxmlformats.org/officeDocument/2006/relationships/image" Target="media/image44.png"/><Relationship Id="rId60" Type="http://schemas.openxmlformats.org/officeDocument/2006/relationships/image" Target="media/image45.png"/><Relationship Id="rId63"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jpe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jpeg"/><Relationship Id="rId99" Type="http://schemas.openxmlformats.org/officeDocument/2006/relationships/image" Target="media/image81.jpe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jpe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49" Type="http://schemas.openxmlformats.org/officeDocument/2006/relationships/hyperlink" Target="https://www.sec.gov/Archives/edgar/data/39311/000114036117040856/ex3_1.htm" TargetMode="External"/><Relationship Id="rId50" Type="http://schemas.openxmlformats.org/officeDocument/2006/relationships/hyperlink" Target="https://www.sec.gov/Archives/edgar/data/39311/000156761917000394/h10041717x1_ex3-2.htm" TargetMode="External"/><Relationship Id="rId52" Type="http://schemas.openxmlformats.org/officeDocument/2006/relationships/hyperlink" Target="https://www.sec.gov/Archives/edgar/data/39311/000114036120005031/hc10008974x1_ex4.htm" TargetMode="External"/><Relationship Id="rId53" Type="http://schemas.openxmlformats.org/officeDocument/2006/relationships/hyperlink" Target="https://www.sec.gov/Archives/edgar/data/39311/000114036117047794/s002003x1_ex10-3.htm" TargetMode="External"/><Relationship Id="rId55" Type="http://schemas.openxmlformats.org/officeDocument/2006/relationships/hyperlink" Target="https://www.sec.gov/Archives/edgar/data/39311/000114036117047794/s002003x1_ex10-4.htm" TargetMode="External"/><Relationship Id="rId56" Type="http://schemas.openxmlformats.org/officeDocument/2006/relationships/hyperlink" Target="https://www.sec.gov/Archives/edgar/data/39311/000114036121007399/nc10020480x1_def14a.htm" TargetMode="External"/><Relationship Id="rId58" Type="http://schemas.openxmlformats.org/officeDocument/2006/relationships/hyperlink" Target="https://www.sec.gov/Archives/edgar/data/39311/000114036119008354/ex10_1.htm" TargetMode="External"/><Relationship Id="rId59" Type="http://schemas.openxmlformats.org/officeDocument/2006/relationships/hyperlink" Target="https://www.sec.gov/Archives/edgar/data/39311/000003931125000044/ibcp-20241231xexx109.htm" TargetMode="External"/><Relationship Id="rId61" Type="http://schemas.openxmlformats.org/officeDocument/2006/relationships/hyperlink" Target="https://www.sec.gov/Archives/edgar/data/39311/000003931125000044/ibcp-20241231xexx1010.htm" TargetMode="External"/><Relationship Id="rId62" Type="http://schemas.openxmlformats.org/officeDocument/2006/relationships/hyperlink" Target="https://www.sec.gov/Archives/edgar/data/39311/000156761915000219/s000723x1_ex10-10.htm" TargetMode="External"/><Relationship Id="rId64" Type="http://schemas.openxmlformats.org/officeDocument/2006/relationships/hyperlink" Target="https://www.sec.gov/Archives/edgar/data/39311/000003931125000044/ibcp-20241231xex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2026-03-06T09:37:06Z</dcterms:created>
  <dcterms:modified xsi:type="dcterms:W3CDTF">2026-03-06T09:37:06Z</dcterms:modified>
</cp:coreProperties>
</file>