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10-Q</w:t>
      </w:r>
    </w:p>
    <w:p>
      <w:pPr>
        <w:spacing w:after="0" w:line="263"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2018</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1141730</wp:posOffset>
            </wp:positionH>
            <wp:positionV relativeFrom="paragraph">
              <wp:posOffset>-7620</wp:posOffset>
            </wp:positionV>
            <wp:extent cx="409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Michigan</w:t>
            </w:r>
          </w:p>
        </w:tc>
        <w:tc>
          <w:tcPr>
            <w:tcW w:w="560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38-2032782</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0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(616) 527-5820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address and fiscal year, if changed since last report.</w:t>
      </w:r>
    </w:p>
    <w:p>
      <w:pPr>
        <w:spacing w:after="0" w:line="252" w:lineRule="exact"/>
        <w:rPr>
          <w:sz w:val="24"/>
          <w:szCs w:val="24"/>
          <w:color w:val="auto"/>
        </w:rPr>
      </w:pPr>
    </w:p>
    <w:p>
      <w:pPr>
        <w:jc w:val="both"/>
        <w:ind w:right="5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1" w:lineRule="exact"/>
        <w:rPr>
          <w:sz w:val="24"/>
          <w:szCs w:val="24"/>
          <w:color w:val="auto"/>
        </w:rPr>
      </w:pPr>
    </w:p>
    <w:p>
      <w:pPr>
        <w:ind w:right="7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smaller reporting company or an emerging growth company.</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tabs>
          <w:tab w:leader="none" w:pos="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560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24,105,586</w:t>
            </w:r>
          </w:p>
        </w:tc>
      </w:tr>
      <w:tr>
        <w:trPr>
          <w:trHeight w:val="234"/>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 at November 1, 2018</w:t>
            </w:r>
          </w:p>
        </w:tc>
      </w:tr>
      <w:tr>
        <w:trPr>
          <w:trHeight w:val="333"/>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5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35"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100" w:type="dxa"/>
            <w:vAlign w:val="bottom"/>
            <w:gridSpan w:val="11"/>
          </w:tcPr>
          <w:p>
            <w:pPr>
              <w:jc w:val="center"/>
              <w:ind w:right="2000"/>
              <w:spacing w:after="0"/>
              <w:rPr>
                <w:sz w:val="20"/>
                <w:szCs w:val="20"/>
                <w:color w:val="auto"/>
              </w:rPr>
            </w:pPr>
            <w:r>
              <w:rPr>
                <w:rFonts w:ascii="Times New Roman" w:cs="Times New Roman" w:eastAsia="Times New Roman" w:hAnsi="Times New Roman"/>
                <w:sz w:val="18"/>
                <w:szCs w:val="18"/>
                <w:color w:val="auto"/>
                <w:w w:val="99"/>
              </w:rPr>
              <w:t>INDEPENDENT BANK CORPORATION AND SUBSIDIARIES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INDEX</w:t>
            </w:r>
          </w:p>
        </w:tc>
        <w:tc>
          <w:tcPr>
            <w:tcW w:w="42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 I -</w:t>
            </w:r>
          </w:p>
        </w:tc>
        <w:tc>
          <w:tcPr>
            <w:tcW w:w="88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1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Number(s)</w:t>
            </w:r>
          </w:p>
        </w:tc>
        <w:tc>
          <w:tcPr>
            <w:tcW w:w="0" w:type="dxa"/>
            <w:vAlign w:val="bottom"/>
          </w:tcPr>
          <w:p>
            <w:pPr>
              <w:spacing w:after="0"/>
              <w:rPr>
                <w:sz w:val="1"/>
                <w:szCs w:val="1"/>
                <w:color w:val="auto"/>
              </w:rPr>
            </w:pPr>
          </w:p>
        </w:tc>
      </w:tr>
      <w:tr>
        <w:trPr>
          <w:trHeight w:val="196"/>
        </w:trPr>
        <w:tc>
          <w:tcPr>
            <w:tcW w:w="1380" w:type="dxa"/>
            <w:vAlign w:val="bottom"/>
            <w:gridSpan w:val="2"/>
            <w:vMerge w:val="continue"/>
          </w:tcPr>
          <w:p>
            <w:pPr>
              <w:spacing w:after="0"/>
              <w:rPr>
                <w:sz w:val="17"/>
                <w:szCs w:val="17"/>
                <w:color w:val="auto"/>
              </w:rPr>
            </w:pPr>
          </w:p>
        </w:tc>
        <w:tc>
          <w:tcPr>
            <w:tcW w:w="8880" w:type="dxa"/>
            <w:vAlign w:val="bottom"/>
            <w:gridSpan w:val="18"/>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Financial Condition September 30, 2018 and December 31, 2017</w:t>
              </w:r>
            </w:hyperlink>
          </w:p>
        </w:tc>
        <w:tc>
          <w:tcPr>
            <w:tcW w:w="11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80" w:type="dxa"/>
            <w:vAlign w:val="bottom"/>
            <w:gridSpan w:val="18"/>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Three- and Nine-month periods ended September 30, 2018 and 2017</w:t>
              </w:r>
            </w:hyperlink>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Three- and Nine-month periods ended September 30, 2018</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and 2017</w:t>
              </w:r>
            </w:hyperlink>
          </w:p>
        </w:tc>
        <w:tc>
          <w:tcPr>
            <w:tcW w:w="8040" w:type="dxa"/>
            <w:vAlign w:val="bottom"/>
            <w:tcBorders>
              <w:bottom w:val="single" w:sz="8" w:color="CCEEFF"/>
            </w:tcBorders>
            <w:gridSpan w:val="15"/>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80" w:type="dxa"/>
            <w:vAlign w:val="bottom"/>
            <w:gridSpan w:val="18"/>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Nine-month periods ended September 30, 2018 and 2017</w:t>
              </w:r>
            </w:hyperlink>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54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Shareholders' Equity Nine-month periods ended September 30, 2018 and 2017</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80" w:type="dxa"/>
            <w:vAlign w:val="bottom"/>
            <w:gridSpan w:val="18"/>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Interim Condensed Consolidated Financial Statements</w:t>
              </w:r>
            </w:hyperlink>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Quantitative and Qualitative Disclosures about Market Risk</w:t>
              </w:r>
            </w:hyperlink>
          </w:p>
        </w:tc>
        <w:tc>
          <w:tcPr>
            <w:tcW w:w="2440" w:type="dxa"/>
            <w:vAlign w:val="bottom"/>
            <w:tcBorders>
              <w:top w:val="single" w:sz="8" w:color="CCEEFF"/>
            </w:tcBorders>
            <w:gridSpan w:val="5"/>
          </w:tcPr>
          <w:p>
            <w:pPr>
              <w:spacing w:after="0"/>
              <w:rPr>
                <w:sz w:val="15"/>
                <w:szCs w:val="15"/>
                <w:color w:val="auto"/>
              </w:rPr>
            </w:pPr>
          </w:p>
        </w:tc>
        <w:tc>
          <w:tcPr>
            <w:tcW w:w="11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Controls and Procedures</w:t>
              </w:r>
            </w:hyperlink>
          </w:p>
        </w:tc>
        <w:tc>
          <w:tcPr>
            <w:tcW w:w="11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 -</w:t>
            </w:r>
          </w:p>
        </w:tc>
        <w:tc>
          <w:tcPr>
            <w:tcW w:w="88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auto"/>
            </w:tcBorders>
            <w:gridSpan w:val="5"/>
          </w:tcPr>
          <w:p>
            <w:pPr>
              <w:spacing w:after="0" w:line="17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Risk Factors</w:t>
              </w:r>
            </w:hyperlink>
          </w:p>
        </w:tc>
        <w:tc>
          <w:tcPr>
            <w:tcW w:w="7560" w:type="dxa"/>
            <w:vAlign w:val="bottom"/>
            <w:tcBorders>
              <w:top w:val="single" w:sz="8" w:color="CCEEFF"/>
            </w:tcBorders>
            <w:gridSpan w:val="13"/>
          </w:tcPr>
          <w:p>
            <w:pPr>
              <w:spacing w:after="0"/>
              <w:rPr>
                <w:sz w:val="15"/>
                <w:szCs w:val="15"/>
                <w:color w:val="auto"/>
              </w:rPr>
            </w:pPr>
          </w:p>
        </w:tc>
        <w:tc>
          <w:tcPr>
            <w:tcW w:w="1160" w:type="dxa"/>
            <w:vAlign w:val="bottom"/>
            <w:tcBorders>
              <w:top w:val="single" w:sz="8" w:color="CCEE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Unregistered Sales of Equity Securities and Use of Proceeds</w:t>
              </w:r>
            </w:hyperlink>
          </w:p>
        </w:tc>
        <w:tc>
          <w:tcPr>
            <w:tcW w:w="4520" w:type="dxa"/>
            <w:vAlign w:val="bottom"/>
            <w:tcBorders>
              <w:bottom w:val="single" w:sz="8" w:color="CCEEFF"/>
            </w:tcBorders>
            <w:gridSpan w:val="8"/>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18"/>
          </w:tcPr>
          <w:p>
            <w:pPr>
              <w:spacing w:after="0" w:line="17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Exhibits</w:t>
              </w:r>
            </w:hyperlink>
          </w:p>
        </w:tc>
        <w:tc>
          <w:tcPr>
            <w:tcW w:w="1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980" w:type="dxa"/>
            <w:vAlign w:val="bottom"/>
            <w:gridSpan w:val="9"/>
          </w:tcPr>
          <w:p>
            <w:pPr>
              <w:jc w:val="center"/>
              <w:ind w:left="3408"/>
              <w:spacing w:after="0"/>
              <w:rPr>
                <w:sz w:val="20"/>
                <w:szCs w:val="20"/>
                <w:color w:val="auto"/>
              </w:rPr>
            </w:pPr>
            <w:r>
              <w:rPr>
                <w:rFonts w:ascii="Times New Roman" w:cs="Times New Roman" w:eastAsia="Times New Roman" w:hAnsi="Times New Roman"/>
                <w:sz w:val="14"/>
                <w:szCs w:val="14"/>
                <w:color w:val="auto"/>
                <w:w w:val="85"/>
              </w:rPr>
              <w:t>1</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8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loan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factors that may cause actual results to differ from expectations regarding the April 1, 2018 acquisition of TCSB Bancorp, Inc. include, but are not limited to, the reaction to the transaction of the companies’ customers, employees and counterparties; customer disintermediation; inflation; expected synergies, cost savings and other financial benefits of the transaction might not be realized within the expected timeframes or might be less than projected; credit and interest rate risks associated with the parties' respective businesses, customers, borrowings, repayment, investment, and deposit practices; general economic conditions, either nationally or in the market areas in which the parties operate or anticipate doing business, are less favorable than expected; new regulatory or legal requirements or obligations; and other risks.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 factors disclosed in Part I – Item 1A of our Annual Report on Form 10-K for the year ended December 31, 2017,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3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 - Item 1.</w:t>
            </w:r>
          </w:p>
        </w:tc>
        <w:tc>
          <w:tcPr>
            <w:tcW w:w="56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620" w:type="dxa"/>
            <w:vAlign w:val="bottom"/>
            <w:gridSpan w:val="3"/>
          </w:tcPr>
          <w:p>
            <w:pPr>
              <w:jc w:val="right"/>
              <w:ind w:right="87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Financial Condition</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deposits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Home Loan Bank and Federal Reserve Bank stock, at cost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3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6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Net Loans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2,538,177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1,996,230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3,297,124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880,932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Reciprocal</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Brokered time</w:t>
            </w:r>
          </w:p>
        </w:tc>
        <w:tc>
          <w:tcPr>
            <w:tcW w:w="3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no par value, 200,000 shares authorized; none issued or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5"/>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no par value, 500,000,000 shares authorized; issued and outstanding: 24,150,341 shares at September</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4"/>
          </w:tcPr>
          <w:p>
            <w:pPr>
              <w:jc w:val="right"/>
              <w:ind w:right="4470"/>
              <w:spacing w:after="0"/>
              <w:rPr>
                <w:sz w:val="20"/>
                <w:szCs w:val="20"/>
                <w:color w:val="auto"/>
              </w:rPr>
            </w:pPr>
            <w:r>
              <w:rPr>
                <w:rFonts w:ascii="Times New Roman" w:cs="Times New Roman" w:eastAsia="Times New Roman" w:hAnsi="Times New Roman"/>
                <w:sz w:val="18"/>
                <w:szCs w:val="18"/>
                <w:color w:val="auto"/>
              </w:rPr>
              <w:t>30, 2018 and 21,333,869 shares at December 31, 2017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3,297,124</w:t>
            </w:r>
          </w:p>
        </w:tc>
        <w:tc>
          <w:tcPr>
            <w:tcW w:w="140" w:type="dxa"/>
            <w:vAlign w:val="bottom"/>
          </w:tcPr>
          <w:p>
            <w:pPr>
              <w:spacing w:after="0"/>
              <w:rPr>
                <w:sz w:val="18"/>
                <w:szCs w:val="18"/>
                <w:color w:val="auto"/>
              </w:rPr>
            </w:pPr>
          </w:p>
        </w:tc>
        <w:tc>
          <w:tcPr>
            <w:tcW w:w="4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84,027</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on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Taxable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Tax-exempt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 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94,352</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borrowings and subordinated debentures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11,739</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82,613</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81,701</w:t>
            </w: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loans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8,571</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35,864</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46,506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 net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processing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related expenses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Interchange expense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and collection</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FDIC deposit insurance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80,636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8"/>
                <w:szCs w:val="18"/>
                <w:color w:val="auto"/>
              </w:rPr>
            </w:pPr>
          </w:p>
        </w:tc>
        <w:tc>
          <w:tcPr>
            <w:tcW w:w="4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Declared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48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8"/>
                <w:szCs w:val="18"/>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3"/>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29,903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Unrealized gains (losses) arising during period</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Change in unrealized gains (losses) for which a portion of other than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temporary impairment has been recognized in earnings</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earnings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securities available for sale, net of tax</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gain arising during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Reclassification adjustment for income (expense) recognized in earnings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Borders>
              <w:right w:val="single" w:sz="8" w:color="CCEEFF"/>
            </w:tcBorders>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instruments, net of tax</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5"/>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500" w:type="dxa"/>
            <w:vAlign w:val="bottom"/>
            <w:gridSpan w:val="3"/>
          </w:tcPr>
          <w:p>
            <w:pPr>
              <w:jc w:val="right"/>
              <w:ind w:right="1240"/>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2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(unaudited - 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Disbursements for loans held for sale</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(343,462)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loan fees and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depreciation, amortization of intangible assets and premiums and accretion of discounts on securities, loans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gridSpan w:val="3"/>
          </w:tcPr>
          <w:p>
            <w:pPr>
              <w:jc w:val="right"/>
              <w:ind w:right="6260"/>
              <w:spacing w:after="0"/>
              <w:rPr>
                <w:sz w:val="20"/>
                <w:szCs w:val="20"/>
                <w:color w:val="auto"/>
              </w:rPr>
            </w:pPr>
            <w:r>
              <w:rPr>
                <w:rFonts w:ascii="Times New Roman" w:cs="Times New Roman" w:eastAsia="Times New Roman" w:hAnsi="Times New Roman"/>
                <w:sz w:val="18"/>
                <w:szCs w:val="18"/>
                <w:color w:val="auto"/>
                <w:w w:val="99"/>
              </w:rPr>
              <w:t>interest bearing deposits - time</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Net losses on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Increase in accrued income and other assets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sale of securities available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maturities, prepayments and calls of securities available for sale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securities available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the sale of interest bearing deposits - time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maturity of interest bearing deposits - time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Purchase of Federal Reserve Bank stock</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portfolio loans (loans originated, net of principal payments)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(272,084)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the sale of portfolio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TCSB Bancorp Inc., less cash received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Cash received from the sale of Mepco Finance Corporation assets,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bank-owned life insurance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the sale of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(131,731)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Net increase in total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Proceeds from Federal Home Loan Bank Advances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Federal Home Loan Bank Advances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(1,210,197)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Transfers to other real estate and repossessed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to held for sale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 of securities available for sale not yet settled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securities available for sale not yet settled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140" w:type="dxa"/>
            <w:vAlign w:val="bottom"/>
            <w:gridSpan w:val="3"/>
          </w:tcPr>
          <w:p>
            <w:pPr>
              <w:jc w:val="center"/>
              <w:ind w:left="2550"/>
              <w:spacing w:after="0"/>
              <w:rPr>
                <w:sz w:val="20"/>
                <w:szCs w:val="20"/>
                <w:color w:val="auto"/>
              </w:rPr>
            </w:pPr>
            <w:r>
              <w:rPr>
                <w:rFonts w:ascii="Times New Roman" w:cs="Times New Roman" w:eastAsia="Times New Roman" w:hAnsi="Times New Roman"/>
                <w:sz w:val="18"/>
                <w:szCs w:val="18"/>
                <w:color w:val="auto"/>
                <w:w w:val="99"/>
              </w:rPr>
              <w:t>INDEPENDENT BANK CORPORATION AND SUBSIDIARIES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920" w:type="dxa"/>
            <w:vAlign w:val="bottom"/>
            <w:gridSpan w:val="2"/>
          </w:tcPr>
          <w:p>
            <w:pPr>
              <w:jc w:val="center"/>
              <w:ind w:right="560"/>
              <w:spacing w:after="0" w:line="194" w:lineRule="exact"/>
              <w:rPr>
                <w:sz w:val="20"/>
                <w:szCs w:val="20"/>
                <w:color w:val="auto"/>
              </w:rPr>
            </w:pPr>
            <w:r>
              <w:rPr>
                <w:rFonts w:ascii="Times New Roman" w:cs="Times New Roman" w:eastAsia="Times New Roman" w:hAnsi="Times New Roman"/>
                <w:sz w:val="18"/>
                <w:szCs w:val="18"/>
                <w:color w:val="auto"/>
                <w:w w:val="99"/>
              </w:rPr>
              <w:t>Condensed Consolidated Statements of Shareholders' Equity</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dividends declared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Acquisition of TCSB Bancorp, Inc.</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64,536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Net change in accumulated other comprehensive loss, net of related tax effect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Financial Statements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2017 included in our Annual Report on Form 10-K.</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contain all the adjustments necessary to present fairly our consolidated financial condition as of September 30, 2018 and December 31, 2017, and the results of operations for the three and nine-month periods ended September 30, 2018 and 2017. The results of operations for the three and nine-month periods ended September 30, 2018,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the valuation of capitalized mortgage loan servicing rights and the valuation of deferred tax assets. Refer to our 2017 Annual Report on Form 10-K for a disclosure of our accounting policies.</w:t>
      </w:r>
    </w:p>
    <w:p>
      <w:pPr>
        <w:spacing w:after="0" w:line="21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Standards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we do not expect a material change in the recognition, measurement and presentation of lease expense or impact on cash flow. While the primary impact will be the recognition of certain operating leases on our Condensed Consolidated Statements of Financial Condition this impact is not expected to be material.</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Independent Bank (the “Bank”) that meets regularly to discuss the implementation of the ASU. We are currently in the process of gathering data and reviewing loss methodologies and have engaged third party resources that will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allowance for loan losses (“AFLL”) to increase under this ASU.</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is effective for us on January 1, 2019, and given our current level of derivatives designated as hedges is not expected to have a material impact on our consolidated operating results or financial condition.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(“ASU 2014-09”).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We adopted this ASU using the modified retrospective approach with no impact to our accumulated deficit at January 1, 2018. Financial instruments for the most part and related contractual rights and obligations which are the sources of the majority of our operating revenue are excluded from the scope of this amended guidance. Those operating revenue streams that are included in the scope of this amended guidance were not materially impacted. Results for reporting periods beginning after January 1, 2018 are presented under this ASU while prior period amounts continue to be reported in accordance with legacy GAAP. The impact of the adoption of this ASU on our Condensed Consolidated Statements of Operations for the three and nine month periods ending September 30, 2018 is summarized in the table below. In addition, see note #17 for further discussion on our accounting policies for operating revenue streams that are included in the scope of this amended guidance.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adoption of ASU 2014-09 on our Condensed Consolidated Statement of Operations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Under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Impact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As Reported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Legacy GAAP</w:t>
            </w:r>
          </w:p>
        </w:tc>
        <w:tc>
          <w:tcPr>
            <w:tcW w:w="10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ASU 2014-09</w:t>
            </w: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Three months ended September 30, 2018</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 - Interchange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2,486</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 - interchange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on net income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2018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 - Interchange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7,236</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 - interchange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on net income</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certain costs charged by payment networks that were previously netted against interchange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 equity investments (except those accounted for under the equity method of accounting, or those that result in consolidation of the investee) to be measured at fair value with changes in fair value recognized in net income, require public business entities to use the exit price notion when measuring the fair value of financial instruments for disclosure purposes, require separate presentation of financial assets and financial liabilities by measurement category and form of financial asset and eliminate the requirement for public business entities to disclose the method(s) and significant assumptions used to estimate the fair value that is required to be disclosed for financial instruments measured at amortized cost. This amended guidance was effective for us on January 1, 2018. The adoption of this ASU did not have a material impact on our consolidated operating results or financial condition. As a result of the adoption of this ASU our equity securities previously classified as trading securities are now classified as equity securities at fair value on our September 30, 2018 Condensed Consolidated Statement of Financial Condition. In addition, this amended guidance impacted certain fair value disclosure items (see note #12).</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This new ASU clarifies the definition of a business with the objective of adding guidance to assist entities with evaluating whether transactions should be accounted for as acquisitions (or disposals) of assets or businesses which distinction determines whether goodwill is recorded or not. This amended guidance was effective for us on January 1, 2018, and did not have a material impact on our consolidated operating results or financial condition.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2017-4, “Intangibles – Goodwill and Other (Topic 350), Simplifying the Test for Goodwill Impairment”. This new ASU amends the requirement that entities compare the implied fair value of goodwill with its carrying amount as part of step 2 of the goodwill impairment test. As a result, entities should perform their annual or interim goodwill impairment test by comparing the fair value of a reporting unit with its carrying amount and recognize an impairment if the carrying amount exceeds the reporting unit’s fair value. This amended guidance is effective for us on January 1, 2020 with early application permitted. Due to our recent acquisition (see note #16) and expectations this ASU will be relevant to us in 2018 we elected to adopt this amended guidance as of January 1, 2018. The adoption of this ASU did not have a material impact on our consolidated operating results or financial condition.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 – Reporting Comprehensive Income (Topic 220), Reclassification of Certain Tax Effects from Accumulated Other Comprehensive Income’’. This new ASU allows a reclassification from accumulated other comprehensive income to retained earnings for stranded tax effects resulting from the Tax Cuts and Jobs Act. As a result, this amended guidance eliminates the stranded tax effects resulting from the Tax Cuts and Jobs Act and will improve the usefulness of information reported to financial statement users. This amended guidance is effective for us on January 1, 2019, with early application permitted in any period for which financial statements have not yet been issued. We elected to adopt this amended guidance during the fourth quarter of 2017 and it resulted in a $0.04 million reclassification between accumulated other comprehensive loss and accumulated deficit.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  Securities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 consist of the following:</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Gains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w w:val="71"/>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gridSpan w:val="4"/>
            <w:vMerge w:val="continue"/>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20,769</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802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 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Trust preferred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government</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443,744</w:t>
            </w:r>
          </w:p>
        </w:tc>
        <w:tc>
          <w:tcPr>
            <w:tcW w:w="120" w:type="dxa"/>
            <w:vAlign w:val="bottom"/>
          </w:tcPr>
          <w:p>
            <w:pPr>
              <w:spacing w:after="0"/>
              <w:rPr>
                <w:sz w:val="18"/>
                <w:szCs w:val="18"/>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1,602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436,957</w:t>
            </w:r>
          </w:p>
        </w:tc>
        <w:tc>
          <w:tcPr>
            <w:tcW w:w="0" w:type="dxa"/>
            <w:vAlign w:val="bottom"/>
          </w:tcPr>
          <w:p>
            <w:pPr>
              <w:spacing w:after="0"/>
              <w:rPr>
                <w:sz w:val="1"/>
                <w:szCs w:val="1"/>
                <w:color w:val="auto"/>
              </w:rPr>
            </w:pPr>
          </w:p>
        </w:tc>
      </w:tr>
      <w:tr>
        <w:trPr>
          <w:trHeight w:val="21"/>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agency</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asset backed</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 preferred</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Foreign government</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investments’ gross unrealized losses and fair values aggregated by investment type and length of time that individual securities have been at a continuous unrealized loss position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Less Than Twelve Months</w:t>
            </w:r>
          </w:p>
        </w:tc>
        <w:tc>
          <w:tcPr>
            <w:tcW w:w="14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Twelve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20,423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label mortgage- 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163,283</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302,885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U.S. agency commercial mortgage-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backed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government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108,033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261,123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agency, U.S. agency residential mortgage-backed securities and U.S. agency commercial mortgage backed securities — at September 30, 2018, we had 51 U.S. agency, 133 U.S. agency residential mortgage-backed and 15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Private label mortgage backed securities — at September 30, 2018, we had 27 of this type of security whose fair value is less than amortized cost. Unrealized losses are primarily due to credit spread widening and increases in interest rates since their acquisition.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private label mortgage-backed securities (included in the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asset backed — at September 30, 2018, we had 72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of states and political subdivisions — at September 30, 2018, we had 393 municipal securities whose fair value is less than amortized cost. The unrealized losses are primarily due to wider benchmark pricing spreads and increases in interest rates since acquisition. Tax exempt securities have been negatively impacted by lower federal tax rates signed into law in December, 2017.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 at September 30, 2018, we had 32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Trust preferred securities — at September 30, 2018, we had one trust preferred security whose fair value is less than amortized cost. This trust preferred security is a single issue security issued by a trust subsidiary of a bank holding company. The pricing of this trust preferred security has suffered from credit spread widening. This security is rated by a major rating agency as investment grade. As management does not intend to liquidate this security and it is more likely than not that we will not be required to sell this security prior to recovery of the unrealized loss, this decline is not deemed to be other than temporary.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government — at September 30, 2018, we had two foreign government securities whose fair value is less than amortized cost. The unrealized losses are primarily due to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no credit related OTTI charges in our Condensed Consolidated Statements of Operations related to securities available for sale during the three and nine month periods ended September 30, 2018 and 2017,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2018, three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Super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Senior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Senior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rPr>
              <w:t>Senior</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Support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Security</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Security</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278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7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842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698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Non-credit unrealized loss</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credit related OTTI</w:t>
            </w:r>
          </w:p>
        </w:tc>
        <w:tc>
          <w:tcPr>
            <w:tcW w:w="1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these securities is receiving principal and interest payments similar to principal reductions in the underlying collateral. All three of these securities have unrealized gains at September 30, 2018.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credit losses recognized in earnings on securities available for sale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Additions to credit losses on securities for which no previous OTTI was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recognized</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Increases to credit losses on securities for which OTTI was previously</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recognized</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1,594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available for sale at September 30, 2018, by contractual maturity, follow:</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w:t>
            </w:r>
          </w:p>
        </w:tc>
      </w:tr>
      <w:tr>
        <w:trPr>
          <w:trHeight w:val="241"/>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14,494</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79,683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78,634</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60,979</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Maturing after ten years</w:t>
            </w:r>
          </w:p>
        </w:tc>
        <w:tc>
          <w:tcPr>
            <w:tcW w:w="14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46,142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44,475</w:t>
            </w:r>
          </w:p>
        </w:tc>
      </w:tr>
      <w:tr>
        <w:trPr>
          <w:trHeight w:val="216"/>
        </w:trPr>
        <w:tc>
          <w:tcPr>
            <w:tcW w:w="8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198,582</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125,061</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29,340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28,973</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backed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78,526</w:t>
            </w:r>
          </w:p>
        </w:tc>
      </w:tr>
      <w:tr>
        <w:trPr>
          <w:trHeight w:val="27"/>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443,744</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436,957</w:t>
            </w:r>
          </w:p>
        </w:tc>
      </w:tr>
      <w:tr>
        <w:trPr>
          <w:trHeight w:val="21"/>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Realized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(1)</w:t>
            </w: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Gains (2)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jc w:val="right"/>
              <w:ind w:right="6990"/>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7440" w:type="dxa"/>
            <w:vAlign w:val="bottom"/>
          </w:tcPr>
          <w:p>
            <w:pPr>
              <w:jc w:val="right"/>
              <w:ind w:right="6990"/>
              <w:spacing w:after="0"/>
              <w:rPr>
                <w:sz w:val="20"/>
                <w:szCs w:val="20"/>
                <w:color w:val="auto"/>
              </w:rPr>
            </w:pPr>
            <w:r>
              <w:rPr>
                <w:rFonts w:ascii="Times New Roman" w:cs="Times New Roman" w:eastAsia="Times New Roman" w:hAnsi="Times New Roman"/>
                <w:sz w:val="18"/>
                <w:szCs w:val="18"/>
                <w:color w:val="auto"/>
                <w:w w:val="94"/>
              </w:rPr>
              <w:t>2017</w:t>
            </w: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9,594</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890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includes $0.760 million for trades that did not settle until after September 30, 2017.</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excludes a $0.144 million gain on the sale of 1,000 VISA Class B shares.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preferred stocks have been classified as equity securities at fair value in our Condensed Consolidated Statement of Financial Condition beginning on January 1, 2018. Previously these preferred stocks were classified as trading securities. See note #2. During the nine months ended September 30, 2018 and 2017 we recognized losses on these preferred stocks of $0.170 million and $0.063 million, respectively, that are included in net gains (losses) on securities in the Condensed Consolidated Statements of Operations. These amounts relate to preferred stock still held at each respective period end.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assessment of the allowance for loan losses is based on an evaluation of the loan portfolio, recent loss experience, current economic conditions and other pertinent factors.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analysis of the allowance for loan losses by portfolio segment for the three months ended September 30,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jc w:val="right"/>
              <w:ind w:right="4250"/>
              <w:spacing w:after="0"/>
              <w:rPr>
                <w:sz w:val="20"/>
                <w:szCs w:val="20"/>
                <w:color w:val="auto"/>
              </w:rPr>
            </w:pPr>
            <w:r>
              <w:rPr>
                <w:rFonts w:ascii="Times New Roman" w:cs="Times New Roman" w:eastAsia="Times New Roman" w:hAnsi="Times New Roman"/>
                <w:sz w:val="18"/>
                <w:szCs w:val="18"/>
                <w:color w:val="auto"/>
                <w:w w:val="94"/>
              </w:rPr>
              <w:t>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24,401</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8,145</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(deductions)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loan losses by portfolio segment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Mortgage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3840" w:type="dxa"/>
            <w:vAlign w:val="bottom"/>
            <w:gridSpan w:val="2"/>
            <w:vMerge w:val="restart"/>
          </w:tcPr>
          <w:p>
            <w:pPr>
              <w:jc w:val="right"/>
              <w:ind w:right="3390"/>
              <w:spacing w:after="0"/>
              <w:rPr>
                <w:sz w:val="20"/>
                <w:szCs w:val="20"/>
                <w:color w:val="auto"/>
              </w:rPr>
            </w:pPr>
            <w:r>
              <w:rPr>
                <w:rFonts w:ascii="Times New Roman" w:cs="Times New Roman" w:eastAsia="Times New Roman" w:hAnsi="Times New Roman"/>
                <w:sz w:val="18"/>
                <w:szCs w:val="18"/>
                <w:color w:val="auto"/>
                <w:w w:val="94"/>
              </w:rPr>
              <w:t>2018</w:t>
            </w:r>
          </w:p>
        </w:tc>
        <w:tc>
          <w:tcPr>
            <w:tcW w:w="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24,401</w:t>
            </w:r>
          </w:p>
        </w:tc>
        <w:tc>
          <w:tcPr>
            <w:tcW w:w="0" w:type="dxa"/>
            <w:vAlign w:val="bottom"/>
          </w:tcPr>
          <w:p>
            <w:pPr>
              <w:spacing w:after="0"/>
              <w:rPr>
                <w:sz w:val="1"/>
                <w:szCs w:val="1"/>
                <w:color w:val="auto"/>
              </w:rPr>
            </w:pPr>
          </w:p>
        </w:tc>
      </w:tr>
      <w:tr>
        <w:trPr>
          <w:trHeight w:val="21"/>
        </w:trPr>
        <w:tc>
          <w:tcPr>
            <w:tcW w:w="3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8,681</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 (deductions)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8,329</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loan losses and recorded investment in loans by portfolio segment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Subjective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Allocation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22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48,815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391,093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acquired with deteriorated credit quality</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loans recorded investment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395,078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1,112,101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1,056,482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393,995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2,562,578</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ending allowance balance</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7,395</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1"/>
        </w:trPr>
        <w:tc>
          <w:tcPr>
            <w:tcW w:w="4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53,179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799,629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recorded investment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855,560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853,260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90+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Total 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Still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Performing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Accruing</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Accrual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34"/>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25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92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352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and construction - real estate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352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352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and construction - real estate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2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2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 included in recorded investment</w:t>
            </w:r>
          </w:p>
        </w:tc>
        <w:tc>
          <w:tcPr>
            <w:tcW w:w="352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20" w:type="dxa"/>
            <w:vAlign w:val="bottom"/>
            <w:vMerge w:val="restart"/>
          </w:tcPr>
          <w:p>
            <w:pPr>
              <w:jc w:val="right"/>
              <w:ind w:right="1574"/>
              <w:spacing w:after="0"/>
              <w:rPr>
                <w:sz w:val="20"/>
                <w:szCs w:val="20"/>
                <w:color w:val="auto"/>
              </w:rPr>
            </w:pPr>
            <w:r>
              <w:rPr>
                <w:rFonts w:ascii="Times New Roman" w:cs="Times New Roman" w:eastAsia="Times New Roman" w:hAnsi="Times New Roman"/>
                <w:sz w:val="14"/>
                <w:szCs w:val="14"/>
                <w:color w:val="auto"/>
              </w:rPr>
              <w:t>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aging analysis of loans by class follows: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Loans Past Due</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Loans not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30-59 days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 days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Past Due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378,201</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Land, land development and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construction - real estate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2,402</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671,875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844,584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2,555,802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8,301</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290,466</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Land, land development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construction - real estate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494,769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659,742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recorded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7,612</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2,012,764</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Impaired loans are as follows:</w:t>
            </w: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Impaired loans with no allocated allowance for loan losses</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TDR</w:t>
            </w:r>
          </w:p>
        </w:tc>
        <w:tc>
          <w:tcPr>
            <w:tcW w:w="412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 TDR</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 with an allocated allowance for loan losses</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TDR - allowance based on collateral</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TDR - allowance based on present value cash flow</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 TDR - allowance based on collateral</w:t>
            </w: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impaired loans</w:t>
            </w:r>
          </w:p>
        </w:tc>
        <w:tc>
          <w:tcPr>
            <w:tcW w:w="38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allowance for loan losses allocated</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TDR - allowance based on collateral</w:t>
            </w:r>
          </w:p>
        </w:tc>
        <w:tc>
          <w:tcPr>
            <w:tcW w:w="412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4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TDR - allowance based on present value cash flow</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 - TDR - allowance based on collateral</w:t>
            </w: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amount of allowance for loan losses allocated</w:t>
            </w:r>
          </w:p>
        </w:tc>
        <w:tc>
          <w:tcPr>
            <w:tcW w:w="3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80" w:type="dxa"/>
            <w:vAlign w:val="bottom"/>
          </w:tcPr>
          <w:p>
            <w:pPr>
              <w:jc w:val="right"/>
              <w:ind w:right="2956"/>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Impaired loans by class are as follows: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8"/>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rPr>
              <w:t>Unpaid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Related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Allowance</w:t>
            </w:r>
          </w:p>
        </w:tc>
        <w:tc>
          <w:tcPr>
            <w:tcW w:w="0" w:type="dxa"/>
            <w:vAlign w:val="bottom"/>
          </w:tcPr>
          <w:p>
            <w:pPr>
              <w:spacing w:after="0"/>
              <w:rPr>
                <w:sz w:val="1"/>
                <w:szCs w:val="1"/>
                <w:color w:val="auto"/>
              </w:rPr>
            </w:pPr>
          </w:p>
        </w:tc>
      </w:tr>
      <w:tr>
        <w:trPr>
          <w:trHeight w:val="194"/>
        </w:trPr>
        <w:tc>
          <w:tcPr>
            <w:tcW w:w="3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 an allowance for loan losses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Land, land development &amp;</w:t>
            </w: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construction-real estate</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67,289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Land, land development &amp;</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construction-real estate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36,616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interest included in recorded</w:t>
            </w: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95"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95" w:gutter="0" w:footer="0" w:header="0"/>
          <w:type w:val="continuous"/>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recorded investment in and interest income earned on impaired loans by class for the three month periods ending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r>
      <w:tr>
        <w:trPr>
          <w:trHeight w:val="198"/>
        </w:trPr>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an allowance for loan losses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recorded investment in and interest income earned on impaired loans by class for the nine month periods ending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w:t>
            </w: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20"/>
                <w:szCs w:val="20"/>
                <w:color w:val="auto"/>
              </w:rPr>
            </w:pPr>
          </w:p>
        </w:tc>
      </w:tr>
      <w:tr>
        <w:trPr>
          <w:trHeight w:val="198"/>
        </w:trPr>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With no related allowance for loan losses recorded:</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70"/>
              <w:spacing w:after="0" w:line="198" w:lineRule="exact"/>
              <w:rPr>
                <w:sz w:val="20"/>
                <w:szCs w:val="20"/>
                <w:color w:val="auto"/>
              </w:rPr>
            </w:pPr>
            <w:r>
              <w:rPr>
                <w:rFonts w:ascii="Times New Roman" w:cs="Times New Roman" w:eastAsia="Times New Roman" w:hAnsi="Times New Roman"/>
                <w:sz w:val="18"/>
                <w:szCs w:val="18"/>
                <w:color w:val="auto"/>
                <w:w w:val="71"/>
              </w:rPr>
              <w:t>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an allowance for loan losses recorded: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20" w:type="dxa"/>
            <w:vAlign w:val="bottom"/>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2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receipts on impaired loans on non-accrual status are generally applied to the principal balance.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Troubled debt restructurings follow:</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r>
      <w:tr>
        <w:trPr>
          <w:trHeight w:val="216"/>
        </w:trPr>
        <w:tc>
          <w:tcPr>
            <w:tcW w:w="4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49,397</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56,301</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TDRs(2)</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2,799</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3,011</w:t>
            </w: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460"/>
        </w:trPr>
        <w:tc>
          <w:tcPr>
            <w:tcW w:w="4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8"/>
                <w:szCs w:val="18"/>
                <w:color w:val="auto"/>
              </w:rPr>
              <w:t>December 31, 2017</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Commercial</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r>
      <w:tr>
        <w:trPr>
          <w:trHeight w:val="216"/>
        </w:trPr>
        <w:tc>
          <w:tcPr>
            <w:tcW w:w="4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52,367</w:t>
            </w:r>
          </w:p>
        </w:tc>
        <w:tc>
          <w:tcPr>
            <w:tcW w:w="5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16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TDRs(2)</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4,506</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4,829</w:t>
            </w: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64,944</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portfolio segments.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allocated $6.0 million and $6.8 million of specific reserves to customers whose loan terms have been modified in troubled debt restructurings as of September 30, 2018 and December 31, 2017,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2018 and 2017,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that have been classified as troubled debt restructurings during the three-month periods ended September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Pre-modification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40" w:type="dxa"/>
            <w:vAlign w:val="bottom"/>
            <w:gridSpan w:val="2"/>
            <w:vMerge w:val="restart"/>
          </w:tcPr>
          <w:p>
            <w:pPr>
              <w:jc w:val="right"/>
              <w:ind w:right="6790"/>
              <w:spacing w:after="0"/>
              <w:rPr>
                <w:sz w:val="20"/>
                <w:szCs w:val="20"/>
                <w:color w:val="auto"/>
              </w:rPr>
            </w:pPr>
            <w:r>
              <w:rPr>
                <w:rFonts w:ascii="Times New Roman" w:cs="Times New Roman" w:eastAsia="Times New Roman" w:hAnsi="Times New Roman"/>
                <w:sz w:val="18"/>
                <w:szCs w:val="18"/>
                <w:color w:val="auto"/>
                <w:w w:val="94"/>
              </w:rPr>
              <w:t>2018</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2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7240" w:type="dxa"/>
            <w:vAlign w:val="bottom"/>
            <w:gridSpan w:val="2"/>
          </w:tcPr>
          <w:p>
            <w:pPr>
              <w:jc w:val="right"/>
              <w:ind w:right="1370"/>
              <w:spacing w:after="0"/>
              <w:rPr>
                <w:sz w:val="20"/>
                <w:szCs w:val="20"/>
                <w:color w:val="auto"/>
              </w:rPr>
            </w:pPr>
            <w:r>
              <w:rPr>
                <w:rFonts w:ascii="Times New Roman" w:cs="Times New Roman" w:eastAsia="Times New Roman" w:hAnsi="Times New Roman"/>
                <w:sz w:val="14"/>
                <w:szCs w:val="14"/>
                <w:color w:val="auto"/>
              </w:rPr>
              <w:t>25</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that have been classified as troubled debt restructurings during the nine-month periods ended September 30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Pre-modification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Post-modification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Recorded</w:t>
            </w: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40" w:type="dxa"/>
            <w:vAlign w:val="bottom"/>
            <w:gridSpan w:val="2"/>
            <w:vMerge w:val="restart"/>
          </w:tcPr>
          <w:p>
            <w:pPr>
              <w:jc w:val="right"/>
              <w:ind w:right="6790"/>
              <w:spacing w:after="0"/>
              <w:rPr>
                <w:sz w:val="20"/>
                <w:szCs w:val="20"/>
                <w:color w:val="auto"/>
              </w:rPr>
            </w:pPr>
            <w:r>
              <w:rPr>
                <w:rFonts w:ascii="Times New Roman" w:cs="Times New Roman" w:eastAsia="Times New Roman" w:hAnsi="Times New Roman"/>
                <w:sz w:val="18"/>
                <w:szCs w:val="18"/>
                <w:color w:val="auto"/>
                <w:w w:val="94"/>
              </w:rPr>
              <w:t>2018</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2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 family</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Resort lending</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Installment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Home equity - 1st lien</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Home equity - 2nd lien</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Boat lending</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troubled debt restructurings described above for 2018 decreased the allowance for loan losses by $0.01 million and resulted in zero charge offs during the three months ended September 30, 2018, and decreased the allowance by $0.004 million and resulted in zero charge offs during the nine months ended September 30, 2018.</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troubled debt restructurings described above for 2017 increased the allowance for loan losses by $0.02 million and resulted in zero charge offs during the three months ended September 30, 2017, and increased the allowance by $0.08 million and resulted in zero charge offs during the nine months ended September 30, 2017.</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troubled debt restructurings that subsequently defaulted within twelve months following the modification during the three and nine months periods ended September 30, 2018.</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Six commercial and industrial loans with a recorded balance of $0.16 million that have been classified as troubled debt restructurings during the past twelve months (from September 30, 2017) subsequently defaulted during the three and nine month periods ended September 30, 2017. These subsequent defaults resulted in an increase in the allowance of $0.02 million and $0.04 million during the three and nine month periods ended September 30, 2017, respectively and resulted in charge-offs of $0.05 million during both the three and nine month periods ended September 30, 2017. There were no troubled debt restructurings that subsequently defaulted within twelve months following the modification during the three and nine months ended September 30, 2017 for any other loan class.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 is considered to be in payment default generally once it is 90 days contractually past due under the modified terms.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weighted-average risk grade of commercial loans, (b) the level of classified commercial loans, (c) credit scores of mortgage and installment loan borrowers, and (d) delinquency history and non-performing loans.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 fundamentals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acceptable credit fundamentals.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Our doubtful rating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loan ratings by loan class for our commercial loan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Substandard</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rPr>
              <w:t>Non-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Watch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Accrual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Accrual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374,965</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3,060</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 land development and construction - real estate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672,832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1,064,854</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36,857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1,115,227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288,869</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Land, land development and construction - real estate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2,345</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494,873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822,561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our mortgage and installment segment classes, we generally monitor credit quality based on the credit scores of the borrowers. These credit scores are generally updated semi-annually.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credit scores by loan class for our mortgage and installment loan 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Mortgage (1)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80" w:type="dxa"/>
            <w:vAlign w:val="bottom"/>
          </w:tcPr>
          <w:p>
            <w:pPr>
              <w:spacing w:after="0"/>
              <w:rPr>
                <w:sz w:val="17"/>
                <w:szCs w:val="17"/>
                <w:color w:val="auto"/>
              </w:rPr>
            </w:pPr>
          </w:p>
        </w:tc>
        <w:tc>
          <w:tcPr>
            <w:tcW w:w="10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Resort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Equity</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Lending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1st Lien</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2nd Lien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800 and above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110,400</w:t>
            </w:r>
          </w:p>
        </w:tc>
        <w:tc>
          <w:tcPr>
            <w:tcW w:w="4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12,423</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12,318</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750-799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15,037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700-749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9,562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650-699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600-649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550-599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500-549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851,761</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84,807</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83,348</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1,060,648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7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800 and above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78,523</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11,625</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750-799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700-749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650-699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600-649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550-599</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500-549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than for the TCSB Bancorp, Inc. ("TCSB") acquired loans,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Installment(1)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Home</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Recreational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Equity</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Vehicle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1st Lien</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2nd Lien</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Boat 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1"/>
              </w:rPr>
              <w:t>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6,223</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170,158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85,765</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395,078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800 and above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15,531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7,060</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750-799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700-749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650-699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600-649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550-599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500-549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included in 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than for the TCSB acquired loans, credit scores have been updated within the last twelve months.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Foreclosed residential real estate properties included in other real estate and repossessed assets on our Condensed Consolidated Statements of Financial Condition totaled $1.3 million and $1.6 million at September 30, 2018 and December 31, 2017, respectively. Retail mortgage loans secured by residential real estate properties for which formal foreclosure proceedings are in process according to local requirements totaled $0.4 million and $0.8 million at September 30, 2018 and December 31, 2017,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and July 2018, we sold $16.5 million and $11.1 million, respectively, of single-family residential fixed and adjustable rate mortgage loans servicing retained to another financial institution and recognized a gain (loss) on sale of $0.05 million and ($0.01) million, respectively. These mortgage loans were all on properties located in Ohio, had weighted average interest rates of 3.59% and 4.07%, respectively, and were sold primarily for asset/liability management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Purchase Credit Impaired (“PCI”) Loans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acquired in a business combination are recorded at estimated fair value on their purchase date with no carryover of the related allowance for loan losses. In determining the estimated fair value of purchased loans, management considers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acquisition of TCSB (see note #16)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w w:val="76"/>
              </w:rPr>
              <w:t>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carrying amount</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Carrying amount, net of allowance for loan losses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8"/>
                <w:szCs w:val="18"/>
                <w:color w:val="auto"/>
              </w:rPr>
            </w:pPr>
          </w:p>
        </w:tc>
        <w:tc>
          <w:tcPr>
            <w:tcW w:w="12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totaled $0.03 million and $0.07 million during the three and nine months ended September 30, 2018, respectively. Accretable yield of PCI loans, or income expected to be collected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3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49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8"/>
              </w:rPr>
              <w:t>(unaudited)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14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1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533</w:t>
            </w:r>
          </w:p>
        </w:tc>
        <w:tc>
          <w:tcPr>
            <w:tcW w:w="10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loans purchased</w:t>
            </w: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income</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from (to) nonaccretable difference</w:t>
            </w: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Displosals/other adjustments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10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31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PCI loans purchased during 2018 (all relating to the TCSB acquisition) for which it was probable at acquisition that all contractually required payments would not be collected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Contractually required payments</w:t>
            </w:r>
          </w:p>
        </w:tc>
        <w:tc>
          <w:tcPr>
            <w:tcW w:w="36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Non accretable difference</w:t>
            </w: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3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Accretable yield</w:t>
            </w:r>
          </w:p>
        </w:tc>
        <w:tc>
          <w:tcPr>
            <w:tcW w:w="3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acquired loans at acquisition</w:t>
            </w:r>
          </w:p>
        </w:tc>
        <w:tc>
          <w:tcPr>
            <w:tcW w:w="3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would not be recognized on certain purchased loans if we could not reasonably estimate cash flows to be collected. We did not have any purchased loans for which we could not reasonably estimate cash flows to be collected.</w:t>
      </w:r>
    </w:p>
    <w:p>
      <w:pPr>
        <w:spacing w:after="0" w:line="18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 and Earnings Per Common Share</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22, 2018, our Board of Directors authorized a share repurchase plan (the “Repurchase Plan”) to buy back up to 5% of our outstanding common stock through December 31, 2018. We expect to accomplish the repurchases through open market transactions, though we could affect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We did not repurchase any shares of common stock during the nine months ended September 30,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follows: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11,925</w:t>
            </w:r>
          </w:p>
        </w:tc>
        <w:tc>
          <w:tcPr>
            <w:tcW w:w="6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29,903</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24,149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stock options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share units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w:t>
            </w:r>
          </w:p>
        </w:tc>
        <w:tc>
          <w:tcPr>
            <w:tcW w:w="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24,515</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21,652</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23,576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(1)</w:t>
            </w:r>
          </w:p>
        </w:tc>
        <w:tc>
          <w:tcPr>
            <w:tcW w:w="240" w:type="dxa"/>
            <w:vAlign w:val="bottom"/>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6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Basic net income per common share includes weighted average common shares outstanding during the period and participating share awards.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the three and nine month periods ended September 30, 2018 and 2017, respectively.</w:t>
      </w:r>
    </w:p>
    <w:p>
      <w:pPr>
        <w:spacing w:after="0" w:line="18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September 30,</w:t>
            </w:r>
          </w:p>
        </w:tc>
        <w:tc>
          <w:tcPr>
            <w:tcW w:w="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Notional</w:t>
            </w:r>
          </w:p>
        </w:tc>
        <w:tc>
          <w:tcPr>
            <w:tcW w:w="200" w:type="dxa"/>
            <w:vAlign w:val="bottom"/>
          </w:tcPr>
          <w:p>
            <w:pPr>
              <w:spacing w:after="0"/>
              <w:rPr>
                <w:sz w:val="18"/>
                <w:szCs w:val="18"/>
                <w:color w:val="auto"/>
              </w:rPr>
            </w:pP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gridSpan w:val="8"/>
          </w:tcPr>
          <w:p>
            <w:pPr>
              <w:jc w:val="center"/>
              <w:ind w:right="135"/>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2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December 31, 2017</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8"/>
              </w:rPr>
              <w:t>Average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8"/>
              </w:rPr>
              <w:t>Notional</w:t>
            </w:r>
          </w:p>
        </w:tc>
        <w:tc>
          <w:tcPr>
            <w:tcW w:w="200" w:type="dxa"/>
            <w:vAlign w:val="bottom"/>
          </w:tcPr>
          <w:p>
            <w:pPr>
              <w:spacing w:after="0"/>
              <w:rPr>
                <w:sz w:val="18"/>
                <w:szCs w:val="18"/>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gridSpan w:val="8"/>
          </w:tcPr>
          <w:p>
            <w:pPr>
              <w:jc w:val="center"/>
              <w:ind w:right="135"/>
              <w:spacing w:after="0"/>
              <w:rPr>
                <w:sz w:val="20"/>
                <w:szCs w:val="20"/>
                <w:color w:val="auto"/>
              </w:rPr>
            </w:pPr>
            <w:r>
              <w:rPr>
                <w:rFonts w:ascii="Times New Roman" w:cs="Times New Roman" w:eastAsia="Times New Roman" w:hAnsi="Times New Roman"/>
                <w:sz w:val="18"/>
                <w:szCs w:val="18"/>
                <w:color w:val="auto"/>
                <w:w w:val="98"/>
              </w:rPr>
              <w:t>(Dollars 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4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2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2520" w:type="dxa"/>
            <w:vAlign w:val="bottom"/>
            <w:gridSpan w:val="2"/>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3.6</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25,032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75,990</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2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239,377</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500" w:type="dxa"/>
            <w:vAlign w:val="bottom"/>
            <w:vMerge w:val="restart"/>
          </w:tcPr>
          <w:p>
            <w:pPr>
              <w:jc w:val="right"/>
              <w:ind w:right="1574"/>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and interest rate cap agreements. Pay-fixed interest rate swaps convert the variable-rate cash flows on debt obligations to fixed-rates. 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$2.3 million at September 30, 2018 and $0.9 million at December 31, 2017.</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$0.66 million, of unrealized gains on Cash Flow Hedges at September 30, 2018 will be reclassified to earnings over the next twelve months. To the extent that the Cash Flow Hedges are not effective, the ineffective portion of the Cash Flow Hedges is immediately recognized in interest expense. The maximum term of the Cash Flow Hedge at September 30, 2018 is 5.0 years.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prior periods we offered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Values of Derivative Instruments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Asset Derivatives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Liability Derivatives</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940" w:type="dxa"/>
            <w:vAlign w:val="bottom"/>
            <w:gridSpan w:val="5"/>
          </w:tcPr>
          <w:p>
            <w:pPr>
              <w:ind w:left="40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820" w:type="dxa"/>
            <w:vAlign w:val="bottom"/>
            <w:gridSpan w:val="4"/>
          </w:tcPr>
          <w:p>
            <w:pPr>
              <w:ind w:left="42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7"/>
                <w:szCs w:val="17"/>
                <w:color w:val="auto"/>
              </w:rPr>
            </w:pPr>
          </w:p>
        </w:tc>
        <w:tc>
          <w:tcPr>
            <w:tcW w:w="2180" w:type="dxa"/>
            <w:vAlign w:val="bottom"/>
            <w:gridSpan w:val="4"/>
          </w:tcPr>
          <w:p>
            <w:pPr>
              <w:ind w:left="52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210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60" w:type="dxa"/>
            <w:vAlign w:val="bottom"/>
            <w:tcBorders>
              <w:top w:val="single" w:sz="8" w:color="auto"/>
            </w:tcBorders>
            <w:gridSpan w:val="3"/>
          </w:tcPr>
          <w:p>
            <w:pPr>
              <w:jc w:val="center"/>
              <w:ind w:right="135"/>
              <w:spacing w:after="0" w:line="198" w:lineRule="exact"/>
              <w:rPr>
                <w:sz w:val="20"/>
                <w:szCs w:val="20"/>
                <w:color w:val="auto"/>
              </w:rPr>
            </w:pPr>
            <w:r>
              <w:rPr>
                <w:rFonts w:ascii="Times New Roman" w:cs="Times New Roman" w:eastAsia="Times New Roman" w:hAnsi="Times New Roman"/>
                <w:sz w:val="18"/>
                <w:szCs w:val="18"/>
                <w:color w:val="auto"/>
                <w:w w:val="99"/>
              </w:rPr>
              <w:t>Balance</w:t>
            </w: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3"/>
          </w:tcPr>
          <w:p>
            <w:pPr>
              <w:jc w:val="center"/>
              <w:ind w:right="155"/>
              <w:spacing w:after="0"/>
              <w:rPr>
                <w:sz w:val="20"/>
                <w:szCs w:val="20"/>
                <w:color w:val="auto"/>
              </w:rPr>
            </w:pPr>
            <w:r>
              <w:rPr>
                <w:rFonts w:ascii="Times New Roman" w:cs="Times New Roman" w:eastAsia="Times New Roman" w:hAnsi="Times New Roman"/>
                <w:sz w:val="18"/>
                <w:szCs w:val="18"/>
                <w:color w:val="auto"/>
                <w:w w:val="99"/>
              </w:rPr>
              <w:t>Sheet</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w:t>
            </w: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Sheet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Fair</w:t>
            </w:r>
          </w:p>
        </w:tc>
        <w:tc>
          <w:tcPr>
            <w:tcW w:w="1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Sheet</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c>
          <w:tcPr>
            <w:tcW w:w="1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Sheet</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60" w:type="dxa"/>
            <w:vAlign w:val="bottom"/>
            <w:gridSpan w:val="3"/>
          </w:tcPr>
          <w:p>
            <w:pPr>
              <w:jc w:val="center"/>
              <w:ind w:right="135"/>
              <w:spacing w:after="0"/>
              <w:rPr>
                <w:sz w:val="20"/>
                <w:szCs w:val="20"/>
                <w:color w:val="auto"/>
              </w:rPr>
            </w:pPr>
            <w:r>
              <w:rPr>
                <w:rFonts w:ascii="Times New Roman" w:cs="Times New Roman" w:eastAsia="Times New Roman" w:hAnsi="Times New Roman"/>
                <w:sz w:val="18"/>
                <w:szCs w:val="18"/>
                <w:color w:val="auto"/>
                <w:w w:val="96"/>
              </w:rPr>
              <w:t>Location</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Value</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Location</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c>
          <w:tcPr>
            <w:tcW w:w="1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Location</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Location</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Pay-fixed interest rate swap agreements</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Mandatory commitments to sell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mortgage loans</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Pay-fixed interest rate swap agreements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Pay-variable interest rate swap</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agreements - commercial</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2,380</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3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Otherliabilities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1,859</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derivatives</w:t>
            </w:r>
          </w:p>
        </w:tc>
        <w:tc>
          <w:tcPr>
            <w:tcW w:w="100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w:t>
            </w:r>
          </w:p>
        </w:tc>
        <w:tc>
          <w:tcPr>
            <w:tcW w:w="124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Condensed Consolidated Statements of Operations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 Periods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center"/>
              <w:ind w:right="260"/>
              <w:spacing w:after="0" w:line="205" w:lineRule="exact"/>
              <w:rPr>
                <w:sz w:val="20"/>
                <w:szCs w:val="20"/>
                <w:color w:val="auto"/>
              </w:rPr>
            </w:pPr>
            <w:r>
              <w:rPr>
                <w:rFonts w:ascii="Times New Roman" w:cs="Times New Roman" w:eastAsia="Times New Roman" w:hAnsi="Times New Roman"/>
                <w:sz w:val="18"/>
                <w:szCs w:val="18"/>
                <w:color w:val="auto"/>
              </w:rPr>
              <w:t>Location of</w:t>
            </w: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Gain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Reclassified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7"/>
              </w:rPr>
              <w:t>Gain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from</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Gain (Loss)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gridSpan w:val="5"/>
          </w:tcPr>
          <w:p>
            <w:pPr>
              <w:jc w:val="center"/>
              <w:ind w:left="151"/>
              <w:spacing w:after="0"/>
              <w:rPr>
                <w:sz w:val="20"/>
                <w:szCs w:val="20"/>
                <w:color w:val="auto"/>
              </w:rPr>
            </w:pPr>
            <w:r>
              <w:rPr>
                <w:rFonts w:ascii="Times New Roman" w:cs="Times New Roman" w:eastAsia="Times New Roman" w:hAnsi="Times New Roman"/>
                <w:sz w:val="18"/>
                <w:szCs w:val="18"/>
                <w:color w:val="auto"/>
                <w:w w:val="98"/>
              </w:rPr>
              <w:t>Recognized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Accumulated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gridSpan w:val="5"/>
          </w:tcPr>
          <w:p>
            <w:pPr>
              <w:jc w:val="center"/>
              <w:ind w:left="151"/>
              <w:spacing w:after="0"/>
              <w:rPr>
                <w:sz w:val="20"/>
                <w:szCs w:val="20"/>
                <w:color w:val="auto"/>
              </w:rPr>
            </w:pPr>
            <w:r>
              <w:rPr>
                <w:rFonts w:ascii="Times New Roman" w:cs="Times New Roman" w:eastAsia="Times New Roman" w:hAnsi="Times New Roman"/>
                <w:sz w:val="18"/>
                <w:szCs w:val="18"/>
                <w:color w:val="auto"/>
              </w:rPr>
              <w:t>Comprehensive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Comprehensive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7"/>
              </w:rPr>
              <w:t>Gain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gridSpan w:val="5"/>
          </w:tcPr>
          <w:p>
            <w:pPr>
              <w:jc w:val="center"/>
              <w:ind w:left="151"/>
              <w:spacing w:after="0"/>
              <w:rPr>
                <w:sz w:val="20"/>
                <w:szCs w:val="20"/>
                <w:color w:val="auto"/>
              </w:rPr>
            </w:pPr>
            <w:r>
              <w:rPr>
                <w:rFonts w:ascii="Times New Roman" w:cs="Times New Roman" w:eastAsia="Times New Roman" w:hAnsi="Times New Roman"/>
                <w:sz w:val="18"/>
                <w:szCs w:val="18"/>
                <w:color w:val="auto"/>
              </w:rPr>
              <w:t>Income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Loss into</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Loss into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Recognized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gridSpan w:val="5"/>
          </w:tcPr>
          <w:p>
            <w:pPr>
              <w:jc w:val="center"/>
              <w:ind w:left="151"/>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Gain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 Income (1)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300" w:type="dxa"/>
            <w:vAlign w:val="bottom"/>
            <w:gridSpan w:val="2"/>
            <w:vMerge w:val="restart"/>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(Effective</w:t>
            </w: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118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Portion)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Income (1)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Interest rate cap</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w:t>
            </w:r>
          </w:p>
        </w:tc>
        <w:tc>
          <w:tcPr>
            <w:tcW w:w="660" w:type="dxa"/>
            <w:vAlign w:val="bottom"/>
          </w:tcPr>
          <w:p>
            <w:pPr>
              <w:jc w:val="right"/>
              <w:ind w:right="491"/>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Interest expense</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Pay-fixed interest rate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swap agreements</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Interest expense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ind w:right="491"/>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Pr>
          <w:p>
            <w:pPr>
              <w:spacing w:after="0"/>
              <w:rPr>
                <w:sz w:val="18"/>
                <w:szCs w:val="18"/>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Rate-lock mortgage loan</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commitments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Mandatory</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commitments to sell</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loans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Pay-fixed interest rate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swap agreements -</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Pay-variable interest rate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swap agreements -</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 Periods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center"/>
              <w:ind w:right="195"/>
              <w:spacing w:after="0" w:line="205" w:lineRule="exact"/>
              <w:rPr>
                <w:sz w:val="20"/>
                <w:szCs w:val="20"/>
                <w:color w:val="auto"/>
              </w:rPr>
            </w:pPr>
            <w:r>
              <w:rPr>
                <w:rFonts w:ascii="Times New Roman" w:cs="Times New Roman" w:eastAsia="Times New Roman" w:hAnsi="Times New Roman"/>
                <w:sz w:val="18"/>
                <w:szCs w:val="18"/>
                <w:color w:val="auto"/>
              </w:rPr>
              <w:t>Location of</w:t>
            </w: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rPr>
              <w:t>Gain (Loss)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95"/>
              <w:spacing w:after="0"/>
              <w:rPr>
                <w:sz w:val="20"/>
                <w:szCs w:val="20"/>
                <w:color w:val="auto"/>
              </w:rPr>
            </w:pPr>
            <w:r>
              <w:rPr>
                <w:rFonts w:ascii="Times New Roman" w:cs="Times New Roman" w:eastAsia="Times New Roman" w:hAnsi="Times New Roman"/>
                <w:sz w:val="18"/>
                <w:szCs w:val="18"/>
                <w:color w:val="auto"/>
                <w:w w:val="99"/>
              </w:rPr>
              <w:t>Reclassified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Gain</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w w:val="97"/>
              </w:rPr>
              <w:t>from</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Gain (Loss)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Recognized in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95"/>
              <w:spacing w:after="0"/>
              <w:rPr>
                <w:sz w:val="20"/>
                <w:szCs w:val="20"/>
                <w:color w:val="auto"/>
              </w:rPr>
            </w:pPr>
            <w:r>
              <w:rPr>
                <w:rFonts w:ascii="Times New Roman" w:cs="Times New Roman" w:eastAsia="Times New Roman" w:hAnsi="Times New Roman"/>
                <w:sz w:val="18"/>
                <w:szCs w:val="18"/>
                <w:color w:val="auto"/>
                <w:w w:val="99"/>
              </w:rPr>
              <w:t>Accumulated</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Reclassified from</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Accumulated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rPr>
              <w:t>Comprehensive</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color w:val="auto"/>
              </w:rPr>
              <w:t>Gain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w w:val="99"/>
              </w:rPr>
              <w:t>Loss into</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Loss into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Location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Recognized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(Effective Portion)</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175"/>
              <w:spacing w:after="0"/>
              <w:rPr>
                <w:sz w:val="20"/>
                <w:szCs w:val="20"/>
                <w:color w:val="auto"/>
              </w:rPr>
            </w:pPr>
            <w:r>
              <w:rPr>
                <w:rFonts w:ascii="Times New Roman" w:cs="Times New Roman" w:eastAsia="Times New Roman" w:hAnsi="Times New Roman"/>
                <w:sz w:val="18"/>
                <w:szCs w:val="18"/>
                <w:color w:val="auto"/>
                <w:w w:val="99"/>
              </w:rPr>
              <w:t>Income</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(Effective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Gain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Income (1)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80" w:type="dxa"/>
            <w:vAlign w:val="bottom"/>
            <w:gridSpan w:val="2"/>
            <w:vMerge w:val="restart"/>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(Effective</w:t>
            </w: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18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rPr>
              <w:t>Recognized</w:t>
            </w: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Portion)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Income (1)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w w:val="79"/>
              </w:rPr>
              <w:t>thousands)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Interest rate cap</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agreements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expense  $</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8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Interest expense</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Pay-fixed interest rate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swap agreements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Interest expense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spacing w:after="0"/>
              <w:rPr>
                <w:sz w:val="22"/>
                <w:szCs w:val="22"/>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 hedge designation</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Rate-lock mortgage loan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Mandatory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gains 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commitments to sell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loans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Pay-fixed interest rate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swap agreements -</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Pay-variable interest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rate swap agreements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commercial</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Purchased options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Written options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cash flow hedges, this location and amount refers to the ineffective portion.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 Intangible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 2018</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 2017</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2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Carrying</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7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780" w:type="dxa"/>
            <w:vAlign w:val="bottom"/>
            <w:gridSpan w:val="2"/>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8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w:t>
            </w:r>
          </w:p>
        </w:tc>
        <w:tc>
          <w:tcPr>
            <w:tcW w:w="7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$5.8 million and $28.3 million increases in the gross carrying amount of core deposit intangibles and goodwill, respectively are the result of our acquisition of TCSB (see note #16). There is no expected residual value relating to the core deposit intangible asset which is expected to be amortized over a period of 10 years (weighted average of 5.2 years). In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other intangibles has been estimated through 2022 in the following table.</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December 31, 2018</w:t>
            </w:r>
          </w:p>
        </w:tc>
        <w:tc>
          <w:tcPr>
            <w:tcW w:w="15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1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 period ending September 30, 2018 follows: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5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during the year</w:t>
            </w:r>
          </w:p>
        </w:tc>
        <w:tc>
          <w:tcPr>
            <w:tcW w:w="1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8960" w:type="dxa"/>
            <w:vAlign w:val="bottom"/>
            <w:gridSpan w:val="2"/>
          </w:tcPr>
          <w:p>
            <w:pPr>
              <w:jc w:val="right"/>
              <w:ind w:right="3090"/>
              <w:spacing w:after="0"/>
              <w:rPr>
                <w:sz w:val="20"/>
                <w:szCs w:val="20"/>
                <w:color w:val="auto"/>
              </w:rPr>
            </w:pPr>
            <w:r>
              <w:rPr>
                <w:rFonts w:ascii="Times New Roman" w:cs="Times New Roman" w:eastAsia="Times New Roman" w:hAnsi="Times New Roman"/>
                <w:sz w:val="14"/>
                <w:szCs w:val="14"/>
                <w:color w:val="auto"/>
              </w:rPr>
              <w:t>39</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9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Based Compensation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September 30, 2018. The non-employee director stock purchase plan permits the issuance of additional share based payments for up to 0.2 million shares of common stock as of September 30, 2018. Share based awards and payments are measured at fair value at the date of grant and are expensed over the requisite service period. Common shares issued upon exercise of stock options come from currently authorized but unissued shares.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 periods ended September 30, 2018 and 2017, pursuant to our long-term incentive plan, we granted 0.05 million shares of restricted stock during each period, and 0.02 million performance stock units (“PSU”), during each period to certain officers. No long term incentive grants were made during the three months ended September 30, 2018 and 2017. Except for 0.002 million shares of restricted stock issued in 2018 that vest ratably over three years,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0.007 million shares and 0.006 million shares during the nine months ended September 30, 2018 and 2017, respectively, and expensed their value during those same periods.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$0.4 million and $1.1 million during the three and nine month periods ended September 30, 2018, respectively, and was $0.4 million and $1.2 million during the same periods in 2017, respectively. The corresponding tax benefit relating to this expense was $0.1 million and $0.2 million for the three and nine month periods ended September 30, 2018, respectively and $0.1 million and $0.4 million for the same periods in 2017. Total expense recognized for non-employee director share based payments was $0.05 million and $0.16 million during the three and nine month periods ended September 30, 2018, respectively, and was $0.05 million and $0.12 million during the same periods in 2017, respectively. The corresponding tax benefit relating to this expense was $0.01 million and $0.03 million for the three and nine month periods ended September 30, 2018, respectively and $0.02 million and $0.04 million during the same periods in 2017.</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2018, the total expected compensation cost related to non-vested restricted stock and PSUs not yet recognized was $2.4 million. The weighted-average period over which this amount will be recognized is 2.0 years.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Average</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Exercise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Price</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Term (Years)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176,055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for acquisition (see note #16)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1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250,422</w:t>
            </w:r>
          </w:p>
        </w:tc>
        <w:tc>
          <w:tcPr>
            <w:tcW w:w="12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2018</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250,422</w:t>
            </w:r>
          </w:p>
        </w:tc>
        <w:tc>
          <w:tcPr>
            <w:tcW w:w="120" w:type="dxa"/>
            <w:vAlign w:val="bottom"/>
          </w:tcPr>
          <w:p>
            <w:pPr>
              <w:spacing w:after="0"/>
              <w:rPr>
                <w:sz w:val="18"/>
                <w:szCs w:val="18"/>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outstanding non-vested restricted stock and PSUs and related transactions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of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259,419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weighted-average assumptions used in the Black-Scholes option pricing model for the issue of stock options relating to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TCSB (see note #16) during the second quarter of 2018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weighted-average fair value</w:t>
            </w:r>
          </w:p>
        </w:tc>
        <w:tc>
          <w:tcPr>
            <w:tcW w:w="4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13.25</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risk-free interest rate for the expected term of the option is based on the U.S. Treasury yield curve in effect at the time of the grant. The expected life was obtained using a simplified method that, in general, averaged the vesting term and original contractual term of the stock option. This method was used as relevant historical data of actual exercise activity was very limited. The expected volatility was based on historical volatility of our common stock.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follows: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1"/>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w:t>
            </w:r>
          </w:p>
        </w:tc>
        <w:tc>
          <w:tcPr>
            <w:tcW w:w="2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received</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realized</w:t>
            </w: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Income Tax</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$2.9 million and $3.2 million during the three month periods ended September 30, 2018 and 2017, respectively and $7.0 million and $8.4 million during the nine months ended September 30, 2018 and 2017, respectively. On December 22, 2017, "H.R. 1" (also known as the "Tax Cuts and Jobs Act") was signed into law. H.R. 1, among other things, reduced the federal corporate income tax rate to 21% effective January 1, 2018 from 35% during 2017.</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2018 include reductions of $0.01 million and $0.33 million, respectively, of income tax expense related to impact of the excess value of stock awards that vested and stock options that were exercised as compared to the initial fair values that were expensed. These amounts during the same periods in 2017 were $0.02 million and $0.23 million, respectively.</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September 30, 2018 and 2017, that the realization of substantially all of our deferred tax assets continues to be more likely than not.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September 30, 2018 and December 31, 2017, we had approximately $0.7 million, of gross unrecognized tax benefits. We do not expect the total amount of unrecognized tax benefits to significantly increase or decrease during the balance of 2018.</w:t>
      </w:r>
    </w:p>
    <w:p>
      <w:pPr>
        <w:spacing w:after="0" w:line="189"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2018, the Bank had positive undivided profits of $27.2 million. It is not our intent to have dividends paid in amounts that would reduce the capital of our Bank to levels below those which we consider prudent and in accordance with guidelines of regulatory authorities.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September 30, 2018 and December 31, 2017, categorized our Bank as well capitalized. Management is not aware of any conditions or events that would have changed the most recent Federal Deposit Insurance Corporation (“FDIC”) categorization.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1.875% and 1.25% added to the minimum ratio for adequately capitalized institutions for 2018 and 2017, respectively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capital amounts and ratios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8"/>
              </w:rPr>
              <w:t>Minimum for</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Minimum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Adequately Capitalized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Well-Capitalized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8"/>
              </w:rPr>
              <w:t>Institutions</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8"/>
              </w:rPr>
              <w:t>Institutions</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205,173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337,905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205,044</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256,305</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348,228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153,880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312,385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153,783</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205,044</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310,081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115,410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312,385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115,337</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166,598</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348,228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128,543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312,385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128,376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160,469</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312,163</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164,782</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164,675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205,843</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123,586</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123,506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164,675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assets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255,934</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92,690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92,630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133,798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288,451</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109,209</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Independent Bank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266,476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109,041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136,301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Independent Bank</w:t>
            </w:r>
          </w:p>
        </w:tc>
      </w:tr>
      <w:tr>
        <w:trPr>
          <w:trHeight w:val="198"/>
        </w:trPr>
        <w:tc>
          <w:tcPr>
            <w:tcW w:w="608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r>
      <w:tr>
        <w:trPr>
          <w:trHeight w:val="241"/>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1"/>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345,204</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264,933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343,351</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269,481</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(deduct)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for regulatory purposes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(1,269)</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r>
      <w:tr>
        <w:trPr>
          <w:trHeight w:val="223"/>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Disallowed deferred tax assets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(7,931)</w:t>
            </w:r>
          </w:p>
        </w:tc>
        <w:tc>
          <w:tcPr>
            <w:tcW w:w="4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(1,937)</w:t>
            </w:r>
          </w:p>
        </w:tc>
      </w:tr>
      <w:tr>
        <w:trPr>
          <w:trHeight w:val="216"/>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255,934</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34,500</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Disallowed deferred tax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Tier 1 capital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288,451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266,476</w:t>
            </w:r>
          </w:p>
        </w:tc>
      </w:tr>
      <w:tr>
        <w:trPr>
          <w:trHeight w:val="198"/>
        </w:trPr>
        <w:tc>
          <w:tcPr>
            <w:tcW w:w="6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Allowance for loan losses and allowance for unfunded lending commitments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limited to 1.25% of total risk-weighted assets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23,712</w:t>
            </w: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risk-based capital</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373,748</w:t>
            </w:r>
          </w:p>
        </w:tc>
        <w:tc>
          <w:tcPr>
            <w:tcW w:w="14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312,163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337,905</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290,188</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Fair Value Disclosures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0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0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Where quoted market prices are available in an active market, securities (equity securities at fair value, trading or available for sale) are classified as Level 1 of the valuation hierarchy. Level 1 securities include certain preferred stocks included in our equity securities at fair value (trading securities as of December 31, 2017) for which there are quoted prices in active markets and US Treasuries (at December 31, 2017) in our securities available for sale portfolio.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of mortgage loans held for sale is based on agency cash window loan pricing for comparable assets (recurring Level 2).</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Impaired loans with specific loss allocations based on collateral value</w:t>
      </w:r>
      <w:r>
        <w:rPr>
          <w:rFonts w:ascii="Times New Roman" w:cs="Times New Roman" w:eastAsia="Times New Roman" w:hAnsi="Times New Roman"/>
          <w:sz w:val="18"/>
          <w:szCs w:val="18"/>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for loan losses represent loans for which the fair value of the expected repayments or collateral exceed the recorded investments in such loans. At September 30, 2018 and December 31, 2017,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Prices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Markets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Significant</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for</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Identical</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Inputs</w:t>
            </w:r>
          </w:p>
        </w:tc>
        <w:tc>
          <w:tcPr>
            <w:tcW w:w="2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4"/>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60" w:type="dxa"/>
            <w:vAlign w:val="bottom"/>
            <w:tcBorders>
              <w:bottom w:val="single" w:sz="8" w:color="auto"/>
            </w:tcBorders>
            <w:gridSpan w:val="2"/>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125,061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125,061</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28,973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139,654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139,654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held for sale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41,325</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Derivatives (1)</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7,734</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Derivatives (2)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Impaired loans (3)</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 family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Resort lending</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real estate (4)</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 family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Resort lending</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other real estate with subsequent write downs to fair value.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9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Prices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in Active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Markets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5"/>
              </w:rPr>
              <w:t>for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Identical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Measure-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8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Trading securities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agency</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137,918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 backed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93,898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government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held for sale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Derivatives (1)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Derivatives (2)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Impaired loans (3)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producing -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Land, land development &amp; construction-real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Resort lending</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real estate (4)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Mortgage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 family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Resort lending</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other real estate with subsequent write downs to fair value.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nine months ended September 30, 2018 and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values for financial assets which we have elected the fair value option for the periods presented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Changes in Fair Values for the nine-Month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Ended September 30 for Items Measured at Fair 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left="730"/>
              <w:spacing w:after="0"/>
              <w:rPr>
                <w:sz w:val="20"/>
                <w:szCs w:val="20"/>
                <w:color w:val="auto"/>
              </w:rPr>
            </w:pPr>
            <w:r>
              <w:rPr>
                <w:rFonts w:ascii="Times New Roman" w:cs="Times New Roman" w:eastAsia="Times New Roman" w:hAnsi="Times New Roman"/>
                <w:sz w:val="18"/>
                <w:szCs w:val="18"/>
                <w:color w:val="auto"/>
                <w:w w:val="99"/>
              </w:rPr>
              <w:t>Pursuant to Election of the Fair Value Option</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Net Gains (Losses)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rPr>
              <w:t>in 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on Assets</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Values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color w:val="auto"/>
              </w:rPr>
              <w:t>Included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 Current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Mortgage</w:t>
            </w:r>
          </w:p>
        </w:tc>
        <w:tc>
          <w:tcPr>
            <w:tcW w:w="24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Loan</w:t>
            </w:r>
          </w:p>
        </w:tc>
        <w:tc>
          <w:tcPr>
            <w:tcW w:w="2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Loans</w:t>
            </w: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Servicing, net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34"/>
        </w:trPr>
        <w:tc>
          <w:tcPr>
            <w:tcW w:w="4660" w:type="dxa"/>
            <w:vAlign w:val="bottom"/>
            <w:gridSpan w:val="2"/>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w w:val="94"/>
              </w:rPr>
              <w:t>2018</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three and nine month periods ended September 30, 2018 and 2017 relating to assets measured at fair value on a non-recurring basis:</w:t>
      </w:r>
    </w:p>
    <w:p>
      <w:pPr>
        <w:spacing w:after="0" w:line="162"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are measured for impairment using the fair value of collateral for collateral dependent loans had a carrying amount of $1.8 million, which is net of a valuation allowance of $0.8 million at September 30, 2018, and had a carrying amount of $1.9 million, which is net of a valuation allowance of $0.7 million at December 31, 2017. The provision for loan losses included in our results of operations relating to impaired loans was a net expense of $0.1 million and $0.3 million for the three month periods ending September 30, 2018 and 2017, respectively, and a net expense of $0.5 million for both nine month periods ending September 30, 2018 and 2017, respectively.</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real estate, which is measured using the fair value of the property, had a carrying amount of $0.1 million which is net of a valuation allowance of $0.1 million at September 30, 2018, and a carrying amount of $0.3 million, which is net of a valuation allowance of $0.1 million, at December 31, 2017. Additional charges relating to other real estate measured at fair value of $0.04 million and $0.04 million were included in our results of operations during the three and nine month periods ended September 30, 2018, respectively and $0.03 million and $0.04 million during the same periods in 2017.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for all assets and (liabilities) measured at fair value on a recurring basis using significant unobservable inputs (Level 3)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gridSpan w:val="12"/>
          </w:tcPr>
          <w:p>
            <w:pPr>
              <w:ind w:left="3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5"/>
          </w:tcPr>
          <w:p>
            <w:pPr>
              <w:ind w:left="100"/>
              <w:spacing w:after="0" w:line="198" w:lineRule="exact"/>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5"/>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9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w w:val="76"/>
              </w:rPr>
              <w:t>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accounting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adjusted</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gains (losses) realized and unrealized: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 of total gains (losses) for the period included in earnings attributable to the change in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(losses) relating to assets and liabilities still held at September 30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Asset</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60" w:type="dxa"/>
            <w:vAlign w:val="bottom"/>
          </w:tcPr>
          <w:p>
            <w:pPr>
              <w:spacing w:after="0"/>
              <w:rPr>
                <w:sz w:val="18"/>
                <w:szCs w:val="18"/>
                <w:color w:val="auto"/>
              </w:rPr>
            </w:pPr>
          </w:p>
        </w:tc>
        <w:tc>
          <w:tcPr>
            <w:tcW w:w="18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Valuation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60" w:type="dxa"/>
            <w:vAlign w:val="bottom"/>
          </w:tcPr>
          <w:p>
            <w:pPr>
              <w:spacing w:after="0"/>
              <w:rPr>
                <w:sz w:val="20"/>
                <w:szCs w:val="20"/>
                <w:color w:val="auto"/>
              </w:rPr>
            </w:pPr>
          </w:p>
        </w:tc>
        <w:tc>
          <w:tcPr>
            <w:tcW w:w="18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Technique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Range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34"/>
        </w:trPr>
        <w:tc>
          <w:tcPr>
            <w:tcW w:w="2360" w:type="dxa"/>
            <w:vAlign w:val="bottom"/>
            <w:gridSpan w:val="2"/>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11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servicing rights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23,151</w:t>
            </w:r>
          </w:p>
        </w:tc>
        <w:tc>
          <w:tcPr>
            <w:tcW w:w="1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Present value of net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 to 13.00%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servicing revenue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 to $317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to 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7"/>
              </w:rPr>
              <w:t>December 31, 2017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Capitalized mortgage loan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servicing rights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15,699</w:t>
            </w:r>
          </w:p>
        </w:tc>
        <w:tc>
          <w:tcPr>
            <w:tcW w:w="1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Present value of net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9.88% to 11.00%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servicing revenue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to $216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 to 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Float 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Asset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2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Valuation</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Technique</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Impaired loans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 to 25.0%</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 to 30.4</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real estate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 to 34.1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loans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to 25.0%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color w:val="auto"/>
              </w:rPr>
              <w:t>Mortgage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 to 34.1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real estate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gridSpan w:val="2"/>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Mortgage</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differences</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comparison approach</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between comparable sales</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(33.0) to 44.5</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Difference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30,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40,601</w:t>
            </w:r>
          </w:p>
        </w:tc>
        <w:tc>
          <w:tcPr>
            <w:tcW w:w="0" w:type="dxa"/>
            <w:vAlign w:val="bottom"/>
          </w:tcPr>
          <w:p>
            <w:pPr>
              <w:spacing w:after="0"/>
              <w:rPr>
                <w:sz w:val="1"/>
                <w:szCs w:val="1"/>
                <w:color w:val="auto"/>
              </w:rPr>
            </w:pPr>
          </w:p>
        </w:tc>
      </w:tr>
      <w:tr>
        <w:trPr>
          <w:trHeight w:val="234"/>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2017</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Values of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#2, we adopted ASU 2016-02 as of January 1, 2018. This new ASU requires entities to use the exit price notion when measuring the fair value of financial instruments for disclosure purposes. All of estimated fair values of our financial instruments in the table below at September 30, 2018 have used this exit price notion. In addition, except as discussed below in the net loans and loans held for sale section, all of our financial assets and liabilities have historically been valued using an exit price notion. This new ASU also removes the requirement to disclose the methods and significant assumptions used to estimate the fair value of financial instruments measured at amortized cost. The methods and significant assumptions for those financial instruments measured at amortized cost disclosed below are presented for fair values at December 31, 2017.</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due from banks and interest bearing deposits</w:t>
      </w:r>
      <w:r>
        <w:rPr>
          <w:rFonts w:ascii="Times New Roman" w:cs="Times New Roman" w:eastAsia="Times New Roman" w:hAnsi="Times New Roman"/>
          <w:sz w:val="18"/>
          <w:szCs w:val="18"/>
          <w:color w:val="auto"/>
        </w:rPr>
        <w:t>: The recorded book balance of cash and due from banks and interest bearing deposits approximate fair value and are classified as Level 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Interest bearing deposits - time</w:t>
      </w:r>
      <w:r>
        <w:rPr>
          <w:rFonts w:ascii="Times New Roman" w:cs="Times New Roman" w:eastAsia="Times New Roman" w:hAnsi="Times New Roman"/>
          <w:sz w:val="18"/>
          <w:szCs w:val="18"/>
          <w:color w:val="auto"/>
        </w:rPr>
        <w:t>: Interest bearing deposits - time have been valued based on a model using a benchmark yield curve plus a base spread and are classified as Level 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Financial instrument assets actively traded in a secondary market have been valued using quoted market prices. Equity securities at fair value, trading securities and U.S. Treasury securities available for sale are classified as Level 1 while all other securities available for sale are classified as Level 2 as described in note #11.</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Federal Home Loan Bank and Federal Reserve Bank stock</w:t>
      </w:r>
      <w:r>
        <w:rPr>
          <w:rFonts w:ascii="Times New Roman" w:cs="Times New Roman" w:eastAsia="Times New Roman" w:hAnsi="Times New Roman"/>
          <w:sz w:val="18"/>
          <w:szCs w:val="18"/>
          <w:color w:val="auto"/>
        </w:rPr>
        <w:t>: It is not practicable to determine the fair value of FHLB and FRB stock due to restrictions placed on transferability.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Net loans and loans held for sale</w:t>
      </w:r>
      <w:r>
        <w:rPr>
          <w:rFonts w:ascii="Times New Roman" w:cs="Times New Roman" w:eastAsia="Times New Roman" w:hAnsi="Times New Roman"/>
          <w:sz w:val="18"/>
          <w:szCs w:val="18"/>
          <w:color w:val="auto"/>
        </w:rPr>
        <w:t>: The fair value of loans at December 31, 2017 is calculated by discounting estimated future cash flows using estimated market discount rates that reflect credit and interest-rate risk inherent in the loans and do not necessarily represent an exit price. Loans are classified as Level 3. Impaired loans are valued at the lower of cost or fair value as described in note #11. Loans held for sale are classified as Level 2 as described in note #11.</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Accrued interest receivable and payable</w:t>
      </w:r>
      <w:r>
        <w:rPr>
          <w:rFonts w:ascii="Times New Roman" w:cs="Times New Roman" w:eastAsia="Times New Roman" w:hAnsi="Times New Roman"/>
          <w:sz w:val="18"/>
          <w:szCs w:val="18"/>
          <w:color w:val="auto"/>
        </w:rPr>
        <w:t>: The recorded book balance of accrued interest receivable and payable approximate fair value and are classified at the same Level as the asset and liability they are associated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Derivative financial instruments</w:t>
      </w:r>
      <w:r>
        <w:rPr>
          <w:rFonts w:ascii="Times New Roman" w:cs="Times New Roman" w:eastAsia="Times New Roman" w:hAnsi="Times New Roman"/>
          <w:sz w:val="18"/>
          <w:szCs w:val="18"/>
          <w:color w:val="auto"/>
        </w:rPr>
        <w:t>: The fair value of rate-lock mortgage loan commitments is based on agency cash window loan pricing for comparable assets, the fair value of mandatory commitments to sell mortgage loans is based on mortgage backed security pricing for comparable assets, the fair value of interest rate swap and interest rate cap agreements is derived from proprietary models which utilize current market data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#11.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Deposits without a stated maturity, including demand deposits, savings, NOW and money market accounts, have a 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Other borrowings have been valued based on the discounted value of contractual cash flows using a discount rate approximating current market rates for liabilities with a similar maturity resulting in a Level 2 classification.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Subordinated debentures</w:t>
      </w:r>
      <w:r>
        <w:rPr>
          <w:rFonts w:ascii="Times New Roman" w:cs="Times New Roman" w:eastAsia="Times New Roman" w:hAnsi="Times New Roman"/>
          <w:sz w:val="18"/>
          <w:szCs w:val="18"/>
          <w:color w:val="auto"/>
        </w:rPr>
        <w:t>: Subordinated debentures have generally been valued based on a quoted market price of similar instruments resulting in a Level 2 classification.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5" w:name="page56"/>
    <w:bookmarkEnd w:id="5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recorded book balances and fair values follow:</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Fair Value Using</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8"/>
              </w:rPr>
              <w:t>Quoted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Active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Markets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Identical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35,180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436,957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436,957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436,957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2,579,502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2,143,552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2,143,552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2,143,552</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655,091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36,994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36,994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Trading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522,027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Federal Home Loan Bank and Federal Reserve Bank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2,035,666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1,845,716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1,845,716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1,845,716</w:t>
            </w:r>
          </w:p>
        </w:tc>
        <w:tc>
          <w:tcPr>
            <w:tcW w:w="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551,489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Subordinated debentures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with no stated maturity include reciprocal deposits with a recorded book balance of $44.681 million and $12.992 million at September 30, 2018 and December 31, 2017, respectively. Deposits with a stated maturity include reciprocal deposits with a recorded book balance of $47.954 million and $37.987 million September 30, 2018 and December 31, 2017, respectively.</w:t>
      </w:r>
    </w:p>
    <w:p>
      <w:pPr>
        <w:sectPr>
          <w:pgSz w:w="11900" w:h="16838" w:orient="portrait"/>
          <w:cols w:equalWidth="0" w:num="1">
            <w:col w:w="11420"/>
          </w:cols>
          <w:pgMar w:left="240" w:top="116"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56" w:name="page57"/>
    <w:bookmarkEnd w:id="5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89"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Contingent Liabilities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Mepco Finance Corporation (“Mepco”) (see note #15),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September 30, 2018 Condensed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 As of September 30, 2018 these receivables balances had declined to $2.1 million and to date the purchaser has made no claims for indemnification.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loss reimbursement on sold loans represents our estimate of incurred losses related to mortgage loans that we have sold to investors (primarily Fannie Mae, Freddie Mac, Ginnie Mae and the FHLB). Since we sell mortgage loans without recourse, loss reimbursements only occur in those instances where we have breached a representation or warranty or other contractual requirement related to the loan sale. The provision for loss reimbursement on sold loans was an expense of $0.05 million and $0.02 million for the three month periods ended September 30, 2018 and 2017 and an expense of $0.08 million and $0.07 million for the nine month periods ended September 30, 2018 and 2017, respectively. The reserve for loss reimbursements on sold mortgage loans totaled $0.85 million and $0.67 million at September 30, 2018 and December 31, 2017,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8" w:name="page59"/>
    <w:bookmarkEnd w:id="5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14. Accumulated Other Comprehensive Loss (“AOCL”)</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changes in AOCL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Dispropor-</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tionate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Tax Effects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from</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 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Available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7"/>
              </w:rPr>
              <w:t>Available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Cash Flow</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Sale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Sale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Hedges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w w:val="71"/>
              </w:rPr>
              <w:t>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20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jc w:val="right"/>
              <w:ind w:right="3490"/>
              <w:spacing w:after="0"/>
              <w:rPr>
                <w:sz w:val="20"/>
                <w:szCs w:val="20"/>
                <w:color w:val="auto"/>
              </w:rPr>
            </w:pPr>
            <w:r>
              <w:rPr>
                <w:rFonts w:ascii="Times New Roman" w:cs="Times New Roman" w:eastAsia="Times New Roman" w:hAnsi="Times New Roman"/>
                <w:sz w:val="18"/>
                <w:szCs w:val="18"/>
                <w:color w:val="auto"/>
              </w:rPr>
              <w:t>2018</w:t>
            </w: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Times New Roman" w:cs="Times New Roman" w:eastAsia="Times New Roman" w:hAnsi="Times New Roman"/>
                <w:sz w:val="18"/>
                <w:szCs w:val="18"/>
                <w:color w:val="auto"/>
              </w:rPr>
              <w:t>2017</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jc w:val="right"/>
              <w:ind w:right="3490"/>
              <w:spacing w:after="0"/>
              <w:rPr>
                <w:sz w:val="20"/>
                <w:szCs w:val="20"/>
                <w:color w:val="auto"/>
              </w:rPr>
            </w:pPr>
            <w:r>
              <w:rPr>
                <w:rFonts w:ascii="Times New Roman" w:cs="Times New Roman" w:eastAsia="Times New Roman" w:hAnsi="Times New Roman"/>
                <w:sz w:val="18"/>
                <w:szCs w:val="18"/>
                <w:color w:val="auto"/>
              </w:rPr>
              <w:t>2018</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jc w:val="right"/>
              <w:ind w:right="3490"/>
              <w:spacing w:after="0"/>
              <w:rPr>
                <w:sz w:val="20"/>
                <w:szCs w:val="20"/>
                <w:color w:val="auto"/>
              </w:rPr>
            </w:pPr>
            <w:r>
              <w:rPr>
                <w:rFonts w:ascii="Times New Roman" w:cs="Times New Roman" w:eastAsia="Times New Roman" w:hAnsi="Times New Roman"/>
                <w:sz w:val="18"/>
                <w:szCs w:val="18"/>
                <w:color w:val="auto"/>
              </w:rPr>
              <w:t>2017</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 as adjusted</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insubstantial portfolio of securities available for sale.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AOCL for the three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Affected Line Item in Condensed</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0" w:type="dxa"/>
            <w:vAlign w:val="bottom"/>
          </w:tcPr>
          <w:p>
            <w:pPr>
              <w:spacing w:after="0"/>
              <w:rPr>
                <w:sz w:val="1"/>
                <w:szCs w:val="1"/>
                <w:color w:val="auto"/>
              </w:rPr>
            </w:pPr>
          </w:p>
        </w:tc>
      </w:tr>
      <w:tr>
        <w:trPr>
          <w:trHeight w:val="234"/>
        </w:trPr>
        <w:tc>
          <w:tcPr>
            <w:tcW w:w="5040" w:type="dxa"/>
            <w:vAlign w:val="bottom"/>
            <w:vMerge w:val="restart"/>
          </w:tcPr>
          <w:p>
            <w:pPr>
              <w:jc w:val="right"/>
              <w:ind w:right="4590"/>
              <w:spacing w:after="0"/>
              <w:rPr>
                <w:sz w:val="20"/>
                <w:szCs w:val="20"/>
                <w:color w:val="auto"/>
              </w:rPr>
            </w:pPr>
            <w:r>
              <w:rPr>
                <w:rFonts w:ascii="Times New Roman" w:cs="Times New Roman" w:eastAsia="Times New Roman" w:hAnsi="Times New Roman"/>
                <w:sz w:val="18"/>
                <w:szCs w:val="18"/>
                <w:color w:val="auto"/>
                <w:w w:val="94"/>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40" w:hanging="1086"/>
        <w:spacing w:after="0"/>
        <w:tabs>
          <w:tab w:leader="none" w:pos="6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Net gains (losses) on securities</w:t>
      </w:r>
    </w:p>
    <w:p>
      <w:pPr>
        <w:spacing w:after="0" w:line="9"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impairment loss recognized in earnings</w:t>
      </w:r>
    </w:p>
    <w:p>
      <w:pPr>
        <w:spacing w:after="0" w:line="17"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reclassifications before tax</w:t>
      </w:r>
    </w:p>
    <w:p>
      <w:pPr>
        <w:spacing w:after="0" w:line="27"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6240" w:hanging="1086"/>
        <w:spacing w:after="0"/>
        <w:tabs>
          <w:tab w:leader="none" w:pos="6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6060" w:hanging="906"/>
        <w:spacing w:after="0"/>
        <w:tabs>
          <w:tab w:leader="none" w:pos="6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Interest expense</w:t>
      </w:r>
    </w:p>
    <w:p>
      <w:pPr>
        <w:spacing w:after="0" w:line="27" w:lineRule="exact"/>
        <w:rPr>
          <w:rFonts w:ascii="Times New Roman" w:cs="Times New Roman" w:eastAsia="Times New Roman" w:hAnsi="Times New Roman"/>
          <w:sz w:val="18"/>
          <w:szCs w:val="18"/>
          <w:color w:val="auto"/>
        </w:rPr>
      </w:pPr>
    </w:p>
    <w:p>
      <w:pPr>
        <w:ind w:left="6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060" w:hanging="906"/>
        <w:spacing w:after="0"/>
        <w:tabs>
          <w:tab w:leader="none" w:pos="6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220" w:hanging="1066"/>
        <w:spacing w:after="0"/>
        <w:tabs>
          <w:tab w:leader="none" w:pos="6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Net gains (losses) on securities</w:t>
      </w:r>
    </w:p>
    <w:p>
      <w:pPr>
        <w:spacing w:after="0" w:line="9"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18"/>
          <w:szCs w:val="18"/>
          <w:color w:val="auto"/>
        </w:rPr>
        <w:t>8 Total reclassifications before tax</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3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220" w:hanging="1066"/>
        <w:spacing w:after="0"/>
        <w:tabs>
          <w:tab w:leader="none" w:pos="6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cash flow hedges</w:t>
      </w:r>
    </w:p>
    <w:p>
      <w:pPr>
        <w:spacing w:after="0" w:line="27" w:lineRule="exact"/>
        <w:rPr>
          <w:sz w:val="20"/>
          <w:szCs w:val="20"/>
          <w:color w:val="auto"/>
        </w:rPr>
      </w:pPr>
    </w:p>
    <w:p>
      <w:pPr>
        <w:ind w:left="6160" w:hanging="1006"/>
        <w:spacing w:after="0"/>
        <w:tabs>
          <w:tab w:leader="none" w:pos="6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Interest expense</w:t>
      </w:r>
    </w:p>
    <w:p>
      <w:pPr>
        <w:spacing w:after="0" w:line="9" w:lineRule="exact"/>
        <w:rPr>
          <w:rFonts w:ascii="Times New Roman" w:cs="Times New Roman" w:eastAsia="Times New Roman" w:hAnsi="Times New Roman"/>
          <w:sz w:val="18"/>
          <w:szCs w:val="18"/>
          <w:color w:val="auto"/>
        </w:rPr>
      </w:pPr>
    </w:p>
    <w:p>
      <w:pPr>
        <w:ind w:left="6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6160" w:hanging="1006"/>
        <w:spacing w:after="0"/>
        <w:tabs>
          <w:tab w:leader="none" w:pos="6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220" w:hanging="1066"/>
        <w:spacing w:after="0"/>
        <w:tabs>
          <w:tab w:leader="none" w:pos="6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AOCL for the nine months ended September 30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Reclassified</w:t>
            </w:r>
          </w:p>
        </w:tc>
        <w:tc>
          <w:tcPr>
            <w:tcW w:w="1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From</w:t>
            </w:r>
          </w:p>
        </w:tc>
        <w:tc>
          <w:tcPr>
            <w:tcW w:w="10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Affected Line Item in Condensed</w:t>
            </w:r>
          </w:p>
        </w:tc>
        <w:tc>
          <w:tcPr>
            <w:tcW w:w="0" w:type="dxa"/>
            <w:vAlign w:val="bottom"/>
          </w:tcPr>
          <w:p>
            <w:pPr>
              <w:spacing w:after="0"/>
              <w:rPr>
                <w:sz w:val="1"/>
                <w:szCs w:val="1"/>
                <w:color w:val="auto"/>
              </w:rPr>
            </w:pPr>
          </w:p>
        </w:tc>
      </w:tr>
      <w:tr>
        <w:trPr>
          <w:trHeight w:val="241"/>
        </w:trPr>
        <w:tc>
          <w:tcPr>
            <w:tcW w:w="504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AOCL Component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AOCL</w:t>
            </w:r>
          </w:p>
        </w:tc>
        <w:tc>
          <w:tcPr>
            <w:tcW w:w="10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0" w:type="dxa"/>
            <w:vAlign w:val="bottom"/>
          </w:tcPr>
          <w:p>
            <w:pPr>
              <w:spacing w:after="0"/>
              <w:rPr>
                <w:sz w:val="1"/>
                <w:szCs w:val="1"/>
                <w:color w:val="auto"/>
              </w:rPr>
            </w:pPr>
          </w:p>
        </w:tc>
      </w:tr>
      <w:tr>
        <w:trPr>
          <w:trHeight w:val="234"/>
        </w:trPr>
        <w:tc>
          <w:tcPr>
            <w:tcW w:w="5040" w:type="dxa"/>
            <w:vAlign w:val="bottom"/>
            <w:vMerge w:val="restart"/>
          </w:tcPr>
          <w:p>
            <w:pPr>
              <w:jc w:val="right"/>
              <w:ind w:right="4590"/>
              <w:spacing w:after="0"/>
              <w:rPr>
                <w:sz w:val="20"/>
                <w:szCs w:val="20"/>
                <w:color w:val="auto"/>
              </w:rPr>
            </w:pPr>
            <w:r>
              <w:rPr>
                <w:rFonts w:ascii="Times New Roman" w:cs="Times New Roman" w:eastAsia="Times New Roman" w:hAnsi="Times New Roman"/>
                <w:sz w:val="18"/>
                <w:szCs w:val="18"/>
                <w:color w:val="auto"/>
                <w:w w:val="94"/>
              </w:rPr>
              <w:t>2018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Unrealized losses on securities available for sale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060" w:hanging="906"/>
        <w:spacing w:after="0"/>
        <w:tabs>
          <w:tab w:leader="none" w:pos="6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Net gains (losses) on securities</w:t>
      </w:r>
    </w:p>
    <w:p>
      <w:pPr>
        <w:spacing w:after="0" w:line="9"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(45)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(9)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6060" w:hanging="906"/>
        <w:spacing w:after="0"/>
        <w:tabs>
          <w:tab w:leader="none" w:pos="6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5980" w:hanging="826"/>
        <w:spacing w:after="0"/>
        <w:tabs>
          <w:tab w:leader="none" w:pos="5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Interest expense</w:t>
      </w:r>
    </w:p>
    <w:p>
      <w:pPr>
        <w:spacing w:after="0" w:line="9" w:lineRule="exact"/>
        <w:rPr>
          <w:rFonts w:ascii="Times New Roman" w:cs="Times New Roman" w:eastAsia="Times New Roman" w:hAnsi="Times New Roman"/>
          <w:sz w:val="18"/>
          <w:szCs w:val="18"/>
          <w:color w:val="auto"/>
        </w:rPr>
      </w:pPr>
    </w:p>
    <w:p>
      <w:pPr>
        <w:ind w:left="6400" w:hanging="338"/>
        <w:spacing w:after="0"/>
        <w:tabs>
          <w:tab w:leader="none" w:pos="64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5980" w:hanging="826"/>
        <w:spacing w:after="0"/>
        <w:tabs>
          <w:tab w:leader="none" w:pos="5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40" w:hanging="886"/>
        <w:spacing w:after="0"/>
        <w:tabs>
          <w:tab w:leader="none" w:pos="6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Net gains (losses) on securities</w:t>
      </w:r>
    </w:p>
    <w:p>
      <w:pPr>
        <w:spacing w:after="0" w:line="9" w:lineRule="exact"/>
        <w:rPr>
          <w:rFonts w:ascii="Times New Roman" w:cs="Times New Roman" w:eastAsia="Times New Roman" w:hAnsi="Times New Roman"/>
          <w:sz w:val="18"/>
          <w:szCs w:val="18"/>
          <w:color w:val="auto"/>
        </w:rPr>
      </w:pPr>
    </w:p>
    <w:p>
      <w:pPr>
        <w:ind w:left="6400" w:hanging="158"/>
        <w:spacing w:after="0"/>
        <w:tabs>
          <w:tab w:leader="none" w:pos="64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040"/>
        <w:spacing w:after="0"/>
        <w:rPr>
          <w:sz w:val="20"/>
          <w:szCs w:val="20"/>
          <w:color w:val="auto"/>
        </w:rPr>
      </w:pPr>
      <w:r>
        <w:rPr>
          <w:rFonts w:ascii="Times New Roman" w:cs="Times New Roman" w:eastAsia="Times New Roman" w:hAnsi="Times New Roman"/>
          <w:sz w:val="18"/>
          <w:szCs w:val="18"/>
          <w:color w:val="auto"/>
        </w:rPr>
        <w:t>125 Total reclassifications before tax</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44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120" w:hanging="966"/>
        <w:spacing w:after="0"/>
        <w:tabs>
          <w:tab w:leader="none" w:pos="6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17145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on cash flow hedges</w:t>
      </w:r>
    </w:p>
    <w:p>
      <w:pPr>
        <w:spacing w:after="0" w:line="27" w:lineRule="exact"/>
        <w:rPr>
          <w:sz w:val="20"/>
          <w:szCs w:val="20"/>
          <w:color w:val="auto"/>
        </w:rPr>
      </w:pPr>
    </w:p>
    <w:p>
      <w:pPr>
        <w:ind w:left="6160" w:hanging="1006"/>
        <w:spacing w:after="0"/>
        <w:tabs>
          <w:tab w:leader="none" w:pos="6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Interest expense</w:t>
      </w:r>
    </w:p>
    <w:p>
      <w:pPr>
        <w:spacing w:after="0" w:line="9" w:lineRule="exact"/>
        <w:rPr>
          <w:rFonts w:ascii="Times New Roman" w:cs="Times New Roman" w:eastAsia="Times New Roman" w:hAnsi="Times New Roman"/>
          <w:sz w:val="18"/>
          <w:szCs w:val="18"/>
          <w:color w:val="auto"/>
        </w:rPr>
      </w:pPr>
    </w:p>
    <w:p>
      <w:pPr>
        <w:ind w:left="6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5715</wp:posOffset>
            </wp:positionV>
            <wp:extent cx="7289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6160" w:hanging="1006"/>
        <w:spacing w:after="0"/>
        <w:tabs>
          <w:tab w:leader="none" w:pos="6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6120" w:hanging="966"/>
        <w:spacing w:after="0"/>
        <w:tabs>
          <w:tab w:leader="none" w:pos="6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Mepco Sale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2016, Mepco executed an Asset Purchase Agreement (the “APA”) with Seabury Asset Management LLC (“Seabury”). Pursuant to the terms of the APA, we sold our payment plan processing business, payment plan receivables, and certain other assets to Seabury, who also assumed certain liabilities of Mepco.</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closed on May 18, 2017, with an effective date of May 1, 2017. As a result of the closing, Mepco sold $33.1 million of net payment plan receivables, $0.5 million of commercial loans, $0.2 million of furniture and equipment and $1.6 million of other assets to Seabury, who also assumed $2.0 million of specified liabilities. We received cash totaling $33.4 million and recorded no gain or loss in 2017 as the assets were sold and the liabilities were assumed at book value.</w:t>
      </w:r>
    </w:p>
    <w:p>
      <w:pPr>
        <w:spacing w:after="0" w:line="207"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Acquisition</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 Non-interest expense includes $0.1 million and $3.4 million of costs incurred during the three and nine month periods ended September 30, 2018, respectively related to the Merger. Any remaining merger related costs will be expensed as incurred in future periods.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9760" w:type="dxa"/>
            <w:vAlign w:val="bottom"/>
            <w:gridSpan w:val="5"/>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NOTES TO INTERIM CONDENSED CONSOLIDATED FINANCIAL STATEMENTS (continued)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280" w:type="dxa"/>
            <w:vAlign w:val="bottom"/>
            <w:tcBorders>
              <w:top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(unaudited)</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9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reflects our preliminary valuation of the assets acquired and liabilities assumed:</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equipement, net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(1)</w:t>
            </w:r>
          </w:p>
        </w:tc>
        <w:tc>
          <w:tcPr>
            <w:tcW w:w="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(fair value of consideration)</w:t>
            </w:r>
          </w:p>
        </w:tc>
        <w:tc>
          <w:tcPr>
            <w:tcW w:w="4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Relates to core deposit intangibles (see note #7).</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views the disclosed fair values presented above to be provisional. Prior to the end of the one-year measurement period for finalizing acquisition-date fair values, if information becomes available which would indicate adjustments are required to the allocation, such adjustments will be included in the allocation in the reporting period in which the adjustment amounts are determined. In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related to this acquisition will not be deductible for tax purposes and consists largely of synergies and cost savings resulting from the combining of the operations of TCSB into ours as well as expansion into a new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core deposit intangible was $5.8 million and is being amortized over an estimated useful life of 10 years.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spacing w:after="0" w:line="215"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which we adopted on January 1, 2018, using the modified retrospective method (see note #2). We derive the majority of our revenue from financial instruments and their related contractual rights and obligations which for the most part are excluded from the scope of ASU 2014-09. These sources of revenue that are excluded from the scope of this amended guidance include interest income, net gains on mortgage loans, net gains (losses) on securities, mortgage loan servicing, net and bank owned life insurance and were approximately 83.1% and 80.0% of total revenues at September 30, 2018 and 2017, respectively.</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2018.</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Service charges on deposit accounts and other deposit related income</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Interchange income:</w:t>
      </w:r>
      <w:r>
        <w:rPr>
          <w:rFonts w:ascii="Times New Roman" w:cs="Times New Roman" w:eastAsia="Times New Roman" w:hAnsi="Times New Roman"/>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and insurance commissions:</w:t>
      </w:r>
      <w:r>
        <w:rPr>
          <w:rFonts w:ascii="Times New Roman" w:cs="Times New Roman" w:eastAsia="Times New Roman" w:hAnsi="Times New Roman"/>
          <w:sz w:val="18"/>
          <w:szCs w:val="18"/>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Net (gains) losses on other real estate and repossessed assets:</w:t>
      </w:r>
      <w:r>
        <w:rPr>
          <w:rFonts w:ascii="Times New Roman" w:cs="Times New Roman" w:eastAsia="Times New Roman" w:hAnsi="Times New Roman"/>
          <w:sz w:val="18"/>
          <w:szCs w:val="18"/>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months ending September 30, 2018 that were financed by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three months ending September 30, 2018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Service</w:t>
            </w:r>
          </w:p>
        </w:tc>
        <w:tc>
          <w:tcPr>
            <w:tcW w:w="120" w:type="dxa"/>
            <w:vAlign w:val="bottom"/>
          </w:tcPr>
          <w:p>
            <w:pPr>
              <w:spacing w:after="0"/>
              <w:rPr>
                <w:sz w:val="18"/>
                <w:szCs w:val="18"/>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Deposit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Charges</w:t>
            </w:r>
          </w:p>
        </w:tc>
        <w:tc>
          <w:tcPr>
            <w:tcW w:w="120" w:type="dxa"/>
            <w:vAlign w:val="bottom"/>
          </w:tcPr>
          <w:p>
            <w:pPr>
              <w:spacing w:after="0"/>
              <w:rPr>
                <w:sz w:val="18"/>
                <w:szCs w:val="18"/>
                <w:color w:val="auto"/>
              </w:rPr>
            </w:pP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Interchange</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 Deposits</w:t>
            </w:r>
          </w:p>
        </w:tc>
        <w:tc>
          <w:tcPr>
            <w:tcW w:w="120" w:type="dxa"/>
            <w:vAlign w:val="bottom"/>
          </w:tcPr>
          <w:p>
            <w:pPr>
              <w:spacing w:after="0"/>
              <w:rPr>
                <w:sz w:val="20"/>
                <w:szCs w:val="20"/>
                <w:color w:val="auto"/>
              </w:rPr>
            </w:pP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Income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Overdraft fees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ATM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Overdraft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ATM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727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6,892</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740" w:type="dxa"/>
            <w:vAlign w:val="bottom"/>
            <w:gridSpan w:val="18"/>
          </w:tcPr>
          <w:p>
            <w:pPr>
              <w:jc w:val="center"/>
              <w:ind w:left="970"/>
              <w:spacing w:after="0"/>
              <w:rPr>
                <w:sz w:val="20"/>
                <w:szCs w:val="20"/>
                <w:color w:val="auto"/>
              </w:rPr>
            </w:pPr>
            <w:r>
              <w:rPr>
                <w:rFonts w:ascii="Times New Roman" w:cs="Times New Roman" w:eastAsia="Times New Roman" w:hAnsi="Times New Roman"/>
                <w:sz w:val="18"/>
                <w:szCs w:val="18"/>
                <w:color w:val="auto"/>
                <w:w w:val="99"/>
              </w:rPr>
              <w:t>NOTES TO INTERIM CONDENSED CONSOLIDATED FINANCIAL STATEMENTS (continued)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nine months ending September 30, 2018 follows: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Service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Deposit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Charges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Interchange</w:t>
            </w:r>
          </w:p>
        </w:tc>
        <w:tc>
          <w:tcPr>
            <w:tcW w:w="14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on Deposits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Commissions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4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Retail</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Overdraft fees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ATM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Overdraft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service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ATM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920" w:type="dxa"/>
            <w:vAlign w:val="bottom"/>
            <w:gridSpan w:val="5"/>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Reconciliation to Condensed Consolidated Statement of 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OF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 xml:space="preserve">INANCIAL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 xml:space="preserve">ONDITION AND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 xml:space="preserve">ESULTS OF </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PERATIONS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following section presents additional information to assess the financial condition and results of operations of Independent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Condensed Consolidated Financial Statements. We also encourage you to read our 2017 Annual Report on Form 10-K filed with the U.S. Securities and Exchange Commission ("SEC"). That report includes a list of risk factors that you should consider in connection with any decision to buy or sell our securities.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Overview</w:t>
      </w:r>
      <w:r>
        <w:rPr>
          <w:rFonts w:ascii="Times New Roman" w:cs="Times New Roman" w:eastAsia="Times New Roman" w:hAnsi="Times New Roman"/>
          <w:sz w:val="18"/>
          <w:szCs w:val="18"/>
          <w:color w:val="auto"/>
        </w:rPr>
        <w:t>. We provide banking services to customers located primarily in Michigan’s Lower Peninsula. As a result, our success depends to a great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economic conditions in Michigan’s Lower Peninsula. At times, we have experienced a difficult economy in Michigan. Economic conditions in Michigan began to show signs of improvement during 2010. Generally, these improvements have continued into 2018, albeit at an uneven pace.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Recent Developments</w:t>
      </w:r>
      <w:r>
        <w:rPr>
          <w:rFonts w:ascii="Times New Roman" w:cs="Times New Roman" w:eastAsia="Times New Roman" w:hAnsi="Times New Roman"/>
          <w:sz w:val="18"/>
          <w:szCs w:val="18"/>
          <w:color w:val="auto"/>
        </w:rPr>
        <w:t>. On December 22, 2017, "H.R. 1" (also known as the "Tax Cuts and Jobs Act") was signed into law. H.R. 1, among 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the federal corporate income tax rate to 21% effective January 1, 2018. As a result, we concluded that our deferred tax assets, net (“DTA”) had to be remeasured. Our DTA represents expected corporate tax benefits anticipated to be realized in the future. The reduction in the federal corporate income tax rate reduces these anticipated future benefits. The remeasurement of our DTA at December 31, 2017 resulted in a reduction of these net assets and a corresponding increase in income tax expense of $6.0 million that was recorded in the fourth quarter of 2017.</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paid aggregate Merger consideration of approximately $64.5 million in IBCP common stock or stock options for all of the shares of TCSB common stock and TCSB stock options issued and outstanding immediately before the effective time of the Merger. Based on a preliminary valuation of the assets acquired and liabilities assumed in the Merger, we initially recorded: $29.0 million of goodwill, a core deposit intangible (“CDI”) of $5.8 million, discounts of $6.5 million, $0.4 million and $1.5 million on loans, time deposits and borrowings, respectively, and a $0.5 million write-down of property and equipment. In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 The goodwill will be periodically tested for impairment and the CDI will be amortized over a ten year period ($0.2 million and $0.4 million of amortization for this CDI was recorded in the third quarter and first nine months of 2018, respectively). The discounts will be accreted based on the lives of the related assets or liabilities. On or before March 31, 2019, we will finalize the valuation of the assets acquired and liabilities assumed in the Merger and record and disclose any additional adjustments to the preliminary valuation.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7" w:name="page68"/>
    <w:bookmarkEnd w:id="6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On July 2, 2013, the Federal Reserve Board approved a final rule that establishes an integrated regulatory capital framework (the "New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ratably over a four-year period that began in 2016. In 2018, 1.875% is being added to the minimum ratio for adequately capitalized institutions. To avoid limits on capital distributions and certain discretionary bonus payments we must meet the minimum ratio for adequately capitalized institutions plus the phased in buffer (now 6.375% in 2018).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As of September 30, 2018 and December 31, 2017 we exceeded all of the capital ratio requirements of the New Capital Rules.</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the third quarter and first nine months of 2018 as compared to 2017.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PERATIONS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We recorded net income of $11.9 million and $6.9 million, respectively, during the three months ended September 30, 2018 and 2017.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2018 third quarter results as compared to 2017 reflects increases in net interest income and non-interest income as well as decreases in the provision for loan losses and income tax expense that were partially offset by an increase in non-interest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income of $29.9 million and $18.8 million, respectively, during the nine months ended September 30, 2018 and 2017. The increase in 2018 year-to-date results as compared to 2017 is due to increases in net interest income and non-interest income as well as a decrease in income tax expense that were partially offset by increases in the provision for loan losses and in non-interest expense.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(annualized) to</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Average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Average common shareholders’ equity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spacing w:after="0"/>
              <w:rPr>
                <w:sz w:val="20"/>
                <w:szCs w:val="20"/>
                <w:color w:val="auto"/>
              </w:rPr>
            </w:pP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or interest-rate risk, in particular, can adversely impact our net interest income.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totaled $29.7 million during the third quarter of 2018, an increase of $6.8 million, or 29.6% from the year-ago period. This increase primarily reflects a $516.2 million increase in average interest-earning assets as well as a 25 basis point increase in our tax equivalent net interest income as a percent of average interest-earning assets (the “net interest margin”).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first nine months of 2018, net interest income totaled $82.6 million, an increase of $16.7 million, or 25.4% from 2017. This increase primarily reflects a $433.5 million increase in average interest-earning assets as well as a 21 basis point increase in our net interest margin.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fees on loans for the third quarter and first nine months of 2018 include $0.6 million and $1.2 million, respectively, of accretion of the discount recorded on loans acquired in the Merger.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average interest-earning assets primarily reflects loan growth utilizing funds from increases in deposits and borrowed funds as well as the impact of the Merger. The increase in the net interest margin reflects a change in the mix of average-interest earning assets (higher percentage of loans), increases in short-term market interest rates and the impact of the Merger.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interest income is also adversely impacted by our level of non-accrual loans. In the third quarter and first nine months of 2018 non-accrual loans averaged $9.2 million and $8.1 million, respectively, compared to $8.6 million and $9.7 million, respectively for the same periods in 2017. In addition, in the third quarter and first nine months of 2018 we had net (charge-offs)/recoveries of $(0.01) million and $0.35 million, respectively, of unpaid interest on loans placed on or taken off non-accrual during each period or on loans previously charged-off compared to net recoveries of $0.28 million and $0.90 million, respectively, during the same periods in 2017.</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2,543,712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30,936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21,801</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6,590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379,985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474,901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2,765</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62,964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90,645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0.95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17,493</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3,038,221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2,522,060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25,659</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35,874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1,241,868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664,098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2,753</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531,226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4,755</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0.95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2,459</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884,003</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736,291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34,697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31,263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341,998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23,200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9"/>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8"/>
              </w:rPr>
              <w:t>3.66%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 in 2018 and 35% in 2017.</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0"/>
                <w:szCs w:val="20"/>
                <w:color w:val="auto"/>
              </w:rPr>
            </w:pPr>
          </w:p>
        </w:tc>
        <w:tc>
          <w:tcPr>
            <w:tcW w:w="276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30"/>
                <w:szCs w:val="30"/>
                <w:color w:val="auto"/>
                <w:vertAlign w:val="superscript"/>
              </w:rPr>
              <w:t>(2)</w:t>
            </w:r>
          </w:p>
        </w:tc>
        <w:tc>
          <w:tcPr>
            <w:tcW w:w="18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Interest</w:t>
            </w: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Interest</w:t>
            </w: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83,881</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61,544</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securities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400,957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8,092</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70,155</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85,853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29,502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0.97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16,457</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2,873,175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94,736</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2,439,683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33,204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interest- bearing checking</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611,103</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6,687</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494,219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3,747</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1400" w:type="dxa"/>
            <w:vAlign w:val="bottom"/>
            <w:tcBorders>
              <w:right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1,659</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1,886,744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11,739</w:t>
            </w: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6,413</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833,283</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717,589</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32,177</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82,997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66,707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9"/>
              </w:rPr>
              <w:t>Net Interest Income as a Percent of 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 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8"/>
              </w:rPr>
              <w:t>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 in 2018 and 35% in 2017.</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510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Interest Margin, Fully Taxable Equivalent ("FTE")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22,912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82,613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29,820</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(GAAP) </w:t>
            </w:r>
            <w:r>
              <w:rPr>
                <w:rFonts w:ascii="Times New Roman" w:cs="Times New Roman" w:eastAsia="Times New Roman" w:hAnsi="Times New Roman"/>
                <w:sz w:val="24"/>
                <w:szCs w:val="24"/>
                <w:color w:val="auto"/>
                <w:vertAlign w:val="superscript"/>
              </w:rPr>
              <w:t>(1)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interest margin (FTE)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Annualized</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Provision for loan losses. </w:t>
      </w:r>
      <w:r>
        <w:rPr>
          <w:rFonts w:ascii="Times New Roman" w:cs="Times New Roman" w:eastAsia="Times New Roman" w:hAnsi="Times New Roman"/>
          <w:sz w:val="18"/>
          <w:szCs w:val="18"/>
          <w:color w:val="auto"/>
        </w:rPr>
        <w:t>The provision for loan losses was a credit of $0.1 million and an expense $0.6 million during the three months ended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2018 and 2017, respectively. During the nine-month periods ended September 30, 2018 and 2017, the provision was an expense of $0.9 million and $0.8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third quarter and first nine months of 2018.</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$11.8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third quarter of 2018 compared to $10.3 million in 2017. For the first nine months of 2018 non-interest income totaled $35.9 million compared to $31.1 million for the first nine months of 2017. We adopted Financial Accounting Standards Board Accounting Standards Update 2014-09 “Revenue from Contracts with Customers (Topic 606)” (“ASU 2014-09”) on January 1, 2018, using the modified retrospective method. Although ASU 2014-09 did not have any impact on our January 1, 2018 shareholders’ equity or third quarter and year-to-date 2018 net income, it did result in a classification change in non-interest income and non-interest expense as compared to the prior year period. Specifically, in the third quarter and first nine months of 2018, interchange income and interchange expense each increased by $0.4 million and $1.1 million, respectively, due to classification changes under ASU 2014-09 (also see notes #2 and #17 to the Condensed Consolidated Financial Statements included within this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non-interest income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0" w:type="dxa"/>
            <w:vAlign w:val="bottom"/>
          </w:tcPr>
          <w:p>
            <w:pPr>
              <w:spacing w:after="0"/>
              <w:rPr>
                <w:sz w:val="24"/>
                <w:szCs w:val="24"/>
                <w:color w:val="auto"/>
              </w:rPr>
            </w:pPr>
          </w:p>
        </w:tc>
        <w:tc>
          <w:tcPr>
            <w:tcW w:w="22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37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Pr>
          <w:p>
            <w:pPr>
              <w:spacing w:after="0"/>
              <w:rPr>
                <w:sz w:val="18"/>
                <w:szCs w:val="18"/>
                <w:color w:val="auto"/>
              </w:rPr>
            </w:pPr>
          </w:p>
        </w:tc>
        <w:tc>
          <w:tcPr>
            <w:tcW w:w="220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1"/>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3,281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9,465</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Interchange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1,942</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5,869</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2,971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8,886</w:t>
            </w:r>
          </w:p>
        </w:tc>
      </w:tr>
      <w:tr>
        <w:trPr>
          <w:trHeight w:val="21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283</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w:t>
            </w: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10,304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35,864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31,089</w:t>
            </w:r>
          </w:p>
        </w:tc>
      </w:tr>
      <w:tr>
        <w:trPr>
          <w:trHeight w:val="21"/>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decreased on both a comparative quarterly and year-to-date basis in 2018 as compared to 2017. These decreases were principally due to lower service charges on commercial accounts (due primarily to higher earnings credits) and a decrease in non-sufficient funds occurrences.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Interchange income increased on both a comparative quarterly and year-to-date basis in 2018 as compared to 2017 due primarily to the aforementioned impact of ASU 2014-09.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on mortgage loans decreased on both a quarterly and a year to date basis. Mortgage loan activity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September 30,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20"/>
                <w:szCs w:val="20"/>
                <w:color w:val="auto"/>
              </w:rPr>
            </w:pPr>
          </w:p>
        </w:tc>
      </w:tr>
      <w:tr>
        <w:trPr>
          <w:trHeight w:val="216"/>
        </w:trPr>
        <w:tc>
          <w:tcPr>
            <w:tcW w:w="5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originated</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231,849</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617,080</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657,345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sold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148,730</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370,372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305,386</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8,886</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mortgage loans originated is due primarily to higher interest rates suppressing refinance volumes. Mortgage loans sold increased due to a higher mix of salable loans in our origination volumes. Net gains on mortgage loans decreased in 2018 as compared to 2017 due to a lower Loan Sales Margin as discussed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the Loan Sales Margin would have been 2.11% and 2.68% in the third quarters of 2018 and 2017, respectively and 2.21% and 2.83% for the comparative 2018 and 2017 year-to-date periods, respectively. The decrease in the Loan Sales Margin (excluding fair value adjustments) in 2018 was generally due to a narrowing of primary-to-secondary market pricing spreads due to competitive factors throughout the mortgage banking industry (generally higher mortgage loan interest rates and a decline in refinance volume). The changes in the fair value accounting adjustments are primarily due to changes in the amount of commitments to originate mortgage loans for sale.</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gains (losses) on securities were relatively nominal for all of the periods presented. We recorded no net impairment losses in either 2018 or 2017 for other than temporary impairment of securities available for sale. (See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 servicing, net, generated income of $1.2 million and $0.001 million in the third quarters of 2018 and 2017, respectively. For the first nine months of 2018, mortgage loan servicing, net, generated income of $4.7 million as compared to income of $0.7 million in 2017. This activity is summarized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9/30/2018</w:t>
            </w:r>
          </w:p>
        </w:tc>
        <w:tc>
          <w:tcPr>
            <w:tcW w:w="136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9/30/2017</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9/30/2018</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9/30/2017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6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net</w:t>
            </w:r>
          </w:p>
        </w:tc>
        <w:tc>
          <w:tcPr>
            <w:tcW w:w="2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1,410</w:t>
            </w:r>
          </w:p>
        </w:tc>
        <w:tc>
          <w:tcPr>
            <w:tcW w:w="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7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1,212</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1"/>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14,515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15,699</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13,671</w:t>
            </w:r>
          </w:p>
        </w:tc>
      </w:tr>
      <w:tr>
        <w:trPr>
          <w:trHeight w:val="223"/>
        </w:trPr>
        <w:tc>
          <w:tcPr>
            <w:tcW w:w="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accounting</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 as adjusted</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Servicing rights acquired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r>
      <w:tr>
        <w:trPr>
          <w:trHeight w:val="223"/>
        </w:trPr>
        <w:tc>
          <w:tcPr>
            <w:tcW w:w="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2018 we were servicing approximately $2.28 billion in mortgage loans for others on which servicing rights have been capitalized. This servicing portfolio had a weighted average coupon rate of 4.20% and a weighted average service fee of approximately 25.8 basis points. Capitalized mortgage loan servicing rights at September 30, 2018 totaled $23.2 million, representing approximately 101.4 basis points on the related amount of mortgage loans serviced for others.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and insurance commissions represent revenues generated on the sale or management of investments and insurance for our customers. These revenues declined on both a quarterly and year-to-date basis in 2018 as compared to 2017 due primarily to reduced product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bank owned life insurance declined on both a comparative quarterly and year-to-date basis in 2018 compared to 2017 reflecting a lower crediting rate on our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$54.8 million and $54.6 million at September 30, 2018 and December 31, 2017,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non-interest income increased on both a comparative quarterly and year-to-date basis in 2018 compared to 2017, due primarily to increases in a variety of categories including: merchant processing, credit card related fees and earnings from limited partnerships (small business investment company and community/housing related investment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increased by $4.1 million to $26.7 million and by $11.7 million to $80.6 million during the three- and nine-month periods ended September 30, 2018, respectively, compared to the same periods in 2017. Many of our components of non-interest expense increased in 2018 due to the TCSB Merger.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non-interest expense are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4"/>
                <w:szCs w:val="24"/>
                <w:color w:val="auto"/>
              </w:rPr>
            </w:pPr>
          </w:p>
        </w:tc>
        <w:tc>
          <w:tcPr>
            <w:tcW w:w="22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3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2017</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4"/>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1"/>
              </w:rPr>
              <w:t>thousands)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8,494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28,086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26,872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2,688</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6,819</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7,413</w:t>
            </w: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41,104</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1,796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5,670</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related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961</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Interchange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and collection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FDIC deposit insurance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and bank service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(recoveries) related to unfunded lending commitments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3,454</w:t>
            </w:r>
          </w:p>
        </w:tc>
      </w:tr>
      <w:tr>
        <w:trPr>
          <w:trHeight w:val="27"/>
        </w:trPr>
        <w:tc>
          <w:tcPr>
            <w:tcW w:w="32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22,616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80,636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68,946</w:t>
            </w:r>
          </w:p>
        </w:tc>
      </w:tr>
      <w:tr>
        <w:trPr>
          <w:trHeight w:val="21"/>
        </w:trPr>
        <w:tc>
          <w:tcPr>
            <w:tcW w:w="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and employee benefits expenses, in total, increased $2.6 million on a quarterly comparative basis and increased $5.4 million for the first nine months of 2018 compared to the same periods in 2017.</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increased by $1.1 million and $1.2 million in the third quarter and first nine months of 2018, respectively, compared to the same periods in 2017. The third quarter and year-over-year increases were primarily due to the TCSB Merger as well as annual compensation increases instituted at the start of the year. The increase on a year to date comparative basis was reduced because the first quarter of 2017 included some one-time compensation costs related to the expansion of our mortgage banking operations as well as a reduction in personnel associated with the sale of our payment plan processing business (Mepco Finance Corporation) in May 2017.</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compensation increased by $0.6 million and $2.4 million in the third quarter and first nine months of 2018, respectively, versus the same periods in 2017, due primarily to relative comparative changes in the accrual for anticipated incentive compensation based on our estimated full-year performance as compared to goals. In addition, we introduced a new incentive compensation plan for hourly employees in 2018 that increased performance-based compensation.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6" w:name="page77"/>
    <w:bookmarkEnd w:id="7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Payroll taxes and employee benefits increased by $0.9 million and $1.8 million in the third quarter and first nine months of 2018, respectively, compared to the same periods in 2017, due primarily to increases in payroll taxes (due to the aforementioned increases in compensation), higher health care costs (due to increased claims in 2018 some of which may be reimbursed prior to year end from a stop-loss reinsurance policy) and higher 401(k) plan costs (due to an increase in the employer match percentage).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Occupancy, net, increased by $0.3 million and $0.6 million in the third quarter and first nine months of 2018, respectively, compared to the same periods in 2017, principally due to additional locations acquired in the TCSB Merger and additional loan production offices opened during 2017.</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Data processing expenses increased by $0.3 million and $0.5 million for the third quarter and first nine months of 2018, respectively, compared to the same periods in 2017. The third quarter and year-to-date 2018 increases are primarily due to the TCSB Merger. We completed the conversion of TCSB loan and deposit accounts onto our core systems in June 2018.</w:t>
      </w:r>
    </w:p>
    <w:p>
      <w:pPr>
        <w:spacing w:after="0" w:line="20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Merger related expenses totaled $0.1 million and $3.4 million for the third quarter and first nine months of 2018, respectively. These expenses include our investment banking fees, certain accounting and legal costs, various contract termination fees, data processing conversion costs, payments made on officer change-in-control contracts, and employee severance costs. We do not expect to have any remaining TCSB Merger related expenses after the third quarter of 2018.</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Furniture, fixtures and equipment, communications, advertising, legal and professional and supplies expenses were relatively comparable on both a quarterly and year-to-date basis in 2018 as compared to 2017.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Interchange expense primarily represents our third-party cost to process debit card transactions. This cost increased in 2018 on both a comparative quarterly and year-to-date basis due primarily to the impact of the implementation of ASU 2014-09 on January 1, 2018. Prior to the first quarter of 2018, certain processing costs were being netted against interchange income. As described above, under ASU 2014-09 these costs are no longer being netted against interchange income but instead are being reported as part of interchange expense.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and collection expenses reflect costs related to new lending activity as well as the management and collection of non-performing loans and other problem credits. The year-to-date comparative increase is primarily because the first quarter of 2017 included a $0.2 million reimbursement of previously incurred expenses related to the resolution and payoff of a non-accrual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FDIC deposit insurance expense increased in 2018 on both a comparative quarterly and year-to-date basis due primarily to our increase in total assets.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amortization of intangible assets relates to the TCSB Merger and prior branch acquisitions and the amortization of the deposit customer relationship value, including core deposit value, which was acquired in connection with those acquisitions. We had remaining unamortized intangible assets of $6.7 million and $1.6 million at September 30, 2018 and December 31, 2017, respectively. See note #7 to the Condensed Consolidated Financial Statements for a schedule of future amortization of intangible assets.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7" w:name="page78"/>
    <w:bookmarkEnd w:id="7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card and bank service fees decreased in 2018 on a comparative year-to-date basis primarily due to the sale of our payment plan processing business in May 2017.</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for loss reimbursement on sold loans was an expense of $0.05 million and $0.08 million in the third quarter and first nine months of 2018, respectively, compared to an expense of $0.02 million and $0.07 million in the third quarter and first nine months of 2017, respectively. This provision represents our estimate of incurred losses related to mortgage loans that we have sold to investors (primarily Fannie Mae, Freddie Mac, Ginnie Mae and the Federal Home Loan Bank of Indianapolis). The small expense provisions in 2018 and 2017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$0.85 million and $0.67 million at September 30, 2018 and December 31, 2017, respectively. This reserve is included in accrued expenses and other liabilities in our Condensed Consolidated Statements of Financial Condition.</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non-interest expenses increased in 2018 on both a comparative quarterly and year-to-date basis due primarily to increases in several categories of expenses (directors’ fees, travel and entertainment, certain state franchise taxes, and deposit account/debit card fraud).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We recorded an income tax expense of $2.9 million and $7.0 million in the third quarter and the first nine months of 2018,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compares to an income tax expense of $3.2 million and $8.4 million in the third quarter and the first nine months of 2017, respectively. As described earlier under “Recent Developments” our statutory federal corporate income tax rate was reduced to 21% (from 35%) effective on January 1, 2018.</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2018 and 2017 and at December 31, 2017, that the realization of substantially all of our deferred tax assets continues to be more likely than not.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8" w:name="page79"/>
    <w:bookmarkEnd w:id="7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Our total assets increased by $507.8 million during the first nine months of 2018 reflecting the TCSB Merger and organic loan growth.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loans and deposits acquired in the TCSB Merger were approximately $343.5 million, $295.8 million (including $1.3 million of loans held for sale) and $287.7 million, respectively.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excluding loans held for sale ("Portfolio Loans"), totaled $2.56 billion at September 30, 2018, an increase of $543.8 million, or 26.9%, from December 31, 2017. (See "Portfolio Loans and asset quality.")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totaled $2.80 billion at September 30, 2018, compared to $2.40 billion at December 31, 2017. The $398.1 million increase in total deposits during the period is primarily due to the TCSB Merger and growth in reciprocal deposits and brokered time deposits.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We believe that we have the ability to hold securities with unrealized losses to maturity or until such time as the unrealized losses reverse. (See “Asset/liability management.”)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color w:val="auto"/>
              </w:rPr>
              <w:t>Unrealized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2018</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1,602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2017</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3,197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available for sale declined $86.0 million during the first nine months of 2018 primarily to fund growth in Portfolio Loans.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of the first nine months of 2018 or 2017.</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55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of securities were as follows (See “Non-interest income.”):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w w:val="79"/>
              </w:rPr>
              <w:t>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vMerge w:val="restart"/>
          </w:tcPr>
          <w:p>
            <w:pPr>
              <w:spacing w:after="0"/>
              <w:rPr>
                <w:sz w:val="17"/>
                <w:szCs w:val="17"/>
                <w:color w:val="auto"/>
              </w:rPr>
            </w:pPr>
          </w:p>
        </w:tc>
        <w:tc>
          <w:tcPr>
            <w:tcW w:w="198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1980" w:type="dxa"/>
            <w:vAlign w:val="bottom"/>
            <w:vMerge w:val="continue"/>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(1)</w:t>
            </w:r>
          </w:p>
        </w:tc>
        <w:tc>
          <w:tcPr>
            <w:tcW w:w="11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31,445</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1980" w:type="dxa"/>
            <w:vAlign w:val="bottom"/>
            <w:vMerge w:val="restart"/>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gains (2)</w:t>
            </w:r>
          </w:p>
        </w:tc>
        <w:tc>
          <w:tcPr>
            <w:tcW w:w="11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losses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impairment charges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gains (losses)</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includes $0.760 million for trades that did not settle until after September 30, 2017.</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gains include $0.144 million from the sale of 1,000 VISA Class B shares.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 In March 2018 and July 2018, we sold $16.5 million and $11.1 million, respectively of single-family residential fixed and adjustable rate mortgage loans servicing retained to another financial institution. These mortgage loans were all on properties located in Ohio and were sold primarily for asset/liability management purposes.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8080" w:type="dxa"/>
            <w:vAlign w:val="bottom"/>
            <w:gridSpan w:val="4"/>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our Portfolio Loans follows: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Real estate(1)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8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672,592</w:t>
            </w:r>
          </w:p>
        </w:tc>
        <w:tc>
          <w:tcPr>
            <w:tcW w:w="0" w:type="dxa"/>
            <w:vAlign w:val="bottom"/>
          </w:tcPr>
          <w:p>
            <w:pPr>
              <w:spacing w:after="0"/>
              <w:rPr>
                <w:sz w:val="1"/>
                <w:szCs w:val="1"/>
                <w:color w:val="auto"/>
              </w:rPr>
            </w:pPr>
          </w:p>
        </w:tc>
      </w:tr>
      <w:tr>
        <w:trPr>
          <w:trHeight w:val="216"/>
        </w:trPr>
        <w:tc>
          <w:tcPr>
            <w:tcW w:w="8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175,426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136,560</w:t>
            </w:r>
          </w:p>
        </w:tc>
        <w:tc>
          <w:tcPr>
            <w:tcW w:w="0" w:type="dxa"/>
            <w:vAlign w:val="bottom"/>
          </w:tcPr>
          <w:p>
            <w:pPr>
              <w:spacing w:after="0"/>
              <w:rPr>
                <w:sz w:val="1"/>
                <w:szCs w:val="1"/>
                <w:color w:val="auto"/>
              </w:rPr>
            </w:pPr>
          </w:p>
        </w:tc>
      </w:tr>
      <w:tr>
        <w:trPr>
          <w:trHeight w:val="216"/>
        </w:trPr>
        <w:tc>
          <w:tcPr>
            <w:tcW w:w="80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143,188</w:t>
            </w:r>
          </w:p>
        </w:tc>
        <w:tc>
          <w:tcPr>
            <w:tcW w:w="0" w:type="dxa"/>
            <w:vAlign w:val="bottom"/>
          </w:tcPr>
          <w:p>
            <w:pPr>
              <w:spacing w:after="0"/>
              <w:rPr>
                <w:sz w:val="1"/>
                <w:szCs w:val="1"/>
                <w:color w:val="auto"/>
              </w:rPr>
            </w:pPr>
          </w:p>
        </w:tc>
      </w:tr>
      <w:tr>
        <w:trPr>
          <w:trHeight w:val="216"/>
        </w:trPr>
        <w:tc>
          <w:tcPr>
            <w:tcW w:w="8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701,711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538,880</w:t>
            </w:r>
          </w:p>
        </w:tc>
        <w:tc>
          <w:tcPr>
            <w:tcW w:w="0" w:type="dxa"/>
            <w:vAlign w:val="bottom"/>
          </w:tcPr>
          <w:p>
            <w:pPr>
              <w:spacing w:after="0"/>
              <w:rPr>
                <w:sz w:val="1"/>
                <w:szCs w:val="1"/>
                <w:color w:val="auto"/>
              </w:rPr>
            </w:pPr>
          </w:p>
        </w:tc>
      </w:tr>
      <w:tr>
        <w:trPr>
          <w:trHeight w:val="216"/>
        </w:trPr>
        <w:tc>
          <w:tcPr>
            <w:tcW w:w="8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377,451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291,091</w:t>
            </w:r>
          </w:p>
        </w:tc>
        <w:tc>
          <w:tcPr>
            <w:tcW w:w="0" w:type="dxa"/>
            <w:vAlign w:val="bottom"/>
          </w:tcPr>
          <w:p>
            <w:pPr>
              <w:spacing w:after="0"/>
              <w:rPr>
                <w:sz w:val="1"/>
                <w:szCs w:val="1"/>
                <w:color w:val="auto"/>
              </w:rPr>
            </w:pPr>
          </w:p>
        </w:tc>
      </w:tr>
      <w:tr>
        <w:trPr>
          <w:trHeight w:val="216"/>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314,848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231,786</w:t>
            </w:r>
          </w:p>
        </w:tc>
        <w:tc>
          <w:tcPr>
            <w:tcW w:w="0" w:type="dxa"/>
            <w:vAlign w:val="bottom"/>
          </w:tcPr>
          <w:p>
            <w:pPr>
              <w:spacing w:after="0"/>
              <w:rPr>
                <w:sz w:val="1"/>
                <w:szCs w:val="1"/>
                <w:color w:val="auto"/>
              </w:rPr>
            </w:pPr>
          </w:p>
        </w:tc>
      </w:tr>
      <w:tr>
        <w:trPr>
          <w:trHeight w:val="216"/>
        </w:trPr>
        <w:tc>
          <w:tcPr>
            <w:tcW w:w="8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2,562,578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2,018,817</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both residential and non-residential commercial loans secured by real estate.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Includes loans secured by multi-family residential and non-farm, non-residential property.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320" w:type="dxa"/>
            <w:vAlign w:val="bottom"/>
          </w:tcPr>
          <w:p>
            <w:pPr>
              <w:spacing w:after="0"/>
              <w:rPr>
                <w:sz w:val="24"/>
                <w:szCs w:val="24"/>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Non-performing assets</w:t>
            </w:r>
            <w:r>
              <w:rPr>
                <w:rFonts w:ascii="Times New Roman" w:cs="Times New Roman" w:eastAsia="Times New Roman" w:hAnsi="Times New Roman"/>
                <w:sz w:val="30"/>
                <w:szCs w:val="30"/>
                <w:b w:val="1"/>
                <w:bCs w:val="1"/>
                <w:color w:val="auto"/>
                <w:vertAlign w:val="superscript"/>
              </w:rPr>
              <w:t>(1)</w:t>
            </w:r>
          </w:p>
        </w:tc>
        <w:tc>
          <w:tcPr>
            <w:tcW w:w="60" w:type="dxa"/>
            <w:vAlign w:val="bottom"/>
          </w:tcPr>
          <w:p>
            <w:pPr>
              <w:spacing w:after="0"/>
              <w:rPr>
                <w:sz w:val="24"/>
                <w:szCs w:val="24"/>
                <w:color w:val="auto"/>
              </w:rPr>
            </w:pP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24"/>
                <w:szCs w:val="24"/>
                <w:color w:val="auto"/>
              </w:rPr>
            </w:pPr>
          </w:p>
        </w:tc>
        <w:tc>
          <w:tcPr>
            <w:tcW w:w="1900" w:type="dxa"/>
            <w:vAlign w:val="bottom"/>
            <w:gridSpan w:val="8"/>
            <w:vMerge w:val="restart"/>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1420" w:type="dxa"/>
            <w:vAlign w:val="bottom"/>
            <w:gridSpan w:val="6"/>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1"/>
              </w:rPr>
              <w:t>in</w:t>
            </w:r>
          </w:p>
        </w:tc>
        <w:tc>
          <w:tcPr>
            <w:tcW w:w="7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2"/>
              </w:rPr>
              <w:t>thousands)</w:t>
            </w: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8,184</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8,184</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1,643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9,827</w:t>
            </w: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0.36%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loan losses as a percent of non-performing loans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261.17</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spacing w:after="0"/>
        <w:tabs>
          <w:tab w:leader="none" w:pos="80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7"/>
          <w:szCs w:val="17"/>
          <w:color w:val="auto"/>
        </w:rPr>
        <w:t>Excludes loans classified as “troubled debt restructured” that are not past due.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Troubled debt restructurings ("TDR")</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 2018</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Retail (1)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49,397</w:t>
            </w: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56,301</w:t>
            </w: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TDR's(2)</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2,799</w:t>
            </w:r>
            <w:r>
              <w:rPr>
                <w:rFonts w:ascii="Times New Roman" w:cs="Times New Roman" w:eastAsia="Times New Roman" w:hAnsi="Times New Roman"/>
                <w:sz w:val="25"/>
                <w:szCs w:val="25"/>
                <w:color w:val="auto"/>
                <w:vertAlign w:val="superscript"/>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3,011</w:t>
            </w:r>
          </w:p>
        </w:tc>
      </w:tr>
      <w:tr>
        <w:trPr>
          <w:trHeight w:val="257"/>
        </w:trPr>
        <w:tc>
          <w:tcPr>
            <w:tcW w:w="5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52,196</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3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2017</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Retail (1)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TDR's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52,367</w:t>
            </w: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60,115</w:t>
            </w: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Non-performing TDR's(2)</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4,506</w:t>
            </w:r>
            <w:r>
              <w:rPr>
                <w:rFonts w:ascii="Times New Roman" w:cs="Times New Roman" w:eastAsia="Times New Roman" w:hAnsi="Times New Roman"/>
                <w:sz w:val="25"/>
                <w:szCs w:val="25"/>
                <w:color w:val="auto"/>
                <w:vertAlign w:val="superscript"/>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4,829</w:t>
            </w:r>
          </w:p>
        </w:tc>
      </w:tr>
      <w:tr>
        <w:trPr>
          <w:trHeight w:val="257"/>
        </w:trPr>
        <w:tc>
          <w:tcPr>
            <w:tcW w:w="5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56,873</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loans include mortgage and installment portfolio segments.</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non-performing loans table above.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loans on non-accrual at the time of modification until six payments are received on a timely basis.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increased by $1.2 million during the first nine months of 2018 due principally to an increase in non-performing commercial loans. The increase in non-performing commercial loans primarily reflects one relationship moving into non-accrual in the second quarter of 2018. Because of our collateral position, we do not expect any loss from the resolution of this loan relationship.</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Non-performing loans exclude performing loans that are classified as troubled debt restructurings (“TDRs”). Performing TDRs totaled $56.3 million, or 2.2% of total Portfolio Loans, and $60.1 million, or 3.0% of total Portfolio Loans, at September 30, 2018 and December 31, 2017, respectively. The decrease in the amount of performing TDRs in the first nine months of 2018 primarily reflects pay downs and payoffs.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real estate and repossessed assets totaled $1.4 million and $1.6 million at September 30, 2018 and December 31, 2017, respectively.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2" w:name="page83"/>
    <w:bookmarkEnd w:id="8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activity in and the allocation of the allowance for loan losses (“AFLL”).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156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Unfunded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gridSpan w:val="2"/>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22,587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(deductions)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included in non-interest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charged against the allowance to average Portfolio Loans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Loan Losses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Specific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6,102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adversely rated commercial loans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1,883</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loss allocations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7,665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8,751</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24,401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3" w:name="page84"/>
    <w:bookmarkEnd w:id="8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allowance for loan losses was brought forward on any of the TCSB acquired loans as any credit deterioration evident in the loans was included in the determination of the fair value of the loans at the acquisition date. An allowance for loan losses will be established for any subsequent credit deterioration or adverse changes in expected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loan losses increased $1.8 million to $24.4 million at September 30, 2018 from $22.6 million at December 31, 2017 and was equal to 0.95% (1.06% when excluding TCSB acquired loans) of total Portfolio Loans at September 30, 2018 compared to 1.12% at December 31, 2017.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Three of the four components of the allowance for loan losses outlined above increased in the first nine months of 2018. The allowance for loan losses related to specific loans decreased $0.7 million in 2018 due primarily to a decline in the balance of individually impaired loans and charge-offs. The allowance for loan losses related to other adversely rated commercial loans increased $0.7 million in 2018 primarily due to an increase in the balance of such loans included in this component to $37.5 million at September 30, 2018 from $27.2 million at December 31, 2017 and $23.2 million at September 30, 2017. The allowance for loan losses related to historical losses increased $0.5 million during 2018 due principally to loan growth. The allowance for loan losses related to subjective factors increased $1.4 million during 2018 primarily due to loan growth.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4" w:name="page85"/>
    <w:bookmarkEnd w:id="8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Three of the four components of the allowance for loan losses outlined above also increased in the first nine months of 2017. The allowance for loan losses related to specific loans decreased $2.1 million in 2017 due primarily to a decline in the balance of individually impaired loans as well as charge-offs. In particular, we received a full payoff in March 2017 on a commercial loan that had a specific reserve of $1.2 million at December 31, 2016. The allowance for loan losses related to other adversely rated commercial loans increased $0.3 million in 2017 primarily due to an increase in the balance of such loans included in this component to $23.2 million at September 30, 2017 from $11.8 million at December 31, 2016. The allowance for loan losses related to historical losses increased $1.6 million during 2017 due principally to slight upward adjustments in our probability of default and expected loss rates for commercial loans, an additional component of approximately $0.6 million added for loans secured by commercial real estate due primarily to emerging risks in this sector (such as retail store closings and potential overdevelopment in certain markets) and loan growth. We also extended our historical lookback period to be more representative of the probability of default and account for infrequent migration events and extremely low levels of watch credits. The allowance for loan losses related to subjective factors increased $1.4 million during 2017 primarily due to loan growth.</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Deposits and borrowings. </w:t>
      </w:r>
      <w:r>
        <w:rPr>
          <w:rFonts w:ascii="Times New Roman" w:cs="Times New Roman" w:eastAsia="Times New Roman" w:hAnsi="Times New Roman"/>
          <w:sz w:val="18"/>
          <w:szCs w:val="18"/>
          <w:color w:val="auto"/>
        </w:rPr>
        <w:t>Historically, the loyalty of our customer base has allowed us to price deposits competitively, contributing to a net interest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21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Deposits totaled $2.80 billion and $2.40 billion at September 30, 2018 and December 31, 2017, respectively. The $398.1 million increase in deposits in the first nine months of 2018 is primarily due to the TCSB Merger and growth in reciprocal deposits and brokered time deposits. Reciprocal deposits totaled $92.6 million and $51.0 million at September 30, 2018 and December 31, 2017, respectively. These deposits represent demand, money market and time deposits from our customers that have been placed through Promontory Interfinancial Network’s Insured Cash Sweep</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service and Certificate of Deposit Account Registry Service</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These services allow our customers to access multi-million dollar FDIC deposit insurance on deposit balances greater than the standard FDIC insurance maximum.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At September 30, 2018, we had approximately $650.0 million of uninsured deposits. A reduction in core deposits would likely increase our need to rely on wholesale funding sources.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5" w:name="page86"/>
    <w:bookmarkEnd w:id="8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time deposits to fund a portion of our interest-earning assets. The use of such alternate sources of funds supplements our core deposits and is also an integral part of our asset/liability management efforts.</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borrowings, comprised primarily of federal funds purchased and advances from the FHLB, totaled $79.7 million and $54.6 million at September 30, 2018 and December 31, 2017,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we utilize wholesale funding, including FHLB borrowings and brokered time deposits to augment our core deposits and fund a portion of our assets. At September 30, 2018, our use of such wholesale funding sources (including reciprocal deposits) amounted to approximately $380.4 million, or 13.2%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employed derivative financial instruments to manage our exposure to changes in interest rates. During the first nine months of 2018 and 2017, we entered into $16.6 million and $14.6 million (aggregate notional amounts), respectively, of interest rate swaps with commercial loan customers, which were offset with interest rate swaps that the Bank entered into with a broker-dealer. We recorded $0.4 million and $0.2 million of fee income related to these transactions during the first nine months of 2018 and 2017, respectively. See note #6 to the Condensed Consolidated Financial Statements included within this report for more information on our derivative financial instruments.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federal funds purchased borrowing facilities with other banks, and access to the capital markets (for Brokered CDs).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6" w:name="page87"/>
    <w:bookmarkEnd w:id="8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2018, we had $506.9 million of time deposits that mature in the next 12 months. Historically, a majority of these maturing time deposits are renewed by our customers. Additionally, $2.14 billion of our deposits at September 30, 2018,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$33.0 million as of September 30, 2018 provides sufficient liquidity resources at the parent company to meet operating expenses, to make interest payments on the subordinated debentures and to pay a cash dividend on our common stock for the foreseeable future.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46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35,569</w:t>
            </w: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4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324,986</w:t>
            </w: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(54,054)</w:t>
            </w: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(5,999)</w:t>
            </w: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4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345,204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capitalization</w:t>
            </w:r>
          </w:p>
        </w:tc>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20" w:type="dxa"/>
            <w:vAlign w:val="bottom"/>
          </w:tcPr>
          <w:p>
            <w:pPr>
              <w:jc w:val="right"/>
              <w:ind w:right="2959"/>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6" w:right="239" w:bottom="1440" w:gutter="0" w:footer="0" w:header="0"/>
        </w:sectPr>
      </w:pPr>
    </w:p>
    <w:bookmarkStart w:id="87" w:name="page88"/>
    <w:bookmarkEnd w:id="8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four special purpose entities with $38.1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TCSB Merger we acquired TCSB Statutory Trust I (a statutory business trust formed solely to issue capital securities) and assumed approximately $5.2 million of subordinated debentures that had a fair value of approximately $3.8 million on April 1, 2018. The trust preferred securities issued by TCSB Statutory Trust I mature in March 2035. The discount recorded on these subordinated debentures is being accreted over their remaining life.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2018 and December 31, 2017.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Common shareholders’ equity increased to $345.2 million at September 30, 2018 from $264.9 million at December 31, 2017 due primarily to shares issued in the TCSB Merger and our net income that was partially offset by an increase in our accumulated other comprehensive loss and by dividends that we paid. Our tangible common equity (“TCE”) totaled $310.2 million and $263.3 million, respectively, at those same dates. Our ratio of TCE to tangible assets was 9.51% and 9.45% at September 30, 2018 and December 31, 2017, respectively. TCE and the ratio of TCE to tangible assets are non-GAAP measures. TCE represents total common equity less intangible assets.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2018, our Board of Directors authorized a share repurchase plan. Under the terms of the 2018 share repurchase plan, we are authorized to buy back up to 5% of our outstanding common stock. This repurchase plan is authorized to last through December 31, 2018. We did not repurchase any shares during the first nine months of 2018.</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quarterly cash dividend on our common stock. These dividends totaled $0.15 per share and $0.10 per share in the third quarters of 2018 and 2017, respectively. We generally favor a dividend payout ratio between 30% and 50% of net income.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2018 and December 31, 2017, our Bank (and holding company) continued to meet the requirements to be considered “well-capitalized” under federal regulatory standards (also see note #10 to the Condensed Consolidated Financial Statements included within this report).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8" w:name="page89"/>
    <w:bookmarkEnd w:id="8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586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Market Value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Of Portfolio</w:t>
            </w: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Percent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Net Interest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Equity(1)</w:t>
            </w:r>
          </w:p>
        </w:tc>
        <w:tc>
          <w:tcPr>
            <w:tcW w:w="1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Income(2)</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5"/>
              </w:rPr>
              <w:t>in</w:t>
            </w: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30,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340" w:type="dxa"/>
            <w:vAlign w:val="bottom"/>
            <w:vMerge w:val="continue"/>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474,800</w:t>
            </w:r>
          </w:p>
        </w:tc>
        <w:tc>
          <w:tcPr>
            <w:tcW w:w="1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489,900</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496,300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486,100</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409,200</w:t>
            </w:r>
          </w:p>
        </w:tc>
        <w:tc>
          <w:tcPr>
            <w:tcW w:w="1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rise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417,100</w:t>
            </w:r>
          </w:p>
        </w:tc>
        <w:tc>
          <w:tcPr>
            <w:tcW w:w="1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98,600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Base-rate scenario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96,900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decline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386,400</w:t>
            </w: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89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340" w:hanging="332"/>
        <w:spacing w:after="0" w:line="257"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update. </w:t>
      </w:r>
      <w:r>
        <w:rPr>
          <w:rFonts w:ascii="Times New Roman" w:cs="Times New Roman" w:eastAsia="Times New Roman" w:hAnsi="Times New Roman"/>
          <w:sz w:val="18"/>
          <w:szCs w:val="18"/>
          <w:color w:val="auto"/>
        </w:rPr>
        <w:t>See note #2 to the Condensed Consolidated Financial Statements included elsewhere in this report for details on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accounting pronouncements and their impact on our financial statements.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valuation of financial instruments. </w:t>
      </w:r>
      <w:r>
        <w:rPr>
          <w:rFonts w:ascii="Times New Roman" w:cs="Times New Roman" w:eastAsia="Times New Roman" w:hAnsi="Times New Roman"/>
          <w:sz w:val="18"/>
          <w:szCs w:val="18"/>
          <w:color w:val="auto"/>
        </w:rPr>
        <w:t>Financial Accounting Standards Board (“FASB”) Accounting Standards Codification (“ASC”) topic 820 -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0" w:name="page91"/>
    <w:bookmarkEnd w:id="9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ITIGATION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AFLL, capitalized mortgage loan servicing rights, and income taxes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2017.</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1" w:name="page92"/>
    <w:bookmarkEnd w:id="9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ISCLOSURES ABOUT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applicable disclosures set forth in “Management’s Discussion and Analysis of Financial Condition and Results of Operations” in Item 2 under the caption “Asset/liability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56"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52"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2018, have concluded that, as of such date, our disclosure controls and procedures were effective.</w:t>
      </w:r>
    </w:p>
    <w:p>
      <w:pPr>
        <w:spacing w:after="0" w:line="2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252"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2018, there were no changes in our internal control over financial reporting that materially affected, or are reasonably likely to materially affect, our internal control over financial reporting.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2" w:name="page93"/>
    <w:bookmarkEnd w:id="9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1A.Risk Factors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of our Annual Report on Form 10-K for the year ended December 31, 2017.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2018, the Company issued 587 shares of common stock to non-employee directors on a current basis and 1,455 shares of common stock to the trust for distribution to directors on a deferred basis. The shares were issued on July 2, 2018, at a price of $25.50 per share, representing aggregate fees of $0.05 million.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repurchases of common stock for the three-months ended September 30,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Authorized</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Average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41"/>
        </w:trPr>
        <w:tc>
          <w:tcPr>
            <w:tcW w:w="20" w:type="dxa"/>
            <w:vAlign w:val="bottom"/>
          </w:tcPr>
          <w:p>
            <w:pPr>
              <w:spacing w:after="0"/>
              <w:rPr>
                <w:sz w:val="20"/>
                <w:szCs w:val="20"/>
                <w:color w:val="auto"/>
              </w:rPr>
            </w:pPr>
          </w:p>
        </w:tc>
        <w:tc>
          <w:tcPr>
            <w:tcW w:w="54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Period</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Shares Purchased (1)</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Paid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Announced Plan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2018</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August 2018</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1,066,693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1,066,693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from the shares that would otherwise have been issued to certain officers in order to satisfy tax withholding obligations resulting from vesting of restricted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3" w:name="page94"/>
    <w:bookmarkEnd w:id="9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pacing w:after="0" w:line="252" w:lineRule="exact"/>
        <w:rPr>
          <w:sz w:val="20"/>
          <w:szCs w:val="20"/>
          <w:color w:val="auto"/>
        </w:rPr>
      </w:pPr>
    </w:p>
    <w:p>
      <w:pPr>
        <w:ind w:left="580" w:hanging="381"/>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8"/>
          <w:szCs w:val="18"/>
          <w:color w:val="auto"/>
        </w:rPr>
      </w:pPr>
    </w:p>
    <w:p>
      <w:pPr>
        <w:ind w:left="1040" w:hanging="459"/>
        <w:spacing w:after="0" w:line="250" w:lineRule="auto"/>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u w:val="single" w:color="auto"/>
            <w:color w:val="0000EE"/>
          </w:rPr>
          <w:t>31.1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Certificate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Chief Executive Officer of Independent Bank Corporation pursuant to Section 302 of the Sarbanes-Oxley Act of 2002 (18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U.S.C. 1350).</w:t>
      </w:r>
    </w:p>
    <w:p>
      <w:pPr>
        <w:ind w:left="1040" w:hanging="459"/>
        <w:spacing w:after="0" w:line="250" w:lineRule="auto"/>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u w:val="single" w:color="auto"/>
            <w:color w:val="0000EE"/>
          </w:rPr>
          <w:t>31.2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Certificate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Chief Financial Officer of Independent Bank Corporation pursuant to Section 302 of the Sarbanes-Oxley Act of 2002 (18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U.S.C. 1350).</w:t>
      </w:r>
    </w:p>
    <w:p>
      <w:pPr>
        <w:ind w:left="1040" w:hanging="459"/>
        <w:spacing w:after="0" w:line="250" w:lineRule="auto"/>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u w:val="single" w:color="auto"/>
            <w:color w:val="0000EE"/>
          </w:rPr>
          <w:t>32.1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Certificate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Chief Executive Officer of Independent Bank Corporation pursuant to Section 906 of the Sarbanes-Oxley Act of 2002 (18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U.S.C. 1350).</w:t>
      </w:r>
    </w:p>
    <w:p>
      <w:pPr>
        <w:ind w:left="1040" w:hanging="459"/>
        <w:spacing w:after="0" w:line="250" w:lineRule="auto"/>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u w:val="single" w:color="auto"/>
            <w:color w:val="0000EE"/>
          </w:rPr>
          <w:t>32.2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Certificate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Chief Financial Officer of Independent Bank Corporation pursuant to Section 906 of the Sarbanes-Oxley Act of 2002 (18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U.S.C. 1350).</w:t>
      </w: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101.INS Instance Document</w:t>
      </w:r>
    </w:p>
    <w:p>
      <w:pPr>
        <w:spacing w:after="0" w:line="9" w:lineRule="exact"/>
        <w:rPr>
          <w:rFonts w:ascii="Times New Roman" w:cs="Times New Roman" w:eastAsia="Times New Roman" w:hAnsi="Times New Roman"/>
          <w:sz w:val="18"/>
          <w:szCs w:val="18"/>
          <w:color w:val="0000EE"/>
        </w:rPr>
      </w:pP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101.SCH XBRL Taxonomy Extension Schema Document</w:t>
      </w:r>
    </w:p>
    <w:p>
      <w:pPr>
        <w:spacing w:after="0" w:line="9" w:lineRule="exact"/>
        <w:rPr>
          <w:rFonts w:ascii="Times New Roman" w:cs="Times New Roman" w:eastAsia="Times New Roman" w:hAnsi="Times New Roman"/>
          <w:sz w:val="18"/>
          <w:szCs w:val="18"/>
          <w:color w:val="0000EE"/>
        </w:rPr>
      </w:pP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101.CAL XBRL Taxonomy Extension Calculation Linkbase Document</w:t>
      </w:r>
    </w:p>
    <w:p>
      <w:pPr>
        <w:spacing w:after="0" w:line="9" w:lineRule="exact"/>
        <w:rPr>
          <w:rFonts w:ascii="Times New Roman" w:cs="Times New Roman" w:eastAsia="Times New Roman" w:hAnsi="Times New Roman"/>
          <w:sz w:val="18"/>
          <w:szCs w:val="18"/>
          <w:color w:val="0000EE"/>
        </w:rPr>
      </w:pP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101.DEF XBRL Taxonomy Extension Definition Linkbase Document</w:t>
      </w:r>
    </w:p>
    <w:p>
      <w:pPr>
        <w:spacing w:after="0" w:line="9" w:lineRule="exact"/>
        <w:rPr>
          <w:rFonts w:ascii="Times New Roman" w:cs="Times New Roman" w:eastAsia="Times New Roman" w:hAnsi="Times New Roman"/>
          <w:sz w:val="18"/>
          <w:szCs w:val="18"/>
          <w:color w:val="0000EE"/>
        </w:rPr>
      </w:pP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101.LAB XBRL Taxonomy Extension Label Linkbase Document</w:t>
      </w:r>
    </w:p>
    <w:p>
      <w:pPr>
        <w:spacing w:after="0" w:line="9" w:lineRule="exact"/>
        <w:rPr>
          <w:rFonts w:ascii="Times New Roman" w:cs="Times New Roman" w:eastAsia="Times New Roman" w:hAnsi="Times New Roman"/>
          <w:sz w:val="18"/>
          <w:szCs w:val="18"/>
          <w:color w:val="0000EE"/>
        </w:rPr>
      </w:pPr>
    </w:p>
    <w:p>
      <w:pPr>
        <w:ind w:left="58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101.PRE XBRL Taxonomy Extension Presentation Linkbase Document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-2051685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274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9"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4" w:name="page95"/>
    <w:bookmarkEnd w:id="9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1500" w:val="left"/>
          <w:tab w:leader="none" w:pos="5700" w:val="left"/>
          <w:tab w:leader="none" w:pos="6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N.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9551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N. Shuster, Principal Financial Officer</w:t>
      </w:r>
    </w:p>
    <w:p>
      <w:pPr>
        <w:spacing w:after="0" w:line="225" w:lineRule="exact"/>
        <w:rPr>
          <w:sz w:val="20"/>
          <w:szCs w:val="20"/>
          <w:color w:val="auto"/>
        </w:rPr>
      </w:pPr>
    </w:p>
    <w:p>
      <w:pPr>
        <w:spacing w:after="0"/>
        <w:tabs>
          <w:tab w:leader="none" w:pos="1500" w:val="left"/>
          <w:tab w:leader="none" w:pos="5700" w:val="left"/>
          <w:tab w:leader="none" w:pos="6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9551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5515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J. Twarozynski, Principal Accounting Officer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1"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706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39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2018</w:t>
            </w:r>
          </w:p>
        </w:tc>
        <w:tc>
          <w:tcPr>
            <w:tcW w:w="2500" w:type="dxa"/>
            <w:vAlign w:val="bottom"/>
          </w:tcPr>
          <w:p>
            <w:pPr>
              <w:spacing w:after="0"/>
              <w:rPr>
                <w:sz w:val="24"/>
                <w:szCs w:val="24"/>
                <w:color w:val="auto"/>
              </w:rPr>
            </w:pPr>
          </w:p>
        </w:tc>
        <w:tc>
          <w:tcPr>
            <w:tcW w:w="456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w w:val="98"/>
              </w:rPr>
              <w:t>/s/ William B. Kessel</w:t>
            </w:r>
          </w:p>
        </w:tc>
      </w:tr>
      <w:tr>
        <w:trPr>
          <w:trHeight w:val="20"/>
        </w:trPr>
        <w:tc>
          <w:tcPr>
            <w:tcW w:w="4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18"/>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6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6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01"/>
        </w:trPr>
        <w:tc>
          <w:tcPr>
            <w:tcW w:w="4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N. Shuster,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50"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1"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706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39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2018</w:t>
            </w:r>
          </w:p>
        </w:tc>
        <w:tc>
          <w:tcPr>
            <w:tcW w:w="25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/s/ Robert N. Shuster</w:t>
            </w:r>
          </w:p>
        </w:tc>
        <w:tc>
          <w:tcPr>
            <w:tcW w:w="3040" w:type="dxa"/>
            <w:vAlign w:val="bottom"/>
          </w:tcPr>
          <w:p>
            <w:pPr>
              <w:spacing w:after="0"/>
              <w:rPr>
                <w:sz w:val="24"/>
                <w:szCs w:val="24"/>
                <w:color w:val="auto"/>
              </w:rPr>
            </w:pPr>
          </w:p>
        </w:tc>
      </w:tr>
      <w:tr>
        <w:trPr>
          <w:trHeight w:val="218"/>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60" w:type="dxa"/>
            <w:vAlign w:val="bottom"/>
            <w:gridSpan w:val="2"/>
          </w:tcPr>
          <w:p>
            <w:pPr>
              <w:jc w:val="right"/>
              <w:ind w:right="3040"/>
              <w:spacing w:after="0"/>
              <w:rPr>
                <w:sz w:val="20"/>
                <w:szCs w:val="20"/>
                <w:color w:val="auto"/>
              </w:rPr>
            </w:pPr>
            <w:r>
              <w:rPr>
                <w:rFonts w:ascii="Times New Roman" w:cs="Times New Roman" w:eastAsia="Times New Roman" w:hAnsi="Times New Roman"/>
                <w:sz w:val="18"/>
                <w:szCs w:val="18"/>
                <w:color w:val="auto"/>
              </w:rPr>
              <w:t>Robert N. Shuster</w:t>
            </w:r>
          </w:p>
        </w:tc>
      </w:tr>
      <w:tr>
        <w:trPr>
          <w:trHeight w:val="234"/>
        </w:trPr>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1"/>
        </w:trPr>
        <w:tc>
          <w:tcPr>
            <w:tcW w:w="4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216" w:lineRule="exact"/>
        <w:rPr>
          <w:sz w:val="20"/>
          <w:szCs w:val="20"/>
          <w:color w:val="auto"/>
        </w:rPr>
      </w:pPr>
    </w:p>
    <w:p>
      <w:pPr>
        <w:ind w:firstLine="656"/>
        <w:spacing w:after="0" w:line="282" w:lineRule="auto"/>
        <w:tabs>
          <w:tab w:leader="none" w:pos="1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2018, which this statement accompanies, fully complies with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right="20" w:firstLine="656"/>
        <w:spacing w:after="0" w:line="282" w:lineRule="auto"/>
        <w:tabs>
          <w:tab w:leader="none" w:pos="13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30, 2018, fairly presents, in all material respects, the financial condition and results of operations of Independent Bank Corporation.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5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39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2018</w:t>
            </w:r>
          </w:p>
        </w:tc>
        <w:tc>
          <w:tcPr>
            <w:tcW w:w="2500" w:type="dxa"/>
            <w:vAlign w:val="bottom"/>
          </w:tcPr>
          <w:p>
            <w:pPr>
              <w:spacing w:after="0"/>
              <w:rPr>
                <w:sz w:val="24"/>
                <w:szCs w:val="24"/>
                <w:color w:val="auto"/>
              </w:rPr>
            </w:pPr>
          </w:p>
        </w:tc>
        <w:tc>
          <w:tcPr>
            <w:tcW w:w="312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w w:val="98"/>
              </w:rPr>
              <w:t>/s/ William B. Kessel</w:t>
            </w:r>
          </w:p>
        </w:tc>
      </w:tr>
      <w:tr>
        <w:trPr>
          <w:trHeight w:val="20"/>
        </w:trPr>
        <w:tc>
          <w:tcPr>
            <w:tcW w:w="4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2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Robert N. Shuster, Chief Financial Officer of Independent Bank Corporation, certify, to the best of my knowledge and belief, pursuant to Section 906 of the Sarbanes-Oxley Act of 2002 (18 U.S.C. 1350) that:</w:t>
      </w:r>
    </w:p>
    <w:p>
      <w:pPr>
        <w:spacing w:after="0" w:line="216" w:lineRule="exact"/>
        <w:rPr>
          <w:sz w:val="20"/>
          <w:szCs w:val="20"/>
          <w:color w:val="auto"/>
        </w:rPr>
      </w:pPr>
    </w:p>
    <w:p>
      <w:pPr>
        <w:ind w:firstLine="656"/>
        <w:spacing w:after="0" w:line="282" w:lineRule="auto"/>
        <w:tabs>
          <w:tab w:leader="none" w:pos="14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30, 2018, which this statement accompanies, fully complies with requirements of Section 13(a) or 15(d) of the Securities Exchange Act of 1934 and;</w:t>
      </w:r>
    </w:p>
    <w:p>
      <w:pPr>
        <w:spacing w:after="0" w:line="215" w:lineRule="exact"/>
        <w:rPr>
          <w:rFonts w:ascii="Times New Roman" w:cs="Times New Roman" w:eastAsia="Times New Roman" w:hAnsi="Times New Roman"/>
          <w:sz w:val="18"/>
          <w:szCs w:val="18"/>
          <w:color w:val="auto"/>
        </w:rPr>
      </w:pPr>
    </w:p>
    <w:p>
      <w:pPr>
        <w:ind w:right="20" w:firstLine="656"/>
        <w:spacing w:after="0" w:line="282" w:lineRule="auto"/>
        <w:tabs>
          <w:tab w:leader="none" w:pos="13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30, 2018, fairly presents, in all material respects, the financial condition and results of operations of Independent Bank Corporation.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56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w w:val="99"/>
              </w:rPr>
              <w:t>INDEPENDENT BANK CORPORATION</w:t>
            </w:r>
          </w:p>
        </w:tc>
      </w:tr>
      <w:tr>
        <w:trPr>
          <w:trHeight w:val="39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2018</w:t>
            </w:r>
          </w:p>
        </w:tc>
        <w:tc>
          <w:tcPr>
            <w:tcW w:w="250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/s/ Robert N. Shuster</w:t>
            </w:r>
          </w:p>
        </w:tc>
        <w:tc>
          <w:tcPr>
            <w:tcW w:w="1600" w:type="dxa"/>
            <w:vAlign w:val="bottom"/>
          </w:tcPr>
          <w:p>
            <w:pPr>
              <w:spacing w:after="0"/>
              <w:rPr>
                <w:sz w:val="24"/>
                <w:szCs w:val="24"/>
                <w:color w:val="auto"/>
              </w:rPr>
            </w:pPr>
          </w:p>
        </w:tc>
      </w:tr>
      <w:tr>
        <w:trPr>
          <w:trHeight w:val="218"/>
        </w:trPr>
        <w:tc>
          <w:tcPr>
            <w:tcW w:w="4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1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Robert N. Shuster</w:t>
            </w:r>
          </w:p>
        </w:tc>
      </w:tr>
      <w:tr>
        <w:trPr>
          <w:trHeight w:val="234"/>
        </w:trPr>
        <w:tc>
          <w:tcPr>
            <w:tcW w:w="4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6"/>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10"/>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3"/>
    </w:lvl>
  </w:abstractNum>
  <w:abstractNum w:abstractNumId="16">
    <w:nsid w:val="614FD4A1"/>
    <w:multiLevelType w:val="hybridMultilevel"/>
    <w:lvl w:ilvl="0">
      <w:lvlJc w:val="left"/>
      <w:lvlText w:val="$"/>
      <w:numFmt w:val="bullet"/>
      <w:start w:val="1"/>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lvl w:ilvl="1">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lvl w:ilvl="1">
      <w:lvlJc w:val="left"/>
      <w:lvlText w:val="(%2)"/>
      <w:numFmt w:val="decimal"/>
      <w:start w:val="28"/>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lvl w:ilvl="1">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5"/>
    </w:lvl>
  </w:abstractNum>
  <w:abstractNum w:abstractNumId="37">
    <w:nsid w:val="2CD89A32"/>
    <w:multiLevelType w:val="hybridMultilevel"/>
    <w:lvl w:ilvl="0">
      <w:lvlJc w:val="left"/>
      <w:lvlText w:val="%1."/>
      <w:numFmt w:val="decimal"/>
      <w:start w:val="16"/>
    </w:lvl>
  </w:abstractNum>
  <w:abstractNum w:abstractNumId="38">
    <w:nsid w:val="57E4CCAF"/>
    <w:multiLevelType w:val="hybridMultilevel"/>
    <w:lvl w:ilvl="0">
      <w:lvlJc w:val="left"/>
      <w:lvlText w:val="%1."/>
      <w:numFmt w:val="decimal"/>
      <w:start w:val="17"/>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2020-01-10T20:34:59Z</dcterms:created>
  <dcterms:modified xsi:type="dcterms:W3CDTF">2020-01-10T20:34:59Z</dcterms:modified>
</cp:coreProperties>
</file>