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form10q.htm"/>
      <w:bookmarkStart w:id="1" w:name="ksform10q"/>
      <w:bookmarkStart w:id="2" w:name="form10q.htm"/>
      <w:bookmarkStart w:id="3" w:name="ksform10q"/>
      <w:bookmarkEnd w:id="2"/>
      <w:bookmarkEnd w:id="3"/>
    </w:p>
    <w:p>
      <w:pPr>
        <w:pStyle w:val="TextBody"/>
        <w:spacing w:before="0" w:after="0"/>
        <w:jc w:val="center"/>
        <w:rPr>
          <w:rFonts w:ascii="Times New Roman" w:hAnsi="Times New Roman"/>
          <w:sz w:val="23"/>
        </w:rPr>
      </w:pPr>
      <w:r>
        <w:rPr>
          <w:rFonts w:ascii="Times New Roman" w:hAnsi="Times New Roman"/>
          <w:sz w:val="23"/>
        </w:rPr>
        <w:t>SECURITIES AND EXCHANGE COMMISSION</w:t>
      </w:r>
    </w:p>
    <w:p>
      <w:pPr>
        <w:pStyle w:val="TextBody"/>
        <w:spacing w:before="0" w:after="0"/>
        <w:jc w:val="center"/>
        <w:rPr>
          <w:rFonts w:ascii="Times New Roman" w:hAnsi="Times New Roman"/>
          <w:sz w:val="20"/>
        </w:rPr>
      </w:pPr>
      <w:r>
        <w:rPr>
          <w:rFonts w:ascii="Times New Roman" w:hAnsi="Times New Roman"/>
          <w:sz w:val="20"/>
        </w:rPr>
        <w:t>WASHINGTON, D.C.  20549</w:t>
      </w:r>
    </w:p>
    <w:p>
      <w:pPr>
        <w:pStyle w:val="TextBody"/>
        <w:spacing w:before="0" w:after="0"/>
        <w:rPr/>
      </w:pPr>
      <w:r>
        <w:rPr/>
      </w:r>
    </w:p>
    <w:p>
      <w:pPr>
        <w:pStyle w:val="TextBody"/>
        <w:spacing w:before="0" w:after="0"/>
        <w:jc w:val="center"/>
        <w:rPr>
          <w:rFonts w:ascii="Times New Roman" w:hAnsi="Times New Roman"/>
          <w:sz w:val="30"/>
        </w:rPr>
      </w:pPr>
      <w:r>
        <w:rPr>
          <w:rFonts w:ascii="Times New Roman" w:hAnsi="Times New Roman"/>
          <w:sz w:val="30"/>
        </w:rPr>
        <w:t>FORM 10-Q</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 xml:space="preserve">QUARTERLY REPORT PURSUANT TO SECTION 13 OR 15(d) OF THE SECURITIES EXCHANGE ACT OF 1934 FOR THE QUARTERLY PERIOD ENDED </w:t>
      </w:r>
      <w:r>
        <w:rPr>
          <w:rFonts w:ascii="Times New Roman" w:hAnsi="Times New Roman"/>
          <w:sz w:val="17"/>
          <w:u w:val="single"/>
        </w:rPr>
        <w:t>March 31, 2019</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Commission file number</w:t>
      </w:r>
      <w:r>
        <w:rPr>
          <w:rFonts w:ascii="Times New Roman" w:hAnsi="Times New Roman"/>
          <w:sz w:val="17"/>
          <w:u w:val="single"/>
        </w:rPr>
        <w:t>   0-7818</w:t>
      </w:r>
    </w:p>
    <w:p>
      <w:pPr>
        <w:pStyle w:val="TextBody"/>
        <w:spacing w:before="0" w:after="0"/>
        <w:rPr/>
      </w:pPr>
      <w:r>
        <w:rPr/>
      </w:r>
    </w:p>
    <w:p>
      <w:pPr>
        <w:pStyle w:val="Normal"/>
        <w:spacing w:before="0" w:after="0"/>
        <w:rPr>
          <w:sz w:val="4"/>
          <w:szCs w:val="4"/>
        </w:rPr>
      </w:pPr>
      <w:r>
        <w:rPr>
          <w:sz w:val="4"/>
          <w:szCs w:val="4"/>
        </w:rPr>
      </w:r>
      <w:bookmarkStart w:id="4" w:name="za86c783c671944819f497bc1efa5b7d2"/>
      <w:bookmarkStart w:id="5" w:name="za86c783c671944819f497bc1efa5b7d2"/>
      <w:bookmarkEnd w:id="5"/>
    </w:p>
    <w:tbl>
      <w:tblPr>
        <w:tblW w:w="6935" w:type="dxa"/>
        <w:jc w:val="left"/>
        <w:tblInd w:w="0" w:type="dxa"/>
        <w:tblCellMar>
          <w:top w:w="0" w:type="dxa"/>
          <w:left w:w="0" w:type="dxa"/>
          <w:bottom w:w="0" w:type="dxa"/>
          <w:right w:w="0" w:type="dxa"/>
        </w:tblCellMar>
      </w:tblPr>
      <w:tblGrid>
        <w:gridCol w:w="6935"/>
      </w:tblGrid>
      <w:tr>
        <w:trPr/>
        <w:tc>
          <w:tcPr>
            <w:tcW w:w="6935" w:type="dxa"/>
            <w:tcBorders/>
            <w:shd w:fill="auto" w:val="clear"/>
            <w:vAlign w:val="center"/>
          </w:tcPr>
          <w:p>
            <w:pPr>
              <w:pStyle w:val="TableContents"/>
              <w:spacing w:before="0" w:after="0"/>
              <w:jc w:val="center"/>
              <w:rPr>
                <w:rFonts w:ascii="Times New Roman" w:hAnsi="Times New Roman"/>
                <w:sz w:val="40"/>
              </w:rPr>
            </w:pPr>
            <w:r>
              <w:rPr>
                <w:rFonts w:ascii="Times New Roman" w:hAnsi="Times New Roman"/>
                <w:sz w:val="40"/>
              </w:rPr>
              <w:t>INDEPENDENT BANK CORPORATION</w:t>
            </w:r>
          </w:p>
        </w:tc>
      </w:tr>
      <w:tr>
        <w:trPr/>
        <w:tc>
          <w:tcPr>
            <w:tcW w:w="693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sz w:val="17"/>
              </w:rPr>
            </w:pPr>
            <w:r>
              <w:rPr>
                <w:rFonts w:ascii="Times New Roman" w:hAnsi="Times New Roman"/>
                <w:sz w:val="17"/>
              </w:rPr>
              <w:t>(Exact name of registrant as specified in its charter)</w:t>
            </w:r>
          </w:p>
        </w:tc>
      </w:tr>
    </w:tbl>
    <w:p>
      <w:pPr>
        <w:pStyle w:val="TextBody"/>
        <w:spacing w:before="0" w:after="0"/>
        <w:rPr/>
      </w:pPr>
      <w:r>
        <w:rPr/>
      </w:r>
    </w:p>
    <w:p>
      <w:pPr>
        <w:pStyle w:val="Normal"/>
        <w:spacing w:before="0" w:after="0"/>
        <w:rPr>
          <w:sz w:val="4"/>
          <w:szCs w:val="4"/>
        </w:rPr>
      </w:pPr>
      <w:r>
        <w:rPr>
          <w:sz w:val="4"/>
          <w:szCs w:val="4"/>
        </w:rPr>
      </w:r>
      <w:bookmarkStart w:id="6" w:name="z8b8231808a76414491aff17a61291324"/>
      <w:bookmarkStart w:id="7" w:name="z8b8231808a76414491aff17a61291324"/>
      <w:bookmarkEnd w:id="7"/>
    </w:p>
    <w:tbl>
      <w:tblPr>
        <w:tblW w:w="6805" w:type="dxa"/>
        <w:jc w:val="left"/>
        <w:tblInd w:w="0" w:type="dxa"/>
        <w:tblCellMar>
          <w:top w:w="0" w:type="dxa"/>
          <w:left w:w="0" w:type="dxa"/>
          <w:bottom w:w="28" w:type="dxa"/>
          <w:right w:w="0" w:type="dxa"/>
        </w:tblCellMar>
      </w:tblPr>
      <w:tblGrid>
        <w:gridCol w:w="3830"/>
        <w:gridCol w:w="60"/>
        <w:gridCol w:w="2915"/>
      </w:tblGrid>
      <w:tr>
        <w:trPr/>
        <w:tc>
          <w:tcPr>
            <w:tcW w:w="3830" w:type="dxa"/>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Michigan</w:t>
            </w:r>
          </w:p>
        </w:tc>
        <w:tc>
          <w:tcPr>
            <w:tcW w:w="60" w:type="dxa"/>
            <w:tcBorders/>
            <w:shd w:fill="auto" w:val="clear"/>
            <w:tcMar>
              <w:bottom w:w="0" w:type="dxa"/>
            </w:tcMar>
            <w:vAlign w:val="center"/>
          </w:tcPr>
          <w:p>
            <w:pPr>
              <w:pStyle w:val="TableContents"/>
              <w:spacing w:before="0" w:after="283"/>
              <w:rPr/>
            </w:pPr>
            <w:r>
              <w:rPr/>
              <w:t> </w:t>
            </w:r>
          </w:p>
        </w:tc>
        <w:tc>
          <w:tcPr>
            <w:tcW w:w="2915" w:type="dxa"/>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38-2032782</w:t>
            </w:r>
          </w:p>
        </w:tc>
      </w:tr>
      <w:tr>
        <w:trPr/>
        <w:tc>
          <w:tcPr>
            <w:tcW w:w="3830" w:type="dxa"/>
            <w:tcBorders/>
            <w:shd w:fill="auto" w:val="clear"/>
            <w:tcMar>
              <w:bottom w:w="0" w:type="dxa"/>
            </w:tcMar>
            <w:vAlign w:val="center"/>
          </w:tcPr>
          <w:p>
            <w:pPr>
              <w:pStyle w:val="TableContents"/>
              <w:spacing w:before="0" w:after="0"/>
              <w:jc w:val="center"/>
              <w:rPr>
                <w:rFonts w:ascii="Times New Roman" w:hAnsi="Times New Roman"/>
                <w:sz w:val="17"/>
              </w:rPr>
            </w:pPr>
            <w:r>
              <w:rPr>
                <w:rFonts w:ascii="Times New Roman" w:hAnsi="Times New Roman"/>
                <w:sz w:val="17"/>
              </w:rPr>
              <w:t>(State or jurisdiction of 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2915" w:type="dxa"/>
            <w:tcBorders/>
            <w:shd w:fill="auto" w:val="clear"/>
            <w:tcMar>
              <w:bottom w:w="0" w:type="dxa"/>
            </w:tcMar>
            <w:vAlign w:val="center"/>
          </w:tcPr>
          <w:p>
            <w:pPr>
              <w:pStyle w:val="TableContents"/>
              <w:spacing w:before="0" w:after="0"/>
              <w:jc w:val="center"/>
              <w:rPr/>
            </w:pPr>
            <w:r>
              <w:rPr/>
              <w:t> </w:t>
            </w:r>
            <w:r>
              <w:rPr>
                <w:rFonts w:ascii="Times New Roman" w:hAnsi="Times New Roman"/>
                <w:sz w:val="17"/>
              </w:rPr>
              <w:t>(I.R.S. Employer Identification Number)</w:t>
            </w:r>
          </w:p>
        </w:tc>
      </w:tr>
    </w:tbl>
    <w:p>
      <w:pPr>
        <w:pStyle w:val="TextBody"/>
        <w:spacing w:before="0" w:after="0"/>
        <w:jc w:val="center"/>
        <w:rPr/>
      </w:pPr>
      <w:r>
        <w:rPr/>
      </w:r>
    </w:p>
    <w:p>
      <w:pPr>
        <w:pStyle w:val="Normal"/>
        <w:spacing w:before="0" w:after="0"/>
        <w:rPr>
          <w:sz w:val="4"/>
          <w:szCs w:val="4"/>
        </w:rPr>
      </w:pPr>
      <w:r>
        <w:rPr>
          <w:sz w:val="4"/>
          <w:szCs w:val="4"/>
        </w:rPr>
      </w:r>
      <w:bookmarkStart w:id="8" w:name="zf9d325465f0042a488ab16ce2a7e995c"/>
      <w:bookmarkStart w:id="9" w:name="zf9d325465f0042a488ab16ce2a7e995c"/>
      <w:bookmarkEnd w:id="9"/>
    </w:p>
    <w:tbl>
      <w:tblPr>
        <w:tblW w:w="3650" w:type="dxa"/>
        <w:jc w:val="left"/>
        <w:tblInd w:w="0" w:type="dxa"/>
        <w:tblCellMar>
          <w:top w:w="0" w:type="dxa"/>
          <w:left w:w="0" w:type="dxa"/>
          <w:bottom w:w="28" w:type="dxa"/>
          <w:right w:w="0" w:type="dxa"/>
        </w:tblCellMar>
      </w:tblPr>
      <w:tblGrid>
        <w:gridCol w:w="3650"/>
      </w:tblGrid>
      <w:tr>
        <w:trPr/>
        <w:tc>
          <w:tcPr>
            <w:tcW w:w="3650" w:type="dxa"/>
            <w:tcBorders>
              <w:bottom w:val="single" w:sz="12" w:space="0" w:color="000000"/>
            </w:tcBorders>
            <w:shd w:fill="auto" w:val="clear"/>
            <w:vAlign w:val="center"/>
          </w:tcPr>
          <w:p>
            <w:pPr>
              <w:pStyle w:val="TableContents"/>
              <w:spacing w:before="0" w:after="283"/>
              <w:jc w:val="center"/>
              <w:rPr>
                <w:rFonts w:ascii="Times New Roman" w:hAnsi="Times New Roman"/>
                <w:sz w:val="17"/>
              </w:rPr>
            </w:pPr>
            <w:r>
              <w:rPr>
                <w:rFonts w:ascii="Times New Roman" w:hAnsi="Times New Roman"/>
                <w:sz w:val="17"/>
              </w:rPr>
              <w:t xml:space="preserve">4200 East Beltline, Grand Rapids, Michigan  49525 </w:t>
            </w:r>
          </w:p>
        </w:tc>
      </w:tr>
      <w:tr>
        <w:trPr/>
        <w:tc>
          <w:tcPr>
            <w:tcW w:w="3650" w:type="dxa"/>
            <w:tcBorders/>
            <w:shd w:fill="auto" w:val="clear"/>
            <w:tcMar>
              <w:bottom w:w="0" w:type="dxa"/>
            </w:tcMar>
            <w:vAlign w:val="center"/>
          </w:tcPr>
          <w:p>
            <w:pPr>
              <w:pStyle w:val="TableContents"/>
              <w:spacing w:before="0" w:after="0"/>
              <w:jc w:val="center"/>
              <w:rPr>
                <w:rFonts w:ascii="Times New Roman" w:hAnsi="Times New Roman"/>
                <w:sz w:val="17"/>
              </w:rPr>
            </w:pPr>
            <w:r>
              <w:rPr>
                <w:rFonts w:ascii="Times New Roman" w:hAnsi="Times New Roman"/>
                <w:sz w:val="17"/>
              </w:rPr>
              <w:t>(Address of principal executive offices)</w:t>
            </w:r>
          </w:p>
        </w:tc>
      </w:tr>
    </w:tbl>
    <w:p>
      <w:pPr>
        <w:pStyle w:val="TextBody"/>
        <w:spacing w:before="0" w:after="0"/>
        <w:jc w:val="center"/>
        <w:rPr/>
      </w:pPr>
      <w:r>
        <w:rPr/>
      </w:r>
    </w:p>
    <w:tbl>
      <w:tblPr>
        <w:tblW w:w="3710" w:type="dxa"/>
        <w:jc w:val="left"/>
        <w:tblInd w:w="0" w:type="dxa"/>
        <w:tblCellMar>
          <w:top w:w="0" w:type="dxa"/>
          <w:left w:w="0" w:type="dxa"/>
          <w:bottom w:w="0" w:type="dxa"/>
          <w:right w:w="0" w:type="dxa"/>
        </w:tblCellMar>
      </w:tblPr>
      <w:tblGrid>
        <w:gridCol w:w="3710"/>
      </w:tblGrid>
      <w:tr>
        <w:trPr/>
        <w:tc>
          <w:tcPr>
            <w:tcW w:w="3710" w:type="dxa"/>
            <w:tcBorders/>
            <w:shd w:fill="auto" w:val="clear"/>
            <w:vAlign w:val="center"/>
          </w:tcPr>
          <w:p>
            <w:pPr>
              <w:pStyle w:val="TableContents"/>
              <w:spacing w:before="0" w:after="0"/>
              <w:jc w:val="center"/>
              <w:rPr>
                <w:rFonts w:ascii="Times New Roman" w:hAnsi="Times New Roman"/>
                <w:sz w:val="17"/>
                <w:u w:val="single"/>
              </w:rPr>
            </w:pPr>
            <w:r>
              <w:rPr>
                <w:rFonts w:ascii="Times New Roman" w:hAnsi="Times New Roman"/>
                <w:sz w:val="17"/>
                <w:u w:val="single"/>
              </w:rPr>
              <w:t>(616) 527-5820</w:t>
            </w:r>
          </w:p>
        </w:tc>
      </w:tr>
      <w:tr>
        <w:trPr/>
        <w:tc>
          <w:tcPr>
            <w:tcW w:w="3710"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(Registrant’s telephone number, including area code)</w:t>
            </w:r>
          </w:p>
        </w:tc>
      </w:tr>
    </w:tbl>
    <w:p>
      <w:pPr>
        <w:pStyle w:val="TextBody"/>
        <w:spacing w:before="0" w:after="0"/>
        <w:jc w:val="center"/>
        <w:rPr/>
      </w:pPr>
      <w:r>
        <w:rPr/>
      </w:r>
    </w:p>
    <w:p>
      <w:pPr>
        <w:pStyle w:val="Normal"/>
        <w:spacing w:before="0" w:after="0"/>
        <w:rPr>
          <w:sz w:val="4"/>
          <w:szCs w:val="4"/>
        </w:rPr>
      </w:pPr>
      <w:r>
        <w:rPr>
          <w:sz w:val="4"/>
          <w:szCs w:val="4"/>
        </w:rPr>
      </w:r>
      <w:bookmarkStart w:id="10" w:name="z8c2cbb9ddd234dd5b3eb08933f3bc54f"/>
      <w:bookmarkStart w:id="11" w:name="z8c2cbb9ddd234dd5b3eb08933f3bc54f"/>
      <w:bookmarkEnd w:id="11"/>
    </w:p>
    <w:tbl>
      <w:tblPr>
        <w:tblW w:w="4595" w:type="dxa"/>
        <w:jc w:val="left"/>
        <w:tblInd w:w="0" w:type="dxa"/>
        <w:tblCellMar>
          <w:top w:w="0" w:type="dxa"/>
          <w:left w:w="0" w:type="dxa"/>
          <w:bottom w:w="0" w:type="dxa"/>
          <w:right w:w="0" w:type="dxa"/>
        </w:tblCellMar>
      </w:tblPr>
      <w:tblGrid>
        <w:gridCol w:w="4595"/>
      </w:tblGrid>
      <w:tr>
        <w:trPr/>
        <w:tc>
          <w:tcPr>
            <w:tcW w:w="4595"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NONE</w:t>
            </w:r>
          </w:p>
        </w:tc>
      </w:tr>
      <w:tr>
        <w:trPr/>
        <w:tc>
          <w:tcPr>
            <w:tcW w:w="4595"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sz w:val="17"/>
              </w:rPr>
            </w:pPr>
            <w:r>
              <w:rPr>
                <w:rFonts w:ascii="Times New Roman" w:hAnsi="Times New Roman"/>
                <w:sz w:val="17"/>
              </w:rPr>
              <w:t>Former name, address and fiscal year, if changed since last report.</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spacing w:before="0" w:after="0"/>
        <w:jc w:val="left"/>
        <w:rPr/>
      </w:pPr>
      <w:r>
        <w:rPr>
          <w:rFonts w:ascii="Times New Roman" w:hAnsi="Times New Roman"/>
          <w:sz w:val="17"/>
        </w:rPr>
        <w:t>YES</w:t>
      </w:r>
      <w:r>
        <w:rPr/>
        <w:t xml:space="preserve"> ☒    </w:t>
      </w:r>
      <w:r>
        <w:rPr>
          <w:rFonts w:ascii="Times New Roman" w:hAnsi="Times New Roman"/>
          <w:sz w:val="17"/>
        </w:rPr>
        <w:t>NO  ☐</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Indicate by check mark whether the Registrant is a large accelerated filer, an accelerated filer, non-accelerated filer, smaller reporting company or an emerging growth company.</w:t>
      </w:r>
    </w:p>
    <w:p>
      <w:pPr>
        <w:pStyle w:val="TextBody"/>
        <w:spacing w:before="0" w:after="0"/>
        <w:jc w:val="left"/>
        <w:rPr>
          <w:rFonts w:ascii="Times New Roman" w:hAnsi="Times New Roman"/>
          <w:sz w:val="17"/>
        </w:rPr>
      </w:pPr>
      <w:r>
        <w:rPr>
          <w:rFonts w:ascii="Times New Roman" w:hAnsi="Times New Roman"/>
          <w:sz w:val="17"/>
        </w:rPr>
      </w:r>
    </w:p>
    <w:p>
      <w:pPr>
        <w:pStyle w:val="Normal"/>
        <w:spacing w:before="0" w:after="0"/>
        <w:rPr>
          <w:sz w:val="4"/>
          <w:szCs w:val="4"/>
        </w:rPr>
      </w:pPr>
      <w:r>
        <w:rPr>
          <w:sz w:val="4"/>
          <w:szCs w:val="4"/>
        </w:rPr>
      </w:r>
      <w:bookmarkStart w:id="12" w:name="za0bfa2733ad6429fa97e4e340d87c349"/>
      <w:bookmarkStart w:id="13" w:name="za0bfa2733ad6429fa97e4e340d87c349"/>
      <w:bookmarkEnd w:id="13"/>
    </w:p>
    <w:tbl>
      <w:tblPr>
        <w:tblW w:w="9175" w:type="dxa"/>
        <w:jc w:val="left"/>
        <w:tblInd w:w="0" w:type="dxa"/>
        <w:tblCellMar>
          <w:top w:w="0" w:type="dxa"/>
          <w:left w:w="0" w:type="dxa"/>
          <w:bottom w:w="0" w:type="dxa"/>
          <w:right w:w="0" w:type="dxa"/>
        </w:tblCellMar>
      </w:tblPr>
      <w:tblGrid>
        <w:gridCol w:w="1760"/>
        <w:gridCol w:w="1445"/>
        <w:gridCol w:w="1670"/>
        <w:gridCol w:w="2120"/>
        <w:gridCol w:w="2180"/>
      </w:tblGrid>
      <w:tr>
        <w:trPr/>
        <w:tc>
          <w:tcPr>
            <w:tcW w:w="176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Large accelerated filer ☐</w:t>
            </w:r>
          </w:p>
        </w:tc>
        <w:tc>
          <w:tcPr>
            <w:tcW w:w="14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 xml:space="preserve">Accelerated filer  ☒ </w:t>
            </w:r>
          </w:p>
        </w:tc>
        <w:tc>
          <w:tcPr>
            <w:tcW w:w="167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Non-accelerated filer ☐</w:t>
            </w:r>
          </w:p>
        </w:tc>
        <w:tc>
          <w:tcPr>
            <w:tcW w:w="212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Smaller reporting company ☐</w:t>
            </w:r>
          </w:p>
        </w:tc>
        <w:tc>
          <w:tcPr>
            <w:tcW w:w="218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Emerging growth company  ☐</w:t>
            </w:r>
          </w:p>
        </w:tc>
      </w:tr>
    </w:tbl>
    <w:p>
      <w:pPr>
        <w:pStyle w:val="TextBody"/>
        <w:spacing w:before="0" w:after="0"/>
        <w:rPr>
          <w:rFonts w:ascii="Times New Roman" w:hAnsi="Times New Roman"/>
          <w:sz w:val="17"/>
        </w:rPr>
      </w:pPr>
      <w:r>
        <w:rPr>
          <w:rFonts w:ascii="Times New Roman" w:hAnsi="Times New Roman"/>
          <w:sz w:val="17"/>
        </w:rPr>
      </w:r>
    </w:p>
    <w:p>
      <w:pPr>
        <w:pStyle w:val="TextBody"/>
        <w:spacing w:before="0" w:after="0"/>
        <w:jc w:val="left"/>
        <w:rPr>
          <w:rFonts w:ascii="Times New Roman" w:hAnsi="Times New Roman"/>
          <w:sz w:val="17"/>
        </w:rPr>
      </w:pPr>
      <w:r>
        <w:rPr>
          <w:rFonts w:ascii="Times New Roman" w:hAnsi="Times New Roman"/>
          <w:sz w:val="17"/>
        </w:rPr>
        <w:t>If an emerging growth company, indicate by check mark if the registrant has elected not to use the extended transition period for complying with any new or revised financial accounting standards provided pursuant to section 13(a) of the Exchange Act.  Yes ☐  No ☐</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Indicate by check mark whether the Registrant is a shell company (as defined in Rule 12b-2 of the Exchange Act).</w:t>
      </w:r>
    </w:p>
    <w:p>
      <w:pPr>
        <w:pStyle w:val="TextBody"/>
        <w:spacing w:before="0" w:after="0"/>
        <w:jc w:val="left"/>
        <w:rPr/>
      </w:pPr>
      <w:r>
        <w:rPr>
          <w:rFonts w:ascii="Times New Roman" w:hAnsi="Times New Roman"/>
          <w:sz w:val="17"/>
        </w:rPr>
        <w:t>YES ☐  NO ☒</w:t>
      </w:r>
      <w:r>
        <w:rPr/>
        <w:t xml:space="preserve"> </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Indicate the number of shares outstanding of each of the issuer’s classes of common stock, as of the latest practicable date: common stock, no par value, 23,472,914 as of May 1, 2019.</w:t>
      </w:r>
    </w:p>
    <w:p>
      <w:pPr>
        <w:pStyle w:val="TextBody"/>
        <w:spacing w:before="0" w:after="0"/>
        <w:jc w:val="left"/>
        <w:rPr>
          <w:rFonts w:ascii="Times New Roman" w:hAnsi="Times New Roman"/>
          <w:sz w:val="17"/>
        </w:rPr>
      </w:pPr>
      <w:r>
        <w:rPr>
          <w:rFonts w:ascii="Times New Roman" w:hAnsi="Times New Roman"/>
          <w:sz w:val="17"/>
        </w:rPr>
      </w:r>
    </w:p>
    <w:p>
      <w:pPr>
        <w:pStyle w:val="TextBody"/>
        <w:spacing w:before="0" w:after="0"/>
        <w:jc w:val="left"/>
        <w:rPr/>
      </w:pPr>
      <w:r>
        <w:rPr/>
        <w:t xml:space="preserve">Securities registered pursuant to </w:t>
      </w:r>
      <w:r>
        <w:rPr>
          <w:rFonts w:ascii="Times New Roman" w:hAnsi="Times New Roman"/>
          <w:sz w:val="17"/>
        </w:rPr>
        <w:t>Section 12(b) of the Act:</w:t>
      </w:r>
    </w:p>
    <w:p>
      <w:pPr>
        <w:pStyle w:val="TextBody"/>
        <w:spacing w:before="0" w:after="0"/>
        <w:rPr/>
      </w:pPr>
      <w:r>
        <w:rPr/>
      </w:r>
    </w:p>
    <w:p>
      <w:pPr>
        <w:pStyle w:val="Normal"/>
        <w:spacing w:before="0" w:after="0"/>
        <w:rPr>
          <w:sz w:val="4"/>
          <w:szCs w:val="4"/>
        </w:rPr>
      </w:pPr>
      <w:r>
        <w:rPr>
          <w:sz w:val="4"/>
          <w:szCs w:val="4"/>
        </w:rPr>
      </w:r>
      <w:bookmarkStart w:id="14" w:name="z1f57f43dc2a44b19bb8adfff1ab673da"/>
      <w:bookmarkStart w:id="15" w:name="z1f57f43dc2a44b19bb8adfff1ab673da"/>
      <w:bookmarkEnd w:id="15"/>
    </w:p>
    <w:tbl>
      <w:tblPr>
        <w:tblW w:w="6810" w:type="dxa"/>
        <w:jc w:val="left"/>
        <w:tblInd w:w="0" w:type="dxa"/>
        <w:tblCellMar>
          <w:top w:w="0" w:type="dxa"/>
          <w:left w:w="0" w:type="dxa"/>
          <w:bottom w:w="0" w:type="dxa"/>
          <w:right w:w="0" w:type="dxa"/>
        </w:tblCellMar>
      </w:tblPr>
      <w:tblGrid>
        <w:gridCol w:w="2030"/>
        <w:gridCol w:w="60"/>
        <w:gridCol w:w="1565"/>
        <w:gridCol w:w="60"/>
        <w:gridCol w:w="3095"/>
      </w:tblGrid>
      <w:tr>
        <w:trPr/>
        <w:tc>
          <w:tcPr>
            <w:tcW w:w="2030" w:type="dxa"/>
            <w:tcBorders/>
            <w:shd w:fill="auto" w:val="clear"/>
            <w:vAlign w:val="center"/>
          </w:tcPr>
          <w:p>
            <w:pPr>
              <w:pStyle w:val="TableContents"/>
              <w:spacing w:before="0" w:after="283"/>
              <w:jc w:val="center"/>
              <w:rPr>
                <w:rFonts w:ascii="Times New Roman" w:hAnsi="Times New Roman"/>
                <w:sz w:val="17"/>
              </w:rPr>
            </w:pPr>
            <w:r>
              <w:rPr>
                <w:rFonts w:ascii="Times New Roman" w:hAnsi="Times New Roman"/>
                <w:sz w:val="17"/>
              </w:rPr>
              <w:t>Title of each Class</w:t>
            </w:r>
          </w:p>
        </w:tc>
        <w:tc>
          <w:tcPr>
            <w:tcW w:w="60" w:type="dxa"/>
            <w:tcBorders/>
            <w:shd w:fill="auto" w:val="clear"/>
            <w:vAlign w:val="center"/>
          </w:tcPr>
          <w:p>
            <w:pPr>
              <w:pStyle w:val="TableContents"/>
              <w:spacing w:before="0" w:after="283"/>
              <w:jc w:val="center"/>
              <w:rPr/>
            </w:pPr>
            <w:r>
              <w:rPr/>
              <w:t> </w:t>
            </w:r>
          </w:p>
        </w:tc>
        <w:tc>
          <w:tcPr>
            <w:tcW w:w="1565" w:type="dxa"/>
            <w:tcBorders/>
            <w:shd w:fill="auto" w:val="clear"/>
            <w:vAlign w:val="center"/>
          </w:tcPr>
          <w:p>
            <w:pPr>
              <w:pStyle w:val="TableContents"/>
              <w:spacing w:before="0" w:after="283"/>
              <w:jc w:val="center"/>
              <w:rPr/>
            </w:pPr>
            <w:r>
              <w:rPr/>
              <w:t>Trading Symbol</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0"/>
              <w:jc w:val="center"/>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Name of each exchange on which registered</w:t>
            </w:r>
          </w:p>
        </w:tc>
      </w:tr>
      <w:tr>
        <w:trPr/>
        <w:tc>
          <w:tcPr>
            <w:tcW w:w="2030" w:type="dxa"/>
            <w:tcBorders>
              <w:top w:val="single" w:sz="12" w:space="0" w:color="000000"/>
            </w:tcBorders>
            <w:shd w:fill="auto" w:val="clear"/>
            <w:tcMar>
              <w:top w:w="28" w:type="dxa"/>
            </w:tcMar>
            <w:vAlign w:val="center"/>
          </w:tcPr>
          <w:p>
            <w:pPr>
              <w:pStyle w:val="TableContents"/>
              <w:spacing w:before="0" w:after="0"/>
              <w:jc w:val="center"/>
              <w:rPr>
                <w:rFonts w:ascii="Times New Roman" w:hAnsi="Times New Roman"/>
                <w:sz w:val="17"/>
              </w:rPr>
            </w:pPr>
            <w:r>
              <w:rPr>
                <w:rFonts w:ascii="Times New Roman" w:hAnsi="Times New Roman"/>
                <w:sz w:val="17"/>
              </w:rPr>
              <w:t>Common stock, no par value</w:t>
            </w:r>
          </w:p>
        </w:tc>
        <w:tc>
          <w:tcPr>
            <w:tcW w:w="60" w:type="dxa"/>
            <w:tcBorders/>
            <w:shd w:fill="auto" w:val="clear"/>
            <w:vAlign w:val="center"/>
          </w:tcPr>
          <w:p>
            <w:pPr>
              <w:pStyle w:val="TableContents"/>
              <w:spacing w:before="0" w:after="283"/>
              <w:rPr/>
            </w:pPr>
            <w:r>
              <w:rPr/>
              <w:t> </w:t>
            </w:r>
          </w:p>
        </w:tc>
        <w:tc>
          <w:tcPr>
            <w:tcW w:w="1565" w:type="dxa"/>
            <w:tcBorders>
              <w:top w:val="single" w:sz="12" w:space="0" w:color="000000"/>
            </w:tcBorders>
            <w:shd w:fill="auto" w:val="clear"/>
            <w:tcMar>
              <w:top w:w="28" w:type="dxa"/>
            </w:tcMar>
            <w:vAlign w:val="center"/>
          </w:tcPr>
          <w:p>
            <w:pPr>
              <w:pStyle w:val="TableContents"/>
              <w:spacing w:before="0" w:after="283"/>
              <w:jc w:val="center"/>
              <w:rPr/>
            </w:pPr>
            <w:r>
              <w:rPr/>
              <w:t>IBCP</w:t>
            </w:r>
          </w:p>
        </w:tc>
        <w:tc>
          <w:tcPr>
            <w:tcW w:w="60" w:type="dxa"/>
            <w:tcBorders/>
            <w:shd w:fill="auto" w:val="clear"/>
            <w:vAlign w:val="center"/>
          </w:tcPr>
          <w:p>
            <w:pPr>
              <w:pStyle w:val="TableContents"/>
              <w:spacing w:before="0" w:after="283"/>
              <w:rPr/>
            </w:pPr>
            <w:r>
              <w:rPr/>
              <w:t> </w:t>
            </w:r>
          </w:p>
        </w:tc>
        <w:tc>
          <w:tcPr>
            <w:tcW w:w="3095" w:type="dxa"/>
            <w:tcBorders>
              <w:top w:val="single" w:sz="12" w:space="0" w:color="000000"/>
            </w:tcBorders>
            <w:shd w:fill="auto" w:val="clear"/>
            <w:tcMar>
              <w:top w:w="28" w:type="dxa"/>
            </w:tcMar>
            <w:vAlign w:val="center"/>
          </w:tcPr>
          <w:p>
            <w:pPr>
              <w:pStyle w:val="TableContents"/>
              <w:spacing w:before="0" w:after="0"/>
              <w:jc w:val="center"/>
              <w:rPr/>
            </w:pPr>
            <w:r>
              <w:rPr/>
              <w:t>The Nasdaq Stock Market LLC</w:t>
            </w:r>
          </w:p>
        </w:tc>
      </w:tr>
    </w:tbl>
    <w:p>
      <w:pPr>
        <w:pStyle w:val="TextBody"/>
        <w:spacing w:before="0" w:after="0"/>
        <w:rPr/>
      </w:pPr>
      <w:r>
        <w:rPr/>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rPr>
      </w:pPr>
      <w:r>
        <w:rPr>
          <w:rFonts w:ascii="Times New Roman" w:hAnsi="Times New Roman"/>
          <w:sz w:val="17"/>
        </w:rPr>
        <w:t>INDEPENDENT BANK CORPORATION AND SUBSIDIARIES</w:t>
      </w:r>
    </w:p>
    <w:p>
      <w:pPr>
        <w:pStyle w:val="TextBody"/>
        <w:spacing w:before="0" w:after="0"/>
        <w:jc w:val="center"/>
        <w:rPr>
          <w:rFonts w:ascii="Times New Roman" w:hAnsi="Times New Roman"/>
          <w:sz w:val="17"/>
          <w:u w:val="single"/>
        </w:rPr>
      </w:pPr>
      <w:r>
        <w:rPr>
          <w:rFonts w:ascii="Times New Roman" w:hAnsi="Times New Roman"/>
          <w:sz w:val="17"/>
          <w:u w:val="single"/>
        </w:rPr>
      </w:r>
    </w:p>
    <w:p>
      <w:pPr>
        <w:pStyle w:val="TextBody"/>
        <w:spacing w:before="0" w:after="0"/>
        <w:jc w:val="center"/>
        <w:rPr>
          <w:rFonts w:ascii="Times New Roman" w:hAnsi="Times New Roman"/>
          <w:sz w:val="17"/>
          <w:u w:val="single"/>
        </w:rPr>
      </w:pPr>
      <w:bookmarkStart w:id="16" w:name="INDEX"/>
      <w:bookmarkEnd w:id="16"/>
      <w:r>
        <w:rPr>
          <w:rFonts w:ascii="Times New Roman" w:hAnsi="Times New Roman"/>
          <w:sz w:val="17"/>
          <w:u w:val="single"/>
        </w:rPr>
        <w:t>INDEX</w:t>
      </w:r>
    </w:p>
    <w:p>
      <w:pPr>
        <w:pStyle w:val="TextBody"/>
        <w:spacing w:before="0" w:after="0"/>
        <w:rPr/>
      </w:pPr>
      <w:r>
        <w:rPr/>
      </w:r>
      <w:bookmarkStart w:id="17" w:name="zfb7b8de6e45b429fa6b2f1691209efbf"/>
      <w:bookmarkStart w:id="18" w:name="zfb7b8de6e45b429fa6b2f1691209efbf"/>
      <w:bookmarkEnd w:id="18"/>
    </w:p>
    <w:tbl>
      <w:tblPr>
        <w:tblW w:w="9750" w:type="dxa"/>
        <w:jc w:val="left"/>
        <w:tblInd w:w="0" w:type="dxa"/>
        <w:tblCellMar>
          <w:top w:w="0" w:type="dxa"/>
          <w:left w:w="0" w:type="dxa"/>
          <w:bottom w:w="0" w:type="dxa"/>
          <w:right w:w="0" w:type="dxa"/>
        </w:tblCellMar>
      </w:tblPr>
      <w:tblGrid>
        <w:gridCol w:w="710"/>
        <w:gridCol w:w="8270"/>
        <w:gridCol w:w="770"/>
      </w:tblGrid>
      <w:tr>
        <w:trPr/>
        <w:tc>
          <w:tcPr>
            <w:tcW w:w="71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PART I -</w:t>
            </w:r>
          </w:p>
        </w:tc>
        <w:tc>
          <w:tcPr>
            <w:tcW w:w="8270" w:type="dxa"/>
            <w:tcBorders/>
            <w:shd w:fill="auto" w:val="clear"/>
            <w:vAlign w:val="center"/>
          </w:tcPr>
          <w:p>
            <w:pPr>
              <w:pStyle w:val="TableContents"/>
              <w:spacing w:before="0" w:after="0"/>
              <w:jc w:val="left"/>
              <w:rPr>
                <w:rFonts w:ascii="Times New Roman" w:hAnsi="Times New Roman"/>
                <w:sz w:val="17"/>
                <w:u w:val="single"/>
              </w:rPr>
            </w:pPr>
            <w:r>
              <w:rPr>
                <w:rFonts w:ascii="Times New Roman" w:hAnsi="Times New Roman"/>
                <w:sz w:val="17"/>
                <w:u w:val="single"/>
              </w:rPr>
              <w:t>Financial Information</w:t>
            </w:r>
          </w:p>
        </w:tc>
        <w:tc>
          <w:tcPr>
            <w:tcW w:w="770" w:type="dxa"/>
            <w:tcBorders/>
            <w:shd w:fill="auto" w:val="clear"/>
            <w:vAlign w:val="center"/>
          </w:tcPr>
          <w:p>
            <w:pPr>
              <w:pStyle w:val="TableContents"/>
              <w:spacing w:before="0" w:after="0"/>
              <w:jc w:val="right"/>
              <w:rPr>
                <w:rFonts w:ascii="Times New Roman" w:hAnsi="Times New Roman"/>
                <w:sz w:val="17"/>
                <w:u w:val="single"/>
              </w:rPr>
            </w:pPr>
            <w:r>
              <w:rPr>
                <w:rFonts w:ascii="Times New Roman" w:hAnsi="Times New Roman"/>
                <w:sz w:val="17"/>
                <w:u w:val="single"/>
              </w:rPr>
              <w:t>Number(s)</w:t>
            </w:r>
          </w:p>
        </w:tc>
      </w:tr>
      <w:tr>
        <w:trPr/>
        <w:tc>
          <w:tcPr>
            <w:tcW w:w="710" w:type="dxa"/>
            <w:tcBorders/>
            <w:shd w:fill="CCEEFF" w:val="clear"/>
            <w:vAlign w:val="center"/>
          </w:tcPr>
          <w:p>
            <w:pPr>
              <w:pStyle w:val="TableContents"/>
              <w:spacing w:before="0" w:after="0"/>
              <w:jc w:val="left"/>
              <w:rPr>
                <w:rFonts w:ascii="Times New Roman" w:hAnsi="Times New Roman"/>
                <w:sz w:val="17"/>
              </w:rPr>
            </w:pPr>
            <w:r>
              <w:rPr>
                <w:rFonts w:ascii="Times New Roman" w:hAnsi="Times New Roman"/>
                <w:sz w:val="17"/>
              </w:rPr>
              <w:t>Item 1.</w:t>
            </w:r>
          </w:p>
        </w:tc>
        <w:tc>
          <w:tcPr>
            <w:tcW w:w="8270" w:type="dxa"/>
            <w:tcBorders/>
            <w:shd w:fill="CCEEFF" w:val="clear"/>
            <w:vAlign w:val="center"/>
          </w:tcPr>
          <w:p>
            <w:pPr>
              <w:pStyle w:val="TableContents"/>
              <w:spacing w:before="0" w:after="0"/>
              <w:ind w:left="180" w:right="0" w:hanging="180"/>
              <w:jc w:val="left"/>
              <w:rPr/>
            </w:pPr>
            <w:hyperlink w:anchor="FinancialCondition">
              <w:r>
                <w:rPr>
                  <w:rStyle w:val="InternetLink"/>
                  <w:rFonts w:ascii="Times New Roman" w:hAnsi="Times New Roman"/>
                  <w:sz w:val="17"/>
                </w:rPr>
                <w:t>Condensed Consolidated Statements of Financial Condition</w:t>
              </w:r>
            </w:hyperlink>
            <w:hyperlink w:anchor="FinancialCondition">
              <w:r>
                <w:rPr>
                  <w:rStyle w:val="InternetLink"/>
                </w:rPr>
                <w:t xml:space="preserve"> </w:t>
              </w:r>
            </w:hyperlink>
            <w:hyperlink w:anchor="FinancialCondition">
              <w:r>
                <w:rPr>
                  <w:rStyle w:val="InternetLink"/>
                  <w:rFonts w:ascii="Times New Roman" w:hAnsi="Times New Roman"/>
                  <w:sz w:val="17"/>
                </w:rPr>
                <w:t>March 31, 2019 and December 31, 2018</w:t>
              </w:r>
            </w:hyperlink>
          </w:p>
        </w:tc>
        <w:tc>
          <w:tcPr>
            <w:tcW w:w="770" w:type="dxa"/>
            <w:tcBorders/>
            <w:shd w:fill="CCEEFF" w:val="clear"/>
            <w:vAlign w:val="center"/>
          </w:tcPr>
          <w:p>
            <w:pPr>
              <w:pStyle w:val="TableContents"/>
              <w:spacing w:before="0" w:after="0"/>
              <w:jc w:val="right"/>
              <w:rPr/>
            </w:pPr>
            <w:r>
              <w:rPr/>
              <w:t> </w:t>
            </w:r>
            <w:r>
              <w:rPr>
                <w:rFonts w:ascii="Times New Roman" w:hAnsi="Times New Roman"/>
                <w:sz w:val="17"/>
              </w:rPr>
              <w:t>3</w:t>
            </w:r>
          </w:p>
        </w:tc>
      </w:tr>
      <w:tr>
        <w:trPr/>
        <w:tc>
          <w:tcPr>
            <w:tcW w:w="710" w:type="dxa"/>
            <w:tcBorders/>
            <w:shd w:fill="FFFFFF" w:val="clear"/>
            <w:vAlign w:val="center"/>
          </w:tcPr>
          <w:p>
            <w:pPr>
              <w:pStyle w:val="TableContents"/>
              <w:spacing w:before="0" w:after="283"/>
              <w:rPr/>
            </w:pPr>
            <w:r>
              <w:rPr/>
              <w:t> </w:t>
            </w:r>
          </w:p>
        </w:tc>
        <w:tc>
          <w:tcPr>
            <w:tcW w:w="8270" w:type="dxa"/>
            <w:tcBorders/>
            <w:shd w:fill="FFFFFF" w:val="clear"/>
            <w:vAlign w:val="center"/>
          </w:tcPr>
          <w:p>
            <w:pPr>
              <w:pStyle w:val="TableContents"/>
              <w:spacing w:before="0" w:after="0"/>
              <w:ind w:left="180" w:right="0" w:hanging="180"/>
              <w:jc w:val="left"/>
              <w:rPr/>
            </w:pPr>
            <w:hyperlink w:anchor="StatementsofOperations">
              <w:r>
                <w:rPr>
                  <w:rStyle w:val="InternetLink"/>
                  <w:rFonts w:ascii="Times New Roman" w:hAnsi="Times New Roman"/>
                  <w:sz w:val="17"/>
                </w:rPr>
                <w:t>Condensed Consolidated Statements of Operations</w:t>
              </w:r>
            </w:hyperlink>
            <w:hyperlink w:anchor="StatementsofOperations">
              <w:r>
                <w:rPr>
                  <w:rStyle w:val="InternetLink"/>
                </w:rPr>
                <w:t xml:space="preserve"> </w:t>
              </w:r>
            </w:hyperlink>
            <w:hyperlink w:anchor="StatementsofOperations">
              <w:r>
                <w:rPr>
                  <w:rStyle w:val="InternetLink"/>
                  <w:rFonts w:ascii="Times New Roman" w:hAnsi="Times New Roman"/>
                  <w:sz w:val="17"/>
                </w:rPr>
                <w:t>Three-month periods ended March 31, 2019 and 2018</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4</w:t>
            </w:r>
          </w:p>
        </w:tc>
      </w:tr>
      <w:tr>
        <w:trPr/>
        <w:tc>
          <w:tcPr>
            <w:tcW w:w="710" w:type="dxa"/>
            <w:tcBorders/>
            <w:shd w:fill="CCEEFF" w:val="clear"/>
            <w:vAlign w:val="center"/>
          </w:tcPr>
          <w:p>
            <w:pPr>
              <w:pStyle w:val="TableContents"/>
              <w:spacing w:before="0" w:after="283"/>
              <w:rPr/>
            </w:pPr>
            <w:r>
              <w:rPr/>
              <w:t> </w:t>
            </w:r>
          </w:p>
        </w:tc>
        <w:tc>
          <w:tcPr>
            <w:tcW w:w="8270" w:type="dxa"/>
            <w:tcBorders/>
            <w:shd w:fill="CCEEFF" w:val="clear"/>
            <w:vAlign w:val="center"/>
          </w:tcPr>
          <w:p>
            <w:pPr>
              <w:pStyle w:val="TableContents"/>
              <w:spacing w:before="0" w:after="0"/>
              <w:ind w:left="180" w:right="0" w:hanging="180"/>
              <w:jc w:val="left"/>
              <w:rPr/>
            </w:pPr>
            <w:hyperlink w:anchor="ComprehensiveIncome">
              <w:r>
                <w:rPr>
                  <w:rStyle w:val="InternetLink"/>
                  <w:rFonts w:ascii="Times New Roman" w:hAnsi="Times New Roman"/>
                  <w:sz w:val="17"/>
                </w:rPr>
                <w:t>Condensed Consolidated Statements of Comprehensive Income</w:t>
              </w:r>
            </w:hyperlink>
            <w:hyperlink w:anchor="ComprehensiveIncome">
              <w:r>
                <w:rPr>
                  <w:rStyle w:val="InternetLink"/>
                </w:rPr>
                <w:t xml:space="preserve"> </w:t>
              </w:r>
            </w:hyperlink>
            <w:hyperlink w:anchor="ComprehensiveIncome">
              <w:r>
                <w:rPr>
                  <w:rStyle w:val="InternetLink"/>
                  <w:rFonts w:ascii="Times New Roman" w:hAnsi="Times New Roman"/>
                  <w:sz w:val="17"/>
                </w:rPr>
                <w:t>Three-month periods ended March 31, 2019 and 2018</w:t>
              </w:r>
            </w:hyperlink>
          </w:p>
        </w:tc>
        <w:tc>
          <w:tcPr>
            <w:tcW w:w="770" w:type="dxa"/>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5</w:t>
            </w:r>
          </w:p>
        </w:tc>
      </w:tr>
      <w:tr>
        <w:trPr/>
        <w:tc>
          <w:tcPr>
            <w:tcW w:w="710" w:type="dxa"/>
            <w:tcBorders/>
            <w:shd w:fill="FFFFFF" w:val="clear"/>
            <w:vAlign w:val="center"/>
          </w:tcPr>
          <w:p>
            <w:pPr>
              <w:pStyle w:val="TableContents"/>
              <w:spacing w:before="0" w:after="283"/>
              <w:rPr/>
            </w:pPr>
            <w:r>
              <w:rPr/>
              <w:t> </w:t>
            </w:r>
          </w:p>
        </w:tc>
        <w:tc>
          <w:tcPr>
            <w:tcW w:w="8270" w:type="dxa"/>
            <w:tcBorders/>
            <w:shd w:fill="FFFFFF" w:val="clear"/>
            <w:vAlign w:val="center"/>
          </w:tcPr>
          <w:p>
            <w:pPr>
              <w:pStyle w:val="TableContents"/>
              <w:spacing w:before="0" w:after="0"/>
              <w:ind w:left="180" w:right="0" w:hanging="180"/>
              <w:jc w:val="left"/>
              <w:rPr/>
            </w:pPr>
            <w:hyperlink w:anchor="CashFlows">
              <w:r>
                <w:rPr>
                  <w:rStyle w:val="InternetLink"/>
                  <w:rFonts w:ascii="Times New Roman" w:hAnsi="Times New Roman"/>
                  <w:sz w:val="17"/>
                </w:rPr>
                <w:t>Condensed Consolidated Statements of Cash Flows</w:t>
              </w:r>
            </w:hyperlink>
            <w:hyperlink w:anchor="CashFlows">
              <w:r>
                <w:rPr>
                  <w:rStyle w:val="InternetLink"/>
                </w:rPr>
                <w:t xml:space="preserve"> </w:t>
              </w:r>
            </w:hyperlink>
            <w:hyperlink w:anchor="CashFlows">
              <w:r>
                <w:rPr>
                  <w:rStyle w:val="InternetLink"/>
                  <w:sz w:val="20"/>
                </w:rPr>
                <w:t>Three-month periods ended March 31, 2019 and 2018</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6</w:t>
            </w:r>
          </w:p>
        </w:tc>
      </w:tr>
      <w:tr>
        <w:trPr/>
        <w:tc>
          <w:tcPr>
            <w:tcW w:w="710" w:type="dxa"/>
            <w:tcBorders/>
            <w:shd w:fill="CCEEFF" w:val="clear"/>
            <w:vAlign w:val="center"/>
          </w:tcPr>
          <w:p>
            <w:pPr>
              <w:pStyle w:val="TableContents"/>
              <w:spacing w:before="0" w:after="283"/>
              <w:rPr/>
            </w:pPr>
            <w:r>
              <w:rPr/>
              <w:t> </w:t>
            </w:r>
          </w:p>
        </w:tc>
        <w:tc>
          <w:tcPr>
            <w:tcW w:w="8270" w:type="dxa"/>
            <w:tcBorders/>
            <w:shd w:fill="CCEEFF" w:val="clear"/>
            <w:vAlign w:val="center"/>
          </w:tcPr>
          <w:p>
            <w:pPr>
              <w:pStyle w:val="TableContents"/>
              <w:spacing w:before="0" w:after="0"/>
              <w:ind w:left="180" w:right="0" w:hanging="180"/>
              <w:jc w:val="left"/>
              <w:rPr/>
            </w:pPr>
            <w:hyperlink w:anchor="ShareholdersEquity">
              <w:r>
                <w:rPr>
                  <w:rStyle w:val="InternetLink"/>
                  <w:rFonts w:ascii="Times New Roman" w:hAnsi="Times New Roman"/>
                  <w:sz w:val="17"/>
                </w:rPr>
                <w:t>Condensed Consolidated Statements of Shareholders’ Equity</w:t>
              </w:r>
            </w:hyperlink>
            <w:hyperlink w:anchor="ShareholdersEquity">
              <w:r>
                <w:rPr>
                  <w:rStyle w:val="InternetLink"/>
                </w:rPr>
                <w:t xml:space="preserve"> </w:t>
              </w:r>
            </w:hyperlink>
            <w:hyperlink w:anchor="ShareholdersEquity">
              <w:r>
                <w:rPr>
                  <w:rStyle w:val="InternetLink"/>
                  <w:rFonts w:ascii="Times New Roman" w:hAnsi="Times New Roman"/>
                  <w:sz w:val="17"/>
                </w:rPr>
                <w:t>Three-month periods ended March 31, 2019 and 2018</w:t>
              </w:r>
            </w:hyperlink>
          </w:p>
        </w:tc>
        <w:tc>
          <w:tcPr>
            <w:tcW w:w="770" w:type="dxa"/>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7</w:t>
            </w:r>
          </w:p>
        </w:tc>
      </w:tr>
      <w:tr>
        <w:trPr/>
        <w:tc>
          <w:tcPr>
            <w:tcW w:w="710" w:type="dxa"/>
            <w:tcBorders/>
            <w:shd w:fill="FFFFFF" w:val="clear"/>
            <w:vAlign w:val="center"/>
          </w:tcPr>
          <w:p>
            <w:pPr>
              <w:pStyle w:val="TableContents"/>
              <w:spacing w:before="0" w:after="283"/>
              <w:rPr/>
            </w:pPr>
            <w:r>
              <w:rPr/>
              <w:t> </w:t>
            </w:r>
          </w:p>
        </w:tc>
        <w:tc>
          <w:tcPr>
            <w:tcW w:w="8270" w:type="dxa"/>
            <w:tcBorders/>
            <w:shd w:fill="FFFFFF" w:val="clear"/>
            <w:vAlign w:val="center"/>
          </w:tcPr>
          <w:p>
            <w:pPr>
              <w:pStyle w:val="TableContents"/>
              <w:spacing w:before="0" w:after="0"/>
              <w:ind w:left="180" w:right="0" w:hanging="180"/>
              <w:jc w:val="left"/>
              <w:rPr/>
            </w:pPr>
            <w:hyperlink w:anchor="NOTES">
              <w:r>
                <w:rPr>
                  <w:rStyle w:val="InternetLink"/>
                  <w:rFonts w:ascii="Times New Roman" w:hAnsi="Times New Roman"/>
                  <w:sz w:val="17"/>
                </w:rPr>
                <w:t>Notes to Interim Condensed Consolidated Financial Statements</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8-56</w:t>
            </w:r>
          </w:p>
        </w:tc>
      </w:tr>
      <w:tr>
        <w:trPr/>
        <w:tc>
          <w:tcPr>
            <w:tcW w:w="710" w:type="dxa"/>
            <w:tcBorders/>
            <w:shd w:fill="CCEEFF" w:val="clear"/>
            <w:vAlign w:val="center"/>
          </w:tcPr>
          <w:p>
            <w:pPr>
              <w:pStyle w:val="TableContents"/>
              <w:spacing w:before="0" w:after="0"/>
              <w:jc w:val="left"/>
              <w:rPr>
                <w:rFonts w:ascii="Times New Roman" w:hAnsi="Times New Roman"/>
                <w:sz w:val="17"/>
              </w:rPr>
            </w:pPr>
            <w:r>
              <w:rPr>
                <w:rFonts w:ascii="Times New Roman" w:hAnsi="Times New Roman"/>
                <w:sz w:val="17"/>
              </w:rPr>
              <w:t>Item 2.</w:t>
            </w:r>
          </w:p>
        </w:tc>
        <w:tc>
          <w:tcPr>
            <w:tcW w:w="8270" w:type="dxa"/>
            <w:tcBorders/>
            <w:shd w:fill="CCEEFF" w:val="clear"/>
            <w:vAlign w:val="center"/>
          </w:tcPr>
          <w:p>
            <w:pPr>
              <w:pStyle w:val="TableContents"/>
              <w:spacing w:before="0" w:after="0"/>
              <w:ind w:left="180" w:right="0" w:hanging="180"/>
              <w:jc w:val="left"/>
              <w:rPr/>
            </w:pPr>
            <w:hyperlink w:anchor="ManagementsDiscussionandA">
              <w:r>
                <w:rPr>
                  <w:rStyle w:val="InternetLink"/>
                  <w:rFonts w:ascii="Times New Roman" w:hAnsi="Times New Roman"/>
                  <w:sz w:val="17"/>
                </w:rPr>
                <w:t>Management’s Discussion and Analysis of Financial</w:t>
              </w:r>
            </w:hyperlink>
            <w:hyperlink w:anchor="ManagementsDiscussionandA">
              <w:r>
                <w:rPr>
                  <w:rStyle w:val="InternetLink"/>
                </w:rPr>
                <w:t xml:space="preserve"> </w:t>
              </w:r>
            </w:hyperlink>
            <w:hyperlink w:anchor="ManagementsDiscussionandA">
              <w:r>
                <w:rPr>
                  <w:rStyle w:val="InternetLink"/>
                  <w:rFonts w:ascii="Times New Roman" w:hAnsi="Times New Roman"/>
                  <w:sz w:val="17"/>
                </w:rPr>
                <w:t>Condition and Results of Operations</w:t>
              </w:r>
            </w:hyperlink>
          </w:p>
        </w:tc>
        <w:tc>
          <w:tcPr>
            <w:tcW w:w="770" w:type="dxa"/>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57-77</w:t>
            </w:r>
          </w:p>
        </w:tc>
      </w:tr>
      <w:tr>
        <w:trPr/>
        <w:tc>
          <w:tcPr>
            <w:tcW w:w="710" w:type="dxa"/>
            <w:tcBorders/>
            <w:shd w:fill="FFFFFF" w:val="clear"/>
            <w:vAlign w:val="center"/>
          </w:tcPr>
          <w:p>
            <w:pPr>
              <w:pStyle w:val="TableContents"/>
              <w:spacing w:before="0" w:after="0"/>
              <w:jc w:val="left"/>
              <w:rPr>
                <w:rFonts w:ascii="Times New Roman" w:hAnsi="Times New Roman"/>
                <w:sz w:val="17"/>
              </w:rPr>
            </w:pPr>
            <w:r>
              <w:rPr>
                <w:rFonts w:ascii="Times New Roman" w:hAnsi="Times New Roman"/>
                <w:sz w:val="17"/>
              </w:rPr>
              <w:t>Item 3.</w:t>
            </w:r>
          </w:p>
        </w:tc>
        <w:tc>
          <w:tcPr>
            <w:tcW w:w="8270" w:type="dxa"/>
            <w:tcBorders/>
            <w:shd w:fill="FFFFFF" w:val="clear"/>
            <w:vAlign w:val="center"/>
          </w:tcPr>
          <w:p>
            <w:pPr>
              <w:pStyle w:val="TableContents"/>
              <w:spacing w:before="0" w:after="0"/>
              <w:ind w:left="180" w:right="0" w:hanging="180"/>
              <w:jc w:val="left"/>
              <w:rPr/>
            </w:pPr>
            <w:hyperlink w:anchor="QuantitativeandQualitativ">
              <w:r>
                <w:rPr>
                  <w:rStyle w:val="InternetLink"/>
                  <w:rFonts w:ascii="Times New Roman" w:hAnsi="Times New Roman"/>
                  <w:sz w:val="17"/>
                </w:rPr>
                <w:t>Quantitative and Qualitative Disclosures about Market Risk</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78</w:t>
            </w:r>
          </w:p>
        </w:tc>
      </w:tr>
      <w:tr>
        <w:trPr/>
        <w:tc>
          <w:tcPr>
            <w:tcW w:w="710" w:type="dxa"/>
            <w:tcBorders/>
            <w:shd w:fill="CCEEFF" w:val="clear"/>
            <w:vAlign w:val="center"/>
          </w:tcPr>
          <w:p>
            <w:pPr>
              <w:pStyle w:val="TableContents"/>
              <w:spacing w:before="0" w:after="0"/>
              <w:jc w:val="left"/>
              <w:rPr>
                <w:rFonts w:ascii="Times New Roman" w:hAnsi="Times New Roman"/>
                <w:sz w:val="17"/>
              </w:rPr>
            </w:pPr>
            <w:r>
              <w:rPr>
                <w:rFonts w:ascii="Times New Roman" w:hAnsi="Times New Roman"/>
                <w:sz w:val="17"/>
              </w:rPr>
              <w:t>Item 4.</w:t>
            </w:r>
          </w:p>
        </w:tc>
        <w:tc>
          <w:tcPr>
            <w:tcW w:w="8270" w:type="dxa"/>
            <w:tcBorders/>
            <w:shd w:fill="CCEEFF" w:val="clear"/>
            <w:vAlign w:val="center"/>
          </w:tcPr>
          <w:p>
            <w:pPr>
              <w:pStyle w:val="TableContents"/>
              <w:spacing w:before="0" w:after="0"/>
              <w:ind w:left="180" w:right="0" w:hanging="180"/>
              <w:jc w:val="left"/>
              <w:rPr/>
            </w:pPr>
            <w:hyperlink w:anchor="ControlsandProcedures">
              <w:r>
                <w:rPr>
                  <w:rStyle w:val="InternetLink"/>
                  <w:rFonts w:ascii="Times New Roman" w:hAnsi="Times New Roman"/>
                  <w:sz w:val="17"/>
                </w:rPr>
                <w:t>Controls and Procedures</w:t>
              </w:r>
            </w:hyperlink>
          </w:p>
        </w:tc>
        <w:tc>
          <w:tcPr>
            <w:tcW w:w="770" w:type="dxa"/>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78</w:t>
            </w:r>
          </w:p>
        </w:tc>
      </w:tr>
      <w:tr>
        <w:trPr/>
        <w:tc>
          <w:tcPr>
            <w:tcW w:w="710" w:type="dxa"/>
            <w:tcBorders/>
            <w:shd w:fill="FFFFFF" w:val="clear"/>
            <w:vAlign w:val="center"/>
          </w:tcPr>
          <w:p>
            <w:pPr>
              <w:pStyle w:val="TableContents"/>
              <w:spacing w:before="0" w:after="283"/>
              <w:ind w:left="180" w:right="0" w:hanging="180"/>
              <w:rPr/>
            </w:pPr>
            <w:r>
              <w:rPr/>
              <w:t> </w:t>
            </w:r>
          </w:p>
        </w:tc>
        <w:tc>
          <w:tcPr>
            <w:tcW w:w="8270" w:type="dxa"/>
            <w:tcBorders/>
            <w:shd w:fill="FFFFFF" w:val="clear"/>
            <w:vAlign w:val="center"/>
          </w:tcPr>
          <w:p>
            <w:pPr>
              <w:pStyle w:val="TableContents"/>
              <w:spacing w:before="0" w:after="283"/>
              <w:rPr/>
            </w:pPr>
            <w:r>
              <w:rPr/>
              <w:t> </w:t>
            </w:r>
          </w:p>
        </w:tc>
        <w:tc>
          <w:tcPr>
            <w:tcW w:w="770" w:type="dxa"/>
            <w:tcBorders/>
            <w:shd w:fill="FFFFFF" w:val="clear"/>
            <w:vAlign w:val="center"/>
          </w:tcPr>
          <w:p>
            <w:pPr>
              <w:pStyle w:val="TableContents"/>
              <w:spacing w:before="0" w:after="283"/>
              <w:jc w:val="right"/>
              <w:rPr/>
            </w:pPr>
            <w:r>
              <w:rPr/>
              <w:t> </w:t>
            </w:r>
          </w:p>
        </w:tc>
      </w:tr>
      <w:tr>
        <w:trPr/>
        <w:tc>
          <w:tcPr>
            <w:tcW w:w="710" w:type="dxa"/>
            <w:tcBorders/>
            <w:shd w:fill="CCEEFF" w:val="clear"/>
            <w:vAlign w:val="center"/>
          </w:tcPr>
          <w:p>
            <w:pPr>
              <w:pStyle w:val="TableContents"/>
              <w:spacing w:before="0" w:after="0"/>
              <w:jc w:val="left"/>
              <w:rPr>
                <w:rFonts w:ascii="Times New Roman" w:hAnsi="Times New Roman"/>
                <w:sz w:val="17"/>
              </w:rPr>
            </w:pPr>
            <w:r>
              <w:rPr>
                <w:rFonts w:ascii="Times New Roman" w:hAnsi="Times New Roman"/>
                <w:sz w:val="17"/>
              </w:rPr>
              <w:t>PART II -</w:t>
            </w:r>
          </w:p>
        </w:tc>
        <w:tc>
          <w:tcPr>
            <w:tcW w:w="8270" w:type="dxa"/>
            <w:tcBorders/>
            <w:shd w:fill="CCEEFF" w:val="clear"/>
            <w:vAlign w:val="center"/>
          </w:tcPr>
          <w:p>
            <w:pPr>
              <w:pStyle w:val="TableContents"/>
              <w:spacing w:before="0" w:after="0"/>
              <w:ind w:left="180" w:right="0" w:hanging="180"/>
              <w:jc w:val="left"/>
              <w:rPr>
                <w:rFonts w:ascii="Times New Roman" w:hAnsi="Times New Roman"/>
                <w:sz w:val="17"/>
                <w:u w:val="single"/>
              </w:rPr>
            </w:pPr>
            <w:r>
              <w:rPr>
                <w:rFonts w:ascii="Times New Roman" w:hAnsi="Times New Roman"/>
                <w:sz w:val="17"/>
                <w:u w:val="single"/>
              </w:rPr>
              <w:t>Other Information</w:t>
            </w:r>
          </w:p>
        </w:tc>
        <w:tc>
          <w:tcPr>
            <w:tcW w:w="770" w:type="dxa"/>
            <w:tcBorders/>
            <w:shd w:fill="CCEEFF" w:val="clear"/>
            <w:vAlign w:val="center"/>
          </w:tcPr>
          <w:p>
            <w:pPr>
              <w:pStyle w:val="TableContents"/>
              <w:spacing w:before="0" w:after="283"/>
              <w:jc w:val="right"/>
              <w:rPr/>
            </w:pPr>
            <w:r>
              <w:rPr/>
              <w:t> </w:t>
            </w:r>
          </w:p>
        </w:tc>
      </w:tr>
      <w:tr>
        <w:trPr/>
        <w:tc>
          <w:tcPr>
            <w:tcW w:w="710" w:type="dxa"/>
            <w:tcBorders/>
            <w:shd w:fill="FFFFFF" w:val="clear"/>
            <w:vAlign w:val="center"/>
          </w:tcPr>
          <w:p>
            <w:pPr>
              <w:pStyle w:val="TableContents"/>
              <w:spacing w:before="0" w:after="0"/>
              <w:jc w:val="left"/>
              <w:rPr>
                <w:rFonts w:ascii="Times New Roman" w:hAnsi="Times New Roman"/>
                <w:sz w:val="17"/>
              </w:rPr>
            </w:pPr>
            <w:r>
              <w:rPr>
                <w:rFonts w:ascii="Times New Roman" w:hAnsi="Times New Roman"/>
                <w:sz w:val="17"/>
              </w:rPr>
              <w:t>Item 1A</w:t>
            </w:r>
          </w:p>
        </w:tc>
        <w:tc>
          <w:tcPr>
            <w:tcW w:w="8270" w:type="dxa"/>
            <w:tcBorders/>
            <w:shd w:fill="FFFFFF" w:val="clear"/>
            <w:vAlign w:val="center"/>
          </w:tcPr>
          <w:p>
            <w:pPr>
              <w:pStyle w:val="TableContents"/>
              <w:spacing w:before="0" w:after="0"/>
              <w:ind w:left="180" w:right="0" w:hanging="180"/>
              <w:jc w:val="left"/>
              <w:rPr/>
            </w:pPr>
            <w:hyperlink w:anchor="RiskFactors">
              <w:r>
                <w:rPr>
                  <w:rStyle w:val="InternetLink"/>
                  <w:rFonts w:ascii="Times New Roman" w:hAnsi="Times New Roman"/>
                  <w:sz w:val="17"/>
                </w:rPr>
                <w:t>Risk Factors</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79</w:t>
            </w:r>
          </w:p>
        </w:tc>
      </w:tr>
      <w:tr>
        <w:trPr/>
        <w:tc>
          <w:tcPr>
            <w:tcW w:w="710" w:type="dxa"/>
            <w:tcBorders/>
            <w:shd w:fill="CCEEFF" w:val="clear"/>
            <w:vAlign w:val="center"/>
          </w:tcPr>
          <w:p>
            <w:pPr>
              <w:pStyle w:val="TableContents"/>
              <w:spacing w:before="0" w:after="0"/>
              <w:jc w:val="left"/>
              <w:rPr>
                <w:rFonts w:ascii="Times New Roman" w:hAnsi="Times New Roman"/>
                <w:sz w:val="17"/>
              </w:rPr>
            </w:pPr>
            <w:r>
              <w:rPr>
                <w:rFonts w:ascii="Times New Roman" w:hAnsi="Times New Roman"/>
                <w:sz w:val="17"/>
              </w:rPr>
              <w:t>Item 2.</w:t>
            </w:r>
          </w:p>
        </w:tc>
        <w:tc>
          <w:tcPr>
            <w:tcW w:w="8270" w:type="dxa"/>
            <w:tcBorders/>
            <w:shd w:fill="CCEEFF" w:val="clear"/>
            <w:vAlign w:val="center"/>
          </w:tcPr>
          <w:p>
            <w:pPr>
              <w:pStyle w:val="TableContents"/>
              <w:spacing w:before="0" w:after="0"/>
              <w:ind w:left="180" w:right="0" w:hanging="180"/>
              <w:jc w:val="left"/>
              <w:rPr/>
            </w:pPr>
            <w:hyperlink w:anchor="UnregisteredSalesofEquity">
              <w:r>
                <w:rPr>
                  <w:rStyle w:val="InternetLink"/>
                  <w:rFonts w:ascii="Times New Roman" w:hAnsi="Times New Roman"/>
                  <w:sz w:val="17"/>
                </w:rPr>
                <w:t>Unregistered Sales of Equity Securities and Use of Proceeds</w:t>
              </w:r>
            </w:hyperlink>
          </w:p>
        </w:tc>
        <w:tc>
          <w:tcPr>
            <w:tcW w:w="770" w:type="dxa"/>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79</w:t>
            </w:r>
          </w:p>
        </w:tc>
      </w:tr>
      <w:tr>
        <w:trPr/>
        <w:tc>
          <w:tcPr>
            <w:tcW w:w="710" w:type="dxa"/>
            <w:tcBorders/>
            <w:shd w:fill="FFFFFF" w:val="clear"/>
            <w:vAlign w:val="center"/>
          </w:tcPr>
          <w:p>
            <w:pPr>
              <w:pStyle w:val="TableContents"/>
              <w:spacing w:before="0" w:after="0"/>
              <w:jc w:val="left"/>
              <w:rPr>
                <w:rFonts w:ascii="Times New Roman" w:hAnsi="Times New Roman"/>
                <w:sz w:val="17"/>
              </w:rPr>
            </w:pPr>
            <w:r>
              <w:rPr>
                <w:rFonts w:ascii="Times New Roman" w:hAnsi="Times New Roman"/>
                <w:sz w:val="17"/>
              </w:rPr>
              <w:t>Item 6.</w:t>
            </w:r>
          </w:p>
        </w:tc>
        <w:tc>
          <w:tcPr>
            <w:tcW w:w="8270" w:type="dxa"/>
            <w:tcBorders/>
            <w:shd w:fill="FFFFFF" w:val="clear"/>
            <w:vAlign w:val="center"/>
          </w:tcPr>
          <w:p>
            <w:pPr>
              <w:pStyle w:val="TableContents"/>
              <w:spacing w:before="0" w:after="0"/>
              <w:ind w:left="180" w:right="0" w:hanging="180"/>
              <w:jc w:val="left"/>
              <w:rPr/>
            </w:pPr>
            <w:hyperlink w:anchor="Exhibits">
              <w:r>
                <w:rPr>
                  <w:rStyle w:val="InternetLink"/>
                  <w:rFonts w:ascii="Times New Roman" w:hAnsi="Times New Roman"/>
                  <w:sz w:val="17"/>
                </w:rPr>
                <w:t>Exhibits</w:t>
              </w:r>
            </w:hyperlink>
          </w:p>
        </w:tc>
        <w:tc>
          <w:tcPr>
            <w:tcW w:w="770" w:type="dxa"/>
            <w:tcBorders/>
            <w:shd w:fill="FFFFFF" w:val="clear"/>
            <w:vAlign w:val="center"/>
          </w:tcPr>
          <w:p>
            <w:pPr>
              <w:pStyle w:val="TableContents"/>
              <w:spacing w:before="0" w:after="0"/>
              <w:jc w:val="right"/>
              <w:rPr>
                <w:rFonts w:ascii="Times New Roman" w:hAnsi="Times New Roman"/>
                <w:sz w:val="17"/>
              </w:rPr>
            </w:pPr>
            <w:r>
              <w:rPr>
                <w:rFonts w:ascii="Times New Roman" w:hAnsi="Times New Roman"/>
                <w:sz w:val="17"/>
              </w:rPr>
              <w:t>80</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 w:name="DSPFPageBreakArea"/>
      <w:bookmarkStart w:id="20" w:name="DSPFPageBreakArea"/>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1" w:name="DSPFPageNumber"/>
      <w:bookmarkEnd w:id="21"/>
      <w:r>
        <w:rPr>
          <w:rFonts w:ascii="Times New Roman" w:hAnsi="Times New Roman"/>
          <w:b w:val="false"/>
          <w:i w:val="false"/>
          <w:caps w:val="false"/>
          <w:smallCaps w:val="false"/>
          <w:sz w:val="13"/>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 w:name="DSPFPageBreak"/>
      <w:bookmarkStart w:id="23" w:name="DSPFPageBreak"/>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17"/>
        </w:rPr>
      </w:pPr>
      <w:r>
        <w:rPr>
          <w:rFonts w:ascii="Times New Roman" w:hAnsi="Times New Roman"/>
          <w:b/>
          <w:sz w:val="17"/>
        </w:rPr>
        <w:t>FORWARD-LOOKING STATEMENTS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pStyle w:val="TextBody"/>
        <w:spacing w:before="0" w:after="0"/>
        <w:jc w:val="both"/>
        <w:rPr>
          <w:rFonts w:ascii="Times New Roman" w:hAnsi="Times New Roman"/>
          <w:sz w:val="17"/>
        </w:rPr>
      </w:pPr>
      <w:r>
        <w:rPr>
          <w:rFonts w:ascii="Times New Roman" w:hAnsi="Times New Roman"/>
          <w:sz w:val="17"/>
        </w:rPr>
      </w:r>
    </w:p>
    <w:p>
      <w:pPr>
        <w:pStyle w:val="Normal"/>
        <w:spacing w:before="0" w:after="0"/>
        <w:rPr>
          <w:sz w:val="4"/>
          <w:szCs w:val="4"/>
        </w:rPr>
      </w:pPr>
      <w:r>
        <w:rPr>
          <w:sz w:val="4"/>
          <w:szCs w:val="4"/>
        </w:rPr>
      </w:r>
      <w:bookmarkStart w:id="24" w:name="z303d6e992750417995dc2324236fc44c"/>
      <w:bookmarkStart w:id="25" w:name="z303d6e992750417995dc2324236fc44c"/>
      <w:bookmarkEnd w:id="25"/>
    </w:p>
    <w:tbl>
      <w:tblPr>
        <w:tblW w:w="7023" w:type="dxa"/>
        <w:jc w:val="left"/>
        <w:tblInd w:w="0" w:type="dxa"/>
        <w:tblCellMar>
          <w:top w:w="0" w:type="dxa"/>
          <w:left w:w="0" w:type="dxa"/>
          <w:bottom w:w="0" w:type="dxa"/>
          <w:right w:w="0" w:type="dxa"/>
        </w:tblCellMar>
      </w:tblPr>
      <w:tblGrid>
        <w:gridCol w:w="38"/>
        <w:gridCol w:w="110"/>
        <w:gridCol w:w="68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87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economic, market, operational, liquidity, credit, and interest rate risks associated with our business;</w:t>
            </w:r>
          </w:p>
        </w:tc>
      </w:tr>
    </w:tbl>
    <w:p>
      <w:pPr>
        <w:pStyle w:val="Normal"/>
        <w:spacing w:before="0" w:after="0"/>
        <w:rPr>
          <w:sz w:val="4"/>
          <w:szCs w:val="4"/>
        </w:rPr>
      </w:pPr>
      <w:r>
        <w:rPr>
          <w:sz w:val="4"/>
          <w:szCs w:val="4"/>
        </w:rPr>
      </w:r>
      <w:bookmarkStart w:id="26" w:name="zb73916080a954e738f20d372d90de1d7"/>
      <w:bookmarkStart w:id="27" w:name="zb73916080a954e738f20d372d90de1d7"/>
      <w:bookmarkEnd w:id="2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economic conditions generally and in the financial services industry, particularly economic conditions within Michigan and the regional and local real estate markets in which our bank operates;</w:t>
            </w:r>
          </w:p>
        </w:tc>
      </w:tr>
    </w:tbl>
    <w:p>
      <w:pPr>
        <w:pStyle w:val="Normal"/>
        <w:spacing w:before="0" w:after="0"/>
        <w:rPr>
          <w:sz w:val="4"/>
          <w:szCs w:val="4"/>
        </w:rPr>
      </w:pPr>
      <w:r>
        <w:rPr>
          <w:sz w:val="4"/>
          <w:szCs w:val="4"/>
        </w:rPr>
      </w:r>
      <w:bookmarkStart w:id="28" w:name="zb6aaf8b7372140638e32e89e9c31821c"/>
      <w:bookmarkStart w:id="29" w:name="zb6aaf8b7372140638e32e89e9c31821c"/>
      <w:bookmarkEnd w:id="29"/>
    </w:p>
    <w:tbl>
      <w:tblPr>
        <w:tblW w:w="8058" w:type="dxa"/>
        <w:jc w:val="left"/>
        <w:tblInd w:w="0" w:type="dxa"/>
        <w:tblCellMar>
          <w:top w:w="0" w:type="dxa"/>
          <w:left w:w="0" w:type="dxa"/>
          <w:bottom w:w="0" w:type="dxa"/>
          <w:right w:w="0" w:type="dxa"/>
        </w:tblCellMar>
      </w:tblPr>
      <w:tblGrid>
        <w:gridCol w:w="38"/>
        <w:gridCol w:w="110"/>
        <w:gridCol w:w="79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91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the failure of assumptions underlying the establishment of, and provisions made to, our allowance for loan losses;</w:t>
            </w:r>
          </w:p>
        </w:tc>
      </w:tr>
    </w:tbl>
    <w:p>
      <w:pPr>
        <w:pStyle w:val="Normal"/>
        <w:spacing w:before="0" w:after="0"/>
        <w:rPr>
          <w:sz w:val="4"/>
          <w:szCs w:val="4"/>
        </w:rPr>
      </w:pPr>
      <w:r>
        <w:rPr>
          <w:sz w:val="4"/>
          <w:szCs w:val="4"/>
        </w:rPr>
      </w:r>
      <w:bookmarkStart w:id="30" w:name="z6ac84385963d4f18b3c7010d928a8cb5"/>
      <w:bookmarkStart w:id="31" w:name="z6ac84385963d4f18b3c7010d928a8cb5"/>
      <w:bookmarkEnd w:id="31"/>
    </w:p>
    <w:tbl>
      <w:tblPr>
        <w:tblW w:w="6183" w:type="dxa"/>
        <w:jc w:val="left"/>
        <w:tblInd w:w="0" w:type="dxa"/>
        <w:tblCellMar>
          <w:top w:w="0" w:type="dxa"/>
          <w:left w:w="0" w:type="dxa"/>
          <w:bottom w:w="0" w:type="dxa"/>
          <w:right w:w="0" w:type="dxa"/>
        </w:tblCellMar>
      </w:tblPr>
      <w:tblGrid>
        <w:gridCol w:w="38"/>
        <w:gridCol w:w="110"/>
        <w:gridCol w:w="60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03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increased competition in the financial services industry, either nationally or regionally;</w:t>
            </w:r>
          </w:p>
        </w:tc>
      </w:tr>
    </w:tbl>
    <w:p>
      <w:pPr>
        <w:pStyle w:val="Normal"/>
        <w:spacing w:before="0" w:after="0"/>
        <w:rPr>
          <w:sz w:val="4"/>
          <w:szCs w:val="4"/>
        </w:rPr>
      </w:pPr>
      <w:r>
        <w:rPr>
          <w:sz w:val="4"/>
          <w:szCs w:val="4"/>
        </w:rPr>
      </w:r>
      <w:bookmarkStart w:id="32" w:name="zfd9f998edfcd4efc9415e036f63dc1f2"/>
      <w:bookmarkStart w:id="33" w:name="zfd9f998edfcd4efc9415e036f63dc1f2"/>
      <w:bookmarkEnd w:id="33"/>
    </w:p>
    <w:tbl>
      <w:tblPr>
        <w:tblW w:w="3423" w:type="dxa"/>
        <w:jc w:val="left"/>
        <w:tblInd w:w="0" w:type="dxa"/>
        <w:tblCellMar>
          <w:top w:w="0" w:type="dxa"/>
          <w:left w:w="0" w:type="dxa"/>
          <w:bottom w:w="0" w:type="dxa"/>
          <w:right w:w="0" w:type="dxa"/>
        </w:tblCellMar>
      </w:tblPr>
      <w:tblGrid>
        <w:gridCol w:w="38"/>
        <w:gridCol w:w="110"/>
        <w:gridCol w:w="32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7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our ability to achieve loan and deposit growth;</w:t>
            </w:r>
          </w:p>
        </w:tc>
      </w:tr>
    </w:tbl>
    <w:p>
      <w:pPr>
        <w:pStyle w:val="Normal"/>
        <w:spacing w:before="0" w:after="0"/>
        <w:rPr>
          <w:sz w:val="4"/>
          <w:szCs w:val="4"/>
        </w:rPr>
      </w:pPr>
      <w:r>
        <w:rPr>
          <w:sz w:val="4"/>
          <w:szCs w:val="4"/>
        </w:rPr>
      </w:r>
      <w:bookmarkStart w:id="34" w:name="zb258669c588340daa648f46808cde956"/>
      <w:bookmarkStart w:id="35" w:name="zb258669c588340daa648f46808cde956"/>
      <w:bookmarkEnd w:id="35"/>
    </w:p>
    <w:tbl>
      <w:tblPr>
        <w:tblW w:w="3423" w:type="dxa"/>
        <w:jc w:val="left"/>
        <w:tblInd w:w="0" w:type="dxa"/>
        <w:tblCellMar>
          <w:top w:w="0" w:type="dxa"/>
          <w:left w:w="0" w:type="dxa"/>
          <w:bottom w:w="0" w:type="dxa"/>
          <w:right w:w="0" w:type="dxa"/>
        </w:tblCellMar>
      </w:tblPr>
      <w:tblGrid>
        <w:gridCol w:w="38"/>
        <w:gridCol w:w="110"/>
        <w:gridCol w:w="32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7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volatility and direction of market interest rates;</w:t>
            </w:r>
          </w:p>
        </w:tc>
      </w:tr>
    </w:tbl>
    <w:p>
      <w:pPr>
        <w:pStyle w:val="Normal"/>
        <w:spacing w:before="0" w:after="0"/>
        <w:rPr>
          <w:sz w:val="4"/>
          <w:szCs w:val="4"/>
        </w:rPr>
      </w:pPr>
      <w:r>
        <w:rPr>
          <w:sz w:val="4"/>
          <w:szCs w:val="4"/>
        </w:rPr>
      </w:r>
      <w:bookmarkStart w:id="36" w:name="zdde76ad89669413fb932fe7894640188"/>
      <w:bookmarkStart w:id="37" w:name="zdde76ad89669413fb932fe7894640188"/>
      <w:bookmarkEnd w:id="37"/>
    </w:p>
    <w:tbl>
      <w:tblPr>
        <w:tblW w:w="3843" w:type="dxa"/>
        <w:jc w:val="left"/>
        <w:tblInd w:w="0" w:type="dxa"/>
        <w:tblCellMar>
          <w:top w:w="0" w:type="dxa"/>
          <w:left w:w="0" w:type="dxa"/>
          <w:bottom w:w="0" w:type="dxa"/>
          <w:right w:w="0" w:type="dxa"/>
        </w:tblCellMar>
      </w:tblPr>
      <w:tblGrid>
        <w:gridCol w:w="38"/>
        <w:gridCol w:w="110"/>
        <w:gridCol w:w="36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the continued services of our management team; and</w:t>
            </w:r>
          </w:p>
        </w:tc>
      </w:tr>
    </w:tbl>
    <w:p>
      <w:pPr>
        <w:pStyle w:val="Normal"/>
        <w:spacing w:before="0" w:after="0"/>
        <w:rPr>
          <w:sz w:val="4"/>
          <w:szCs w:val="4"/>
        </w:rPr>
      </w:pPr>
      <w:r>
        <w:rPr>
          <w:sz w:val="4"/>
          <w:szCs w:val="4"/>
        </w:rPr>
      </w:r>
      <w:bookmarkStart w:id="38" w:name="z32758eaa49d1414591d4c54b332593e0"/>
      <w:bookmarkStart w:id="39" w:name="z32758eaa49d1414591d4c54b332593e0"/>
      <w:bookmarkEnd w:id="39"/>
    </w:p>
    <w:tbl>
      <w:tblPr>
        <w:tblW w:w="7893" w:type="dxa"/>
        <w:jc w:val="left"/>
        <w:tblInd w:w="0" w:type="dxa"/>
        <w:tblCellMar>
          <w:top w:w="0" w:type="dxa"/>
          <w:left w:w="0" w:type="dxa"/>
          <w:bottom w:w="0" w:type="dxa"/>
          <w:right w:w="0" w:type="dxa"/>
        </w:tblCellMar>
      </w:tblPr>
      <w:tblGrid>
        <w:gridCol w:w="38"/>
        <w:gridCol w:w="110"/>
        <w:gridCol w:w="77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7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implementation of new legislation, which may have significant effects on us and the financial services industry.</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2018,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pStyle w:val="TextBody"/>
        <w:spacing w:before="0" w:after="0"/>
        <w:jc w:val="both"/>
        <w:rPr>
          <w:rFonts w:ascii="Times New Roman" w:hAnsi="Times New Roman"/>
          <w:sz w:val="17"/>
        </w:rPr>
      </w:pPr>
      <w:hyperlink w:anchor="INDEX">
        <w:r>
          <w:rPr/>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 w:name="DSPFPageBreakArea1"/>
      <w:bookmarkStart w:id="41" w:name="DSPFPageBreakArea1"/>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2" w:name="DSPFPageNumber1"/>
      <w:bookmarkStart w:id="43" w:name="DSPFPageNumberArea"/>
      <w:bookmarkEnd w:id="42"/>
      <w:bookmarkEnd w:id="43"/>
      <w:r>
        <w:rPr>
          <w:rFonts w:ascii="Times New Roman" w:hAnsi="Times New Roman"/>
          <w:b w:val="false"/>
          <w:i w:val="false"/>
          <w:caps w:val="false"/>
          <w:smallCaps w:val="false"/>
          <w:sz w:val="13"/>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1"/>
      <w:bookmarkStart w:id="45" w:name="DSPFPageBreak1"/>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6" w:name="DSPFPageHeader"/>
        <w:bookmarkEnd w:id="4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47" w:name="z509ea27d34784ab884d8c04a53ff5159"/>
      <w:bookmarkStart w:id="48" w:name="z509ea27d34784ab884d8c04a53ff5159"/>
      <w:bookmarkEnd w:id="48"/>
    </w:p>
    <w:tbl>
      <w:tblPr>
        <w:tblW w:w="5530" w:type="dxa"/>
        <w:jc w:val="left"/>
        <w:tblInd w:w="0" w:type="dxa"/>
        <w:tblCellMar>
          <w:top w:w="0" w:type="dxa"/>
          <w:left w:w="0" w:type="dxa"/>
          <w:bottom w:w="0" w:type="dxa"/>
          <w:right w:w="0" w:type="dxa"/>
        </w:tblCellMar>
      </w:tblPr>
      <w:tblGrid>
        <w:gridCol w:w="1040"/>
        <w:gridCol w:w="4490"/>
      </w:tblGrid>
      <w:tr>
        <w:trPr/>
        <w:tc>
          <w:tcPr>
            <w:tcW w:w="104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Part I - Item 1.</w:t>
            </w:r>
          </w:p>
        </w:tc>
        <w:tc>
          <w:tcPr>
            <w:tcW w:w="44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INDEPENDENT BANK CORPORATION AND SUBSIDIARIES</w:t>
            </w:r>
          </w:p>
        </w:tc>
      </w:tr>
    </w:tbl>
    <w:p>
      <w:pPr>
        <w:pStyle w:val="TextBody"/>
        <w:spacing w:before="0" w:after="0"/>
        <w:jc w:val="center"/>
        <w:rPr>
          <w:rFonts w:ascii="Times New Roman" w:hAnsi="Times New Roman"/>
          <w:sz w:val="17"/>
        </w:rPr>
      </w:pPr>
      <w:r>
        <w:rPr>
          <w:rFonts w:ascii="Times New Roman" w:hAnsi="Times New Roman"/>
          <w:sz w:val="17"/>
          <w:u w:val="single"/>
        </w:rPr>
        <w:t xml:space="preserve">Condensed Consolidated Statements of </w:t>
      </w:r>
      <w:bookmarkStart w:id="49" w:name="FinancialCondition"/>
      <w:bookmarkEnd w:id="49"/>
      <w:r>
        <w:rPr>
          <w:rFonts w:ascii="Times New Roman" w:hAnsi="Times New Roman"/>
          <w:sz w:val="17"/>
          <w:u w:val="single"/>
        </w:rPr>
        <w:t>Financial Condition</w:t>
      </w:r>
    </w:p>
    <w:p>
      <w:pPr>
        <w:pStyle w:val="TextBody"/>
        <w:spacing w:before="0" w:after="0"/>
        <w:rPr/>
      </w:pPr>
      <w:r>
        <w:rPr/>
      </w:r>
    </w:p>
    <w:p>
      <w:pPr>
        <w:pStyle w:val="Normal"/>
        <w:spacing w:before="0" w:after="0"/>
        <w:rPr>
          <w:sz w:val="4"/>
          <w:szCs w:val="4"/>
        </w:rPr>
      </w:pPr>
      <w:r>
        <w:rPr>
          <w:sz w:val="4"/>
          <w:szCs w:val="4"/>
        </w:rPr>
      </w:r>
      <w:bookmarkStart w:id="50" w:name="ze8ef1b54735d4e318aad9a00c3437e91"/>
      <w:bookmarkStart w:id="51" w:name="ze8ef1b54735d4e318aad9a00c3437e91"/>
      <w:bookmarkEnd w:id="51"/>
    </w:p>
    <w:tbl>
      <w:tblPr>
        <w:tblW w:w="10205" w:type="dxa"/>
        <w:jc w:val="left"/>
        <w:tblInd w:w="0" w:type="dxa"/>
        <w:tblCellMar>
          <w:top w:w="0" w:type="dxa"/>
          <w:left w:w="0" w:type="dxa"/>
          <w:bottom w:w="0" w:type="dxa"/>
          <w:right w:w="0" w:type="dxa"/>
        </w:tblCellMar>
      </w:tblPr>
      <w:tblGrid>
        <w:gridCol w:w="8065"/>
        <w:gridCol w:w="60"/>
        <w:gridCol w:w="110"/>
        <w:gridCol w:w="740"/>
        <w:gridCol w:w="80"/>
        <w:gridCol w:w="60"/>
        <w:gridCol w:w="128"/>
        <w:gridCol w:w="867"/>
        <w:gridCol w:w="95"/>
      </w:tblGrid>
      <w:tr>
        <w:trPr/>
        <w:tc>
          <w:tcPr>
            <w:tcW w:w="8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8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(unaudited)</w:t>
            </w:r>
          </w:p>
        </w:tc>
        <w:tc>
          <w:tcPr>
            <w:tcW w:w="95" w:type="dxa"/>
            <w:tcBorders/>
            <w:shd w:fill="auto" w:val="clear"/>
            <w:vAlign w:val="bottom"/>
          </w:tcPr>
          <w:p>
            <w:pPr>
              <w:pStyle w:val="TableContents"/>
              <w:spacing w:before="0" w:after="283"/>
              <w:jc w:val="left"/>
              <w:rPr/>
            </w:pPr>
            <w:r>
              <w:rPr/>
              <w:t> </w:t>
            </w:r>
          </w:p>
        </w:tc>
      </w:tr>
      <w:tr>
        <w:trPr/>
        <w:tc>
          <w:tcPr>
            <w:tcW w:w="8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 except share</w:t>
            </w:r>
          </w:p>
          <w:p>
            <w:pPr>
              <w:pStyle w:val="TableContents"/>
              <w:spacing w:before="0" w:after="0"/>
              <w:jc w:val="center"/>
              <w:rPr>
                <w:rFonts w:ascii="Times New Roman" w:hAnsi="Times New Roman"/>
                <w:sz w:val="17"/>
              </w:rPr>
            </w:pPr>
            <w:r>
              <w:rPr>
                <w:rFonts w:ascii="Times New Roman" w:hAnsi="Times New Roman"/>
                <w:sz w:val="17"/>
              </w:rPr>
              <w:t>amounts)</w:t>
            </w:r>
          </w:p>
        </w:tc>
        <w:tc>
          <w:tcPr>
            <w:tcW w:w="95" w:type="dxa"/>
            <w:tcBorders/>
            <w:shd w:fill="auto" w:val="clear"/>
            <w:vAlign w:val="bottom"/>
          </w:tcPr>
          <w:p>
            <w:pPr>
              <w:pStyle w:val="TableContents"/>
              <w:spacing w:before="0" w:after="283"/>
              <w:jc w:val="left"/>
              <w:rPr/>
            </w:pPr>
            <w:r>
              <w:rPr/>
              <w:t> </w:t>
            </w:r>
          </w:p>
        </w:tc>
      </w:tr>
      <w:tr>
        <w:trPr/>
        <w:tc>
          <w:tcPr>
            <w:tcW w:w="10110" w:type="dxa"/>
            <w:gridSpan w:val="8"/>
            <w:tcBorders/>
            <w:shd w:fill="auto" w:val="clear"/>
            <w:vAlign w:val="bottom"/>
          </w:tcPr>
          <w:p>
            <w:pPr>
              <w:pStyle w:val="TableContents"/>
              <w:spacing w:before="0" w:after="0"/>
              <w:jc w:val="left"/>
              <w:rPr>
                <w:rFonts w:ascii="Times New Roman" w:hAnsi="Times New Roman"/>
                <w:sz w:val="17"/>
              </w:rPr>
            </w:pPr>
            <w:r>
              <w:rPr>
                <w:rFonts w:ascii="Times New Roman" w:hAnsi="Times New Roman"/>
                <w:sz w:val="17"/>
              </w:rPr>
              <w:t>Assets</w:t>
            </w:r>
          </w:p>
        </w:tc>
        <w:tc>
          <w:tcPr>
            <w:tcW w:w="95" w:type="dxa"/>
            <w:tcBorders/>
            <w:shd w:fill="auto"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and due from banks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33,247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23,350</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bearing deposits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38,376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46,894</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Cash and Cash Equivalents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71,623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70,244</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bearing deposits - time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496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595</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Equity securities at fair value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Securities available for sale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Federal Home Loan Bank and Federal Reserve Bank stock, at cost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18,359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18,359</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Loans held for sale, carried at fair value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43,098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44,753</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Loans held for sale, carried at lower of cost or fair value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41,471</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Loans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1,168,404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1,144,481</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1,043,745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1,042,890</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406,646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395,149</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Loans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2,618,795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2,582,520</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Allowance for loan losses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(25,254</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(24,888</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0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Loans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2,593,541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2,557,632</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real estate and repossessed assets, net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1,299</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Property and equipment, net</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37,985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38,777</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Bank-owned life insurance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55,310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55,068</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Deferred tax assets, net</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2,866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5,779</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intangibles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6,143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6,415</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Goodwill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28,300</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Accrued income and other assets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43,107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34,870</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Assets</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3,383,606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3,353,281</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0110" w:type="dxa"/>
            <w:gridSpan w:val="8"/>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Liabilities and Shareholders’ Equity</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Deposits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Non-interest bearing</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858,261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879,549</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Savings and interest-bearing checking</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1,207,965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1,194,865</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Reciprocal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267,178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182,072</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Time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388,729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385,981</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Brokered time</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212,092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270,961</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Deposits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2,934,225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2,913,428</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borrowings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25,700</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Subordinated debentures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39,405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39,388</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Accrued expenses and other liabilities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39,536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35,771</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Liabilities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3,038,880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3,014,287</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Commitments and contingent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Shareholders’ Equity</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Preferred stock, no par value, 200,000 shares authorized;  none issued or outstanding</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Common stock, no par value, 500,000,000 shares authorized; issued and outstanding: 23,560,179 shares at March 31, 2019 and 23,579,725 shares at December 31, 2018</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374,678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377,372</w:t>
            </w:r>
          </w:p>
        </w:tc>
        <w:tc>
          <w:tcPr>
            <w:tcW w:w="95" w:type="dxa"/>
            <w:tcBorders/>
            <w:shd w:fill="FFFFFF" w:val="clear"/>
            <w:vAlign w:val="bottom"/>
          </w:tcPr>
          <w:p>
            <w:pPr>
              <w:pStyle w:val="TableContents"/>
              <w:spacing w:before="0" w:after="283"/>
              <w:jc w:val="left"/>
              <w:rPr/>
            </w:pPr>
            <w:r>
              <w:rPr/>
              <w:t> </w:t>
            </w:r>
          </w:p>
        </w:tc>
      </w:tr>
      <w:tr>
        <w:trPr/>
        <w:tc>
          <w:tcPr>
            <w:tcW w:w="80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Accumulated deficit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(23,135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(28,270</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0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Accumulated other comprehensive loss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(6,817</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(10,108</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0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Shareholders’ Equity</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344,726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338,994</w:t>
            </w:r>
          </w:p>
        </w:tc>
        <w:tc>
          <w:tcPr>
            <w:tcW w:w="95" w:type="dxa"/>
            <w:tcBorders/>
            <w:shd w:fill="CCEEFF" w:val="clear"/>
            <w:vAlign w:val="bottom"/>
          </w:tcPr>
          <w:p>
            <w:pPr>
              <w:pStyle w:val="TableContents"/>
              <w:spacing w:before="0" w:after="283"/>
              <w:jc w:val="left"/>
              <w:rPr/>
            </w:pPr>
            <w:r>
              <w:rPr/>
              <w:t> </w:t>
            </w:r>
          </w:p>
        </w:tc>
      </w:tr>
      <w:tr>
        <w:trPr/>
        <w:tc>
          <w:tcPr>
            <w:tcW w:w="80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Liabilities and Shareholders’ Equity</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3,383,606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3,353,281</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See notes to interim condensed consolidated financial statements (unaudited)</w:t>
      </w:r>
    </w:p>
    <w:p>
      <w:pPr>
        <w:pStyle w:val="TextBody"/>
        <w:spacing w:before="0" w:after="0"/>
        <w:jc w:val="left"/>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 w:name="DSPFPageBreakArea2"/>
      <w:bookmarkStart w:id="53" w:name="DSPFPageBreakArea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4" w:name="DSPFPageNumber2"/>
      <w:bookmarkStart w:id="55" w:name="DSPFPageNumberArea1"/>
      <w:bookmarkEnd w:id="54"/>
      <w:bookmarkEnd w:id="55"/>
      <w:r>
        <w:rPr>
          <w:rFonts w:ascii="Times New Roman" w:hAnsi="Times New Roman"/>
          <w:b w:val="false"/>
          <w:i w:val="false"/>
          <w:caps w:val="false"/>
          <w:smallCaps w:val="false"/>
          <w:sz w:val="13"/>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 w:name="DSPFPageBreak2"/>
      <w:bookmarkStart w:id="57" w:name="DSPFPageBreak2"/>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8" w:name="DSPFPageHeader1"/>
        <w:bookmarkEnd w:id="5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rPr>
      </w:pPr>
      <w:r>
        <w:rPr>
          <w:rFonts w:ascii="Times New Roman" w:hAnsi="Times New Roman"/>
          <w:sz w:val="17"/>
        </w:rPr>
        <w:t>INDEPENDENT BANK CORPORATION AND SUBSIDIARIES</w:t>
      </w:r>
    </w:p>
    <w:p>
      <w:pPr>
        <w:pStyle w:val="TextBody"/>
        <w:spacing w:before="0" w:after="0"/>
        <w:jc w:val="center"/>
        <w:rPr>
          <w:rFonts w:ascii="Times New Roman" w:hAnsi="Times New Roman"/>
          <w:sz w:val="17"/>
          <w:u w:val="single"/>
        </w:rPr>
      </w:pPr>
      <w:r>
        <w:rPr>
          <w:rFonts w:ascii="Times New Roman" w:hAnsi="Times New Roman"/>
          <w:sz w:val="17"/>
          <w:u w:val="single"/>
        </w:rPr>
        <w:t>Condensed Consolidated Statements of Operations</w:t>
      </w:r>
      <w:bookmarkStart w:id="59" w:name="StatementsofOperations"/>
      <w:bookmarkEnd w:id="59"/>
    </w:p>
    <w:p>
      <w:pPr>
        <w:pStyle w:val="TextBody"/>
        <w:spacing w:before="0" w:after="0"/>
        <w:rPr/>
      </w:pPr>
      <w:r>
        <w:rPr/>
      </w:r>
    </w:p>
    <w:p>
      <w:pPr>
        <w:pStyle w:val="Normal"/>
        <w:spacing w:before="0" w:after="0"/>
        <w:rPr>
          <w:sz w:val="4"/>
          <w:szCs w:val="4"/>
        </w:rPr>
      </w:pPr>
      <w:r>
        <w:rPr>
          <w:sz w:val="4"/>
          <w:szCs w:val="4"/>
        </w:rPr>
      </w:r>
      <w:bookmarkStart w:id="60" w:name="z2e36f639f6e34e85bf749387beb3f2cb"/>
      <w:bookmarkStart w:id="61" w:name="z2e36f639f6e34e85bf749387beb3f2cb"/>
      <w:bookmarkEnd w:id="61"/>
    </w:p>
    <w:tbl>
      <w:tblPr>
        <w:tblW w:w="5325" w:type="dxa"/>
        <w:jc w:val="left"/>
        <w:tblInd w:w="0" w:type="dxa"/>
        <w:tblCellMar>
          <w:top w:w="0" w:type="dxa"/>
          <w:left w:w="0" w:type="dxa"/>
          <w:bottom w:w="0" w:type="dxa"/>
          <w:right w:w="0" w:type="dxa"/>
        </w:tblCellMar>
      </w:tblPr>
      <w:tblGrid>
        <w:gridCol w:w="3665"/>
        <w:gridCol w:w="60"/>
        <w:gridCol w:w="118"/>
        <w:gridCol w:w="557"/>
        <w:gridCol w:w="86"/>
        <w:gridCol w:w="64"/>
        <w:gridCol w:w="118"/>
        <w:gridCol w:w="562"/>
        <w:gridCol w:w="95"/>
      </w:tblGrid>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95"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86"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rPr/>
            </w:pPr>
            <w:r>
              <w:rPr/>
              <w:t> </w:t>
            </w:r>
          </w:p>
        </w:tc>
        <w:tc>
          <w:tcPr>
            <w:tcW w:w="6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(unaudited)</w:t>
            </w:r>
          </w:p>
        </w:tc>
        <w:tc>
          <w:tcPr>
            <w:tcW w:w="95"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 except</w:t>
            </w:r>
          </w:p>
          <w:p>
            <w:pPr>
              <w:pStyle w:val="TableContents"/>
              <w:spacing w:before="0" w:after="0"/>
              <w:jc w:val="center"/>
              <w:rPr>
                <w:rFonts w:ascii="Times New Roman" w:hAnsi="Times New Roman"/>
                <w:sz w:val="17"/>
              </w:rPr>
            </w:pPr>
            <w:r>
              <w:rPr>
                <w:rFonts w:ascii="Times New Roman" w:hAnsi="Times New Roman"/>
                <w:sz w:val="17"/>
              </w:rPr>
              <w:t>per share amounts)</w:t>
            </w:r>
          </w:p>
        </w:tc>
        <w:tc>
          <w:tcPr>
            <w:tcW w:w="95"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Income</w:t>
            </w:r>
          </w:p>
        </w:tc>
        <w:tc>
          <w:tcPr>
            <w:tcW w:w="60" w:type="dxa"/>
            <w:tcBorders/>
            <w:shd w:fill="auto" w:val="clear"/>
            <w:vAlign w:val="bottom"/>
          </w:tcPr>
          <w:p>
            <w:pPr>
              <w:pStyle w:val="TableContents"/>
              <w:spacing w:before="0" w:after="283"/>
              <w:rPr/>
            </w:pPr>
            <w:r>
              <w:rPr/>
              <w:t> </w:t>
            </w:r>
          </w:p>
        </w:tc>
        <w:tc>
          <w:tcPr>
            <w:tcW w:w="675"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 and fees on loans</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32,681</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23,353</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 on securities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Taxable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3,006</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2,635</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Tax-exempt</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374</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479</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investments</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575</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330</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Interest Income</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36,636</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26,797</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Expense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Deposits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5,681</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2,287</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borrowings and subordinated debentures</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712</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574</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Interest Expense</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6,393</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2,861</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Interest Income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30,243</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23,936</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Provision for loan losses</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664</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315</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Interest Income After Provision for Loan Losses</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29,579</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23,621</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Non-interest Income</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Service charges on deposit accounts</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2,640</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2,905</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Interchange income</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2,355</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2,246</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gains (losses) on assets</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Mortgage loans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3,611</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2,571</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Securities</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304</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 loan servicing, net</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(1,215</w:t>
            </w:r>
          </w:p>
        </w:tc>
        <w:tc>
          <w:tcPr>
            <w:tcW w:w="8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2,221</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2,264</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1,943</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Non-interest Income</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9,959</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11,713</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Non-interest Expense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Compensation and employee benefits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16,351</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14,468</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Occupancy, net</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2,505</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2,264</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Data processing</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2,144</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1,878</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Furniture, fixtures and equipment</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967</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Communications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769</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680</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Interchange expense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688</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598</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Loan and collection</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634</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677</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Advertising</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672</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441</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Legal and professional</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369</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378</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FDIC deposit insurance</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368</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230</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Merger related expenses</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174</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2,461</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1,380</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Non-interest Expense</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27,990</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24,135</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Income Before Income Tax</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11,548</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5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11,199</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Income tax expense</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2,167</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2,038</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Income</w:t>
            </w:r>
          </w:p>
        </w:tc>
        <w:tc>
          <w:tcPr>
            <w:tcW w:w="60"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 Per Common Share</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57"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56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0.40</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0.43</w:t>
            </w:r>
          </w:p>
        </w:tc>
        <w:tc>
          <w:tcPr>
            <w:tcW w:w="95"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Diluted</w:t>
            </w:r>
          </w:p>
        </w:tc>
        <w:tc>
          <w:tcPr>
            <w:tcW w:w="60" w:type="dxa"/>
            <w:tcBorders/>
            <w:shd w:fill="FFFFFF" w:val="clear"/>
            <w:vAlign w:val="bottom"/>
          </w:tcPr>
          <w:p>
            <w:pPr>
              <w:pStyle w:val="TableContents"/>
              <w:spacing w:before="0" w:after="283"/>
              <w:rPr/>
            </w:pPr>
            <w:r>
              <w:rPr/>
              <w:t> </w:t>
            </w:r>
          </w:p>
        </w:tc>
        <w:tc>
          <w:tcPr>
            <w:tcW w:w="11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0.39</w:t>
            </w:r>
          </w:p>
        </w:tc>
        <w:tc>
          <w:tcPr>
            <w:tcW w:w="86"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rPr/>
            </w:pPr>
            <w:r>
              <w:rPr/>
              <w:t> </w:t>
            </w:r>
          </w:p>
        </w:tc>
        <w:tc>
          <w:tcPr>
            <w:tcW w:w="11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0.42</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See notes to interim condensed consolidated financial statements (unaudited)</w:t>
      </w:r>
    </w:p>
    <w:p>
      <w:pPr>
        <w:pStyle w:val="TextBody"/>
        <w:spacing w:before="0" w:after="0"/>
        <w:jc w:val="center"/>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2" w:name="DSPFPageBreakArea3"/>
      <w:bookmarkStart w:id="63" w:name="DSPFPageBreakArea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4" w:name="DSPFPageNumber3"/>
      <w:bookmarkStart w:id="65" w:name="DSPFPageNumberArea2"/>
      <w:bookmarkEnd w:id="64"/>
      <w:bookmarkEnd w:id="65"/>
      <w:r>
        <w:rPr>
          <w:rFonts w:ascii="Times New Roman" w:hAnsi="Times New Roman"/>
          <w:b w:val="false"/>
          <w:i w:val="false"/>
          <w:caps w:val="false"/>
          <w:smallCaps w:val="false"/>
          <w:sz w:val="13"/>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 w:name="DSPFPageBreak3"/>
      <w:bookmarkStart w:id="67" w:name="DSPFPageBreak3"/>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8" w:name="DSPFPageHeader2"/>
        <w:bookmarkEnd w:id="6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rPr>
      </w:pPr>
      <w:r>
        <w:rPr>
          <w:rFonts w:ascii="Times New Roman" w:hAnsi="Times New Roman"/>
          <w:sz w:val="17"/>
        </w:rPr>
        <w:t>INDEPENDENT BANK CORPORATION AND SUBSIDIARIES</w:t>
      </w:r>
    </w:p>
    <w:p>
      <w:pPr>
        <w:pStyle w:val="TextBody"/>
        <w:spacing w:before="0" w:after="0"/>
        <w:jc w:val="center"/>
        <w:rPr>
          <w:rFonts w:ascii="Times New Roman" w:hAnsi="Times New Roman"/>
          <w:sz w:val="17"/>
        </w:rPr>
      </w:pPr>
      <w:r>
        <w:rPr>
          <w:rFonts w:ascii="Times New Roman" w:hAnsi="Times New Roman"/>
          <w:sz w:val="17"/>
          <w:u w:val="single"/>
        </w:rPr>
        <w:t xml:space="preserve">Condensed Consolidated Statements of </w:t>
      </w:r>
      <w:bookmarkStart w:id="69" w:name="ComprehensiveIncome"/>
      <w:bookmarkEnd w:id="69"/>
      <w:r>
        <w:rPr>
          <w:rFonts w:ascii="Times New Roman" w:hAnsi="Times New Roman"/>
          <w:sz w:val="17"/>
          <w:u w:val="single"/>
        </w:rPr>
        <w:t>Comprehensive Income</w:t>
      </w:r>
    </w:p>
    <w:p>
      <w:pPr>
        <w:pStyle w:val="TextBody"/>
        <w:spacing w:before="0" w:after="0"/>
        <w:rPr/>
      </w:pPr>
      <w:r>
        <w:rPr/>
      </w:r>
    </w:p>
    <w:p>
      <w:pPr>
        <w:pStyle w:val="Normal"/>
        <w:spacing w:before="0" w:after="0"/>
        <w:rPr>
          <w:sz w:val="4"/>
          <w:szCs w:val="4"/>
        </w:rPr>
      </w:pPr>
      <w:r>
        <w:rPr>
          <w:sz w:val="4"/>
          <w:szCs w:val="4"/>
        </w:rPr>
      </w:r>
      <w:bookmarkStart w:id="70" w:name="zf4221c54523e40a8a3e34eb707944830"/>
      <w:bookmarkStart w:id="71" w:name="zf4221c54523e40a8a3e34eb707944830"/>
      <w:bookmarkEnd w:id="71"/>
    </w:p>
    <w:tbl>
      <w:tblPr>
        <w:tblW w:w="10205" w:type="dxa"/>
        <w:jc w:val="left"/>
        <w:tblInd w:w="0" w:type="dxa"/>
        <w:tblCellMar>
          <w:top w:w="0" w:type="dxa"/>
          <w:left w:w="0" w:type="dxa"/>
          <w:bottom w:w="0" w:type="dxa"/>
          <w:right w:w="0" w:type="dxa"/>
        </w:tblCellMar>
      </w:tblPr>
      <w:tblGrid>
        <w:gridCol w:w="8605"/>
        <w:gridCol w:w="60"/>
        <w:gridCol w:w="116"/>
        <w:gridCol w:w="547"/>
        <w:gridCol w:w="85"/>
        <w:gridCol w:w="63"/>
        <w:gridCol w:w="116"/>
        <w:gridCol w:w="518"/>
        <w:gridCol w:w="95"/>
      </w:tblGrid>
      <w:tr>
        <w:trPr/>
        <w:tc>
          <w:tcPr>
            <w:tcW w:w="8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95" w:type="dxa"/>
            <w:tcBorders/>
            <w:shd w:fill="auto" w:val="clear"/>
            <w:vAlign w:val="bottom"/>
          </w:tcPr>
          <w:p>
            <w:pPr>
              <w:pStyle w:val="TableContents"/>
              <w:spacing w:before="0" w:after="283"/>
              <w:jc w:val="left"/>
              <w:rPr/>
            </w:pPr>
            <w:r>
              <w:rPr/>
              <w:t> </w:t>
            </w:r>
          </w:p>
        </w:tc>
      </w:tr>
      <w:tr>
        <w:trPr/>
        <w:tc>
          <w:tcPr>
            <w:tcW w:w="8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8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(unaudited –</w:t>
            </w:r>
          </w:p>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86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3"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3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860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income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95" w:type="dxa"/>
            <w:tcBorders/>
            <w:shd w:fill="CCEEFF" w:val="clear"/>
            <w:vAlign w:val="bottom"/>
          </w:tcPr>
          <w:p>
            <w:pPr>
              <w:pStyle w:val="TableContents"/>
              <w:spacing w:before="0" w:after="283"/>
              <w:jc w:val="left"/>
              <w:rPr/>
            </w:pPr>
            <w:r>
              <w:rPr/>
              <w:t> </w:t>
            </w:r>
          </w:p>
        </w:tc>
      </w:tr>
      <w:tr>
        <w:trPr/>
        <w:tc>
          <w:tcPr>
            <w:tcW w:w="860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comprehensive income (loss)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7"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860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Securities available for sale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7"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60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Unrealized gains (losses) arising during period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5,364</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(3,865</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CCEEFF" w:val="clear"/>
            <w:vAlign w:val="bottom"/>
          </w:tcPr>
          <w:p>
            <w:pPr>
              <w:pStyle w:val="TableContents"/>
              <w:spacing w:before="0" w:after="0"/>
              <w:ind w:left="540" w:right="0" w:hanging="180"/>
              <w:jc w:val="left"/>
              <w:rPr/>
            </w:pPr>
            <w:r>
              <w:rPr>
                <w:rFonts w:ascii="Times New Roman" w:hAnsi="Times New Roman"/>
                <w:sz w:val="17"/>
              </w:rPr>
              <w:t>Change in unrealized gains (losses) for which a portion of other</w:t>
            </w:r>
            <w:r>
              <w:rPr/>
              <w:t xml:space="preserve"> </w:t>
            </w:r>
            <w:r>
              <w:rPr>
                <w:rFonts w:ascii="Times New Roman" w:hAnsi="Times New Roman"/>
                <w:sz w:val="20"/>
              </w:rPr>
              <w:t>than temporary impairment has been recognized in earnings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8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Reclassification adjustments for (gains) losses included in earnings</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(137</w:t>
            </w:r>
          </w:p>
        </w:tc>
        <w:tc>
          <w:tcPr>
            <w:tcW w:w="8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95" w:type="dxa"/>
            <w:tcBorders/>
            <w:shd w:fill="FFFFFF" w:val="clear"/>
            <w:vAlign w:val="bottom"/>
          </w:tcPr>
          <w:p>
            <w:pPr>
              <w:pStyle w:val="TableContents"/>
              <w:spacing w:before="0" w:after="283"/>
              <w:jc w:val="left"/>
              <w:rPr/>
            </w:pPr>
            <w:r>
              <w:rPr/>
              <w:t> </w:t>
            </w:r>
          </w:p>
        </w:tc>
      </w:tr>
      <w:tr>
        <w:trPr/>
        <w:tc>
          <w:tcPr>
            <w:tcW w:w="8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Unrealized gains (losses) recognized in other comprehensive income (loss) on securities available for sale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5,225</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(3,847</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FFFF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Income tax expense (benefit)</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1,097</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(808</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CCEEFF" w:val="clear"/>
            <w:vAlign w:val="bottom"/>
          </w:tcPr>
          <w:p>
            <w:pPr>
              <w:pStyle w:val="TableContents"/>
              <w:spacing w:before="0" w:after="0"/>
              <w:jc w:val="right"/>
              <w:rPr/>
            </w:pPr>
            <w:r>
              <w:rPr>
                <w:rFonts w:ascii="Times New Roman" w:hAnsi="Times New Roman"/>
                <w:sz w:val="17"/>
              </w:rPr>
              <w:t>Unrealized gains (losses) recognized in other comprehensive</w:t>
            </w:r>
            <w:r>
              <w:rPr/>
              <w:t xml:space="preserve"> </w:t>
            </w:r>
            <w:r>
              <w:rPr>
                <w:rFonts w:ascii="Times New                        Roman" w:hAnsi="Times New                        Roman"/>
                <w:sz w:val="17"/>
              </w:rPr>
              <w:t>income (loss) on securities available for sale, net of tax</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4,128</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(3,039</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Derivative instruments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7"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860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Unrealized gain (loss) arising during period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(912</w:t>
            </w:r>
          </w:p>
        </w:tc>
        <w:tc>
          <w:tcPr>
            <w:tcW w:w="8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684</w:t>
            </w:r>
          </w:p>
        </w:tc>
        <w:tc>
          <w:tcPr>
            <w:tcW w:w="95" w:type="dxa"/>
            <w:tcBorders/>
            <w:shd w:fill="CCEEFF" w:val="clear"/>
            <w:vAlign w:val="bottom"/>
          </w:tcPr>
          <w:p>
            <w:pPr>
              <w:pStyle w:val="TableContents"/>
              <w:spacing w:before="0" w:after="283"/>
              <w:jc w:val="left"/>
              <w:rPr/>
            </w:pPr>
            <w:r>
              <w:rPr/>
              <w:t> </w:t>
            </w:r>
          </w:p>
        </w:tc>
      </w:tr>
      <w:tr>
        <w:trPr/>
        <w:tc>
          <w:tcPr>
            <w:tcW w:w="860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Reclassification adjustment for (income) expense recognized in earnings</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(149</w:t>
            </w:r>
          </w:p>
        </w:tc>
        <w:tc>
          <w:tcPr>
            <w:tcW w:w="8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CCEEFF" w:val="clear"/>
            <w:vAlign w:val="bottom"/>
          </w:tcPr>
          <w:p>
            <w:pPr>
              <w:pStyle w:val="TableContents"/>
              <w:spacing w:before="0" w:after="0"/>
              <w:jc w:val="right"/>
              <w:rPr/>
            </w:pPr>
            <w:r>
              <w:rPr>
                <w:rFonts w:ascii="Times New Roman" w:hAnsi="Times New Roman"/>
                <w:sz w:val="17"/>
              </w:rPr>
              <w:t>Unrealized gains (losses) recognized in other comprehensive income</w:t>
            </w:r>
            <w:r>
              <w:rPr/>
              <w:t xml:space="preserve"> </w:t>
            </w:r>
            <w:r>
              <w:rPr>
                <w:rFonts w:ascii="Times New                        Roman" w:hAnsi="Times New                        Roman"/>
                <w:sz w:val="17"/>
              </w:rPr>
              <w:t>(loss) on derivative instruments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(1,061</w:t>
            </w:r>
          </w:p>
        </w:tc>
        <w:tc>
          <w:tcPr>
            <w:tcW w:w="8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678</w:t>
            </w:r>
          </w:p>
        </w:tc>
        <w:tc>
          <w:tcPr>
            <w:tcW w:w="95" w:type="dxa"/>
            <w:tcBorders/>
            <w:shd w:fill="CCEEFF" w:val="clear"/>
            <w:vAlign w:val="bottom"/>
          </w:tcPr>
          <w:p>
            <w:pPr>
              <w:pStyle w:val="TableContents"/>
              <w:spacing w:before="0" w:after="283"/>
              <w:jc w:val="left"/>
              <w:rPr/>
            </w:pPr>
            <w:r>
              <w:rPr/>
              <w:t> </w:t>
            </w:r>
          </w:p>
        </w:tc>
      </w:tr>
      <w:tr>
        <w:trPr/>
        <w:tc>
          <w:tcPr>
            <w:tcW w:w="8605" w:type="dxa"/>
            <w:tcBorders/>
            <w:shd w:fill="FFFF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Income tax expense (benefit)</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(224</w:t>
            </w:r>
          </w:p>
        </w:tc>
        <w:tc>
          <w:tcPr>
            <w:tcW w:w="8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w:t>
            </w:r>
          </w:p>
        </w:tc>
        <w:tc>
          <w:tcPr>
            <w:tcW w:w="95" w:type="dxa"/>
            <w:tcBorders/>
            <w:shd w:fill="FFFFFF" w:val="clear"/>
            <w:vAlign w:val="bottom"/>
          </w:tcPr>
          <w:p>
            <w:pPr>
              <w:pStyle w:val="TableContents"/>
              <w:spacing w:before="0" w:after="283"/>
              <w:jc w:val="left"/>
              <w:rPr/>
            </w:pPr>
            <w:r>
              <w:rPr/>
              <w:t> </w:t>
            </w:r>
          </w:p>
        </w:tc>
      </w:tr>
      <w:tr>
        <w:trPr/>
        <w:tc>
          <w:tcPr>
            <w:tcW w:w="8605" w:type="dxa"/>
            <w:tcBorders/>
            <w:shd w:fill="CCEEFF" w:val="clear"/>
            <w:vAlign w:val="bottom"/>
          </w:tcPr>
          <w:p>
            <w:pPr>
              <w:pStyle w:val="TableContents"/>
              <w:spacing w:before="0" w:after="0"/>
              <w:jc w:val="right"/>
              <w:rPr/>
            </w:pPr>
            <w:r>
              <w:rPr>
                <w:rFonts w:ascii="Times New Roman" w:hAnsi="Times New Roman"/>
                <w:sz w:val="17"/>
              </w:rPr>
              <w:t>Unrealized gains (losses) recognized in other comprehensive</w:t>
            </w:r>
            <w:r>
              <w:rPr/>
              <w:t xml:space="preserve"> </w:t>
            </w:r>
            <w:r>
              <w:rPr>
                <w:rFonts w:ascii="Times New                        Roman" w:hAnsi="Times New                        Roman"/>
                <w:sz w:val="17"/>
              </w:rPr>
              <w:t>income (loss) on derivative instruments, net of tax</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(837</w:t>
            </w:r>
          </w:p>
        </w:tc>
        <w:tc>
          <w:tcPr>
            <w:tcW w:w="8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536</w:t>
            </w:r>
          </w:p>
        </w:tc>
        <w:tc>
          <w:tcPr>
            <w:tcW w:w="95" w:type="dxa"/>
            <w:tcBorders/>
            <w:shd w:fill="CCEEFF" w:val="clear"/>
            <w:vAlign w:val="bottom"/>
          </w:tcPr>
          <w:p>
            <w:pPr>
              <w:pStyle w:val="TableContents"/>
              <w:spacing w:before="0" w:after="283"/>
              <w:jc w:val="left"/>
              <w:rPr/>
            </w:pPr>
            <w:r>
              <w:rPr/>
              <w:t> </w:t>
            </w:r>
          </w:p>
        </w:tc>
      </w:tr>
      <w:tr>
        <w:trPr/>
        <w:tc>
          <w:tcPr>
            <w:tcW w:w="8605" w:type="dxa"/>
            <w:tcBorders/>
            <w:shd w:fill="FFFF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Other comprehensive income (loss)</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3,291</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(2,503</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8605" w:type="dxa"/>
            <w:tcBorders/>
            <w:shd w:fill="CCEE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Comprehensive income</w:t>
            </w:r>
          </w:p>
        </w:tc>
        <w:tc>
          <w:tcPr>
            <w:tcW w:w="60"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12,672</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6,658</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See notes to interim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 w:name="DSPFPageBreakArea4"/>
      <w:bookmarkStart w:id="73" w:name="DSPFPageBreakArea4"/>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4" w:name="DSPFPageNumber4"/>
      <w:bookmarkStart w:id="75" w:name="DSPFPageNumberArea3"/>
      <w:bookmarkEnd w:id="74"/>
      <w:bookmarkEnd w:id="75"/>
      <w:r>
        <w:rPr>
          <w:rFonts w:ascii="Times New Roman" w:hAnsi="Times New Roman"/>
          <w:b w:val="false"/>
          <w:i w:val="false"/>
          <w:caps w:val="false"/>
          <w:smallCaps w:val="false"/>
          <w:sz w:val="13"/>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 w:name="DSPFPageBreak4"/>
      <w:bookmarkStart w:id="77" w:name="DSPFPageBreak4"/>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8" w:name="DSPFPageHeader3"/>
        <w:bookmarkEnd w:id="7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rPr>
      </w:pPr>
      <w:r>
        <w:rPr>
          <w:rFonts w:ascii="Times New Roman" w:hAnsi="Times New Roman"/>
          <w:sz w:val="17"/>
        </w:rPr>
        <w:t>INDEPENDENT BANK CORPORATION AND SUBSIDIARIES</w:t>
      </w:r>
    </w:p>
    <w:p>
      <w:pPr>
        <w:pStyle w:val="TextBody"/>
        <w:spacing w:before="0" w:after="0"/>
        <w:jc w:val="center"/>
        <w:rPr>
          <w:rFonts w:ascii="Times New Roman" w:hAnsi="Times New Roman"/>
          <w:sz w:val="17"/>
        </w:rPr>
      </w:pPr>
      <w:r>
        <w:rPr>
          <w:rFonts w:ascii="Times New Roman" w:hAnsi="Times New Roman"/>
          <w:sz w:val="17"/>
          <w:u w:val="single"/>
        </w:rPr>
        <w:t xml:space="preserve">Condensed Consolidated Statements of </w:t>
      </w:r>
      <w:bookmarkStart w:id="79" w:name="CashFlows"/>
      <w:bookmarkEnd w:id="79"/>
      <w:r>
        <w:rPr>
          <w:rFonts w:ascii="Times New Roman" w:hAnsi="Times New Roman"/>
          <w:sz w:val="17"/>
          <w:u w:val="single"/>
        </w:rPr>
        <w:t>Cash Flows</w:t>
      </w:r>
    </w:p>
    <w:p>
      <w:pPr>
        <w:pStyle w:val="TextBody"/>
        <w:spacing w:before="0" w:after="0"/>
        <w:rPr/>
      </w:pPr>
      <w:r>
        <w:rPr/>
      </w:r>
    </w:p>
    <w:p>
      <w:pPr>
        <w:pStyle w:val="Normal"/>
        <w:spacing w:before="0" w:after="0"/>
        <w:rPr>
          <w:sz w:val="4"/>
          <w:szCs w:val="4"/>
        </w:rPr>
      </w:pPr>
      <w:r>
        <w:rPr>
          <w:sz w:val="4"/>
          <w:szCs w:val="4"/>
        </w:rPr>
      </w:r>
      <w:bookmarkStart w:id="80" w:name="z8826ea9114a547d092b5519e8d303028"/>
      <w:bookmarkStart w:id="81" w:name="z8826ea9114a547d092b5519e8d303028"/>
      <w:bookmarkEnd w:id="81"/>
    </w:p>
    <w:tbl>
      <w:tblPr>
        <w:tblW w:w="10205" w:type="dxa"/>
        <w:jc w:val="left"/>
        <w:tblInd w:w="0" w:type="dxa"/>
        <w:tblCellMar>
          <w:top w:w="0" w:type="dxa"/>
          <w:left w:w="0" w:type="dxa"/>
          <w:bottom w:w="0" w:type="dxa"/>
          <w:right w:w="0" w:type="dxa"/>
        </w:tblCellMar>
      </w:tblPr>
      <w:tblGrid>
        <w:gridCol w:w="7840"/>
        <w:gridCol w:w="60"/>
        <w:gridCol w:w="160"/>
        <w:gridCol w:w="841"/>
        <w:gridCol w:w="117"/>
        <w:gridCol w:w="87"/>
        <w:gridCol w:w="160"/>
        <w:gridCol w:w="845"/>
        <w:gridCol w:w="95"/>
      </w:tblGrid>
      <w:tr>
        <w:trPr/>
        <w:tc>
          <w:tcPr>
            <w:tcW w:w="78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Three months ended March 31,</w:t>
            </w:r>
          </w:p>
        </w:tc>
        <w:tc>
          <w:tcPr>
            <w:tcW w:w="95" w:type="dxa"/>
            <w:tcBorders/>
            <w:shd w:fill="auto" w:val="clear"/>
            <w:vAlign w:val="bottom"/>
          </w:tcPr>
          <w:p>
            <w:pPr>
              <w:pStyle w:val="TableContents"/>
              <w:spacing w:before="0" w:after="283"/>
              <w:jc w:val="left"/>
              <w:rPr/>
            </w:pPr>
            <w:r>
              <w:rPr/>
              <w:t> </w:t>
            </w:r>
          </w:p>
        </w:tc>
      </w:tr>
      <w:tr>
        <w:trPr/>
        <w:tc>
          <w:tcPr>
            <w:tcW w:w="78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1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0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78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(unaudited - In thousands)</w:t>
            </w:r>
          </w:p>
        </w:tc>
        <w:tc>
          <w:tcPr>
            <w:tcW w:w="95" w:type="dxa"/>
            <w:tcBorders/>
            <w:shd w:fill="auto"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w:t>
            </w:r>
          </w:p>
        </w:tc>
        <w:tc>
          <w:tcPr>
            <w:tcW w:w="60"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Adjustments to Reconcile Net Income to Net Cash From Operating Activities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the sale of equity securities at fair value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560</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sales of loans held for sale</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87,496</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92,607</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Disbursements for loans held for sale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(82,230</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(84,748</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Provision for loan losses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664</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315</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Deferred income tax expense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2,039</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2,039</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Deferred loan fees and costs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(111</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(638</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depreciation, amortization of intangible assets and premiums and accretion of discounts on securities,  loans and interest bearing deposits - time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1,479</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1,819</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gains on mortgage loans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(3,611</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(2,571</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(gains) losses on securities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(304</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Share based compensation</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420</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407</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Increase in accrued income and other assets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(8,107</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(5,965</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Increase (decrease) in accrued expenses and other liabilities</w:t>
            </w:r>
          </w:p>
        </w:tc>
        <w:tc>
          <w:tcPr>
            <w:tcW w:w="60"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2,455</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(5,711</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Total Adjustments</w:t>
            </w:r>
          </w:p>
        </w:tc>
        <w:tc>
          <w:tcPr>
            <w:tcW w:w="60"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750</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(2,273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Cash From Operating Activities</w:t>
            </w:r>
          </w:p>
        </w:tc>
        <w:tc>
          <w:tcPr>
            <w:tcW w:w="60"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10,131</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6,888</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Flow Used in Investing Activities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the sale of securities available for sale</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42,236</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22,277</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maturities, prepayments and calls of securities available for sale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32,533</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34,067</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Purchases of securities available for sale</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(71,693</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(23,637</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the maturity of interest bearing deposits - time</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1,000</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increase in portfolio loans (loans originated, net of principal payments)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(65,653</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(68,611</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the sale of portfolio loans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40,630</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16,460</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bank-owned life insurance</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474</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the sale of other real estate and repossessed assets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608</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Capital expenditures</w:t>
            </w:r>
          </w:p>
        </w:tc>
        <w:tc>
          <w:tcPr>
            <w:tcW w:w="60"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(511</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(921</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Cash Used in Investing Activities</w:t>
            </w:r>
          </w:p>
        </w:tc>
        <w:tc>
          <w:tcPr>
            <w:tcW w:w="60"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(22,191</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(18,283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Flow From (Used in) Financing Activities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increase in total deposits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20,797</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29,867</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Net increase (decrease) in other borrowings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(6,753</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Federal Home Loan Bank Advances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40,000</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Payments of Federal Home Loan Bank Advances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(60,000</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Dividends paid</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(4,246</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(3,206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Proceeds from issuance of common stock</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282</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Repurchase of common stock</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(2,530</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Share based compensation withholding obligation</w:t>
            </w:r>
          </w:p>
        </w:tc>
        <w:tc>
          <w:tcPr>
            <w:tcW w:w="60"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(866</w:t>
            </w:r>
          </w:p>
        </w:tc>
        <w:tc>
          <w:tcPr>
            <w:tcW w:w="11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7" w:type="dxa"/>
            <w:tcBorders/>
            <w:shd w:fill="FFFFFF" w:val="clear"/>
            <w:vAlign w:val="bottom"/>
          </w:tcPr>
          <w:p>
            <w:pPr>
              <w:pStyle w:val="TableContents"/>
              <w:spacing w:before="0" w:after="283"/>
              <w:rPr/>
            </w:pPr>
            <w:r>
              <w:rPr/>
              <w:t> </w:t>
            </w:r>
          </w:p>
        </w:tc>
        <w:tc>
          <w:tcPr>
            <w:tcW w:w="1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(888</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Cash From (Used in) Financing Activities</w:t>
            </w:r>
          </w:p>
        </w:tc>
        <w:tc>
          <w:tcPr>
            <w:tcW w:w="60"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13,439</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(967</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Net Increase (Decrease) in Cash and Cash Equivalents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1,379</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(12,362</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and Cash Equivalents at Beginning of Period</w:t>
            </w:r>
          </w:p>
        </w:tc>
        <w:tc>
          <w:tcPr>
            <w:tcW w:w="60"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70,244</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54,738</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144" w:right="0" w:hanging="144"/>
              <w:jc w:val="right"/>
              <w:rPr>
                <w:rFonts w:ascii="Times New Roman" w:hAnsi="Times New Roman"/>
                <w:sz w:val="17"/>
              </w:rPr>
            </w:pPr>
            <w:r>
              <w:rPr>
                <w:rFonts w:ascii="Times New Roman" w:hAnsi="Times New Roman"/>
                <w:sz w:val="17"/>
              </w:rPr>
              <w:t>Cash and Cash Equivalents at End of Period</w:t>
            </w:r>
          </w:p>
        </w:tc>
        <w:tc>
          <w:tcPr>
            <w:tcW w:w="60" w:type="dxa"/>
            <w:tcBorders/>
            <w:shd w:fill="FFFFFF" w:val="clear"/>
            <w:vAlign w:val="bottom"/>
          </w:tcPr>
          <w:p>
            <w:pPr>
              <w:pStyle w:val="TableContents"/>
              <w:spacing w:before="0" w:after="283"/>
              <w:rPr/>
            </w:pPr>
            <w:r>
              <w:rPr/>
              <w:t> </w:t>
            </w:r>
          </w:p>
        </w:tc>
        <w:tc>
          <w:tcPr>
            <w:tcW w:w="16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71,623</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42,376</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paid during the period for</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6,253</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2,656</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Income taxes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180" w:right="0" w:hanging="0"/>
              <w:rPr/>
            </w:pPr>
            <w:r>
              <w:rPr/>
              <w:t>Operating leases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283"/>
              <w:jc w:val="right"/>
              <w:rPr/>
            </w:pPr>
            <w:r>
              <w:rPr/>
              <w:t>563</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Transfers to other real estate and repossessed assets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325</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322</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Purchase of securities available for sale not yet settled</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1,500</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3,220</w:t>
            </w:r>
          </w:p>
        </w:tc>
        <w:tc>
          <w:tcPr>
            <w:tcW w:w="95" w:type="dxa"/>
            <w:tcBorders/>
            <w:shd w:fill="FFFFFF" w:val="clear"/>
            <w:vAlign w:val="bottom"/>
          </w:tcPr>
          <w:p>
            <w:pPr>
              <w:pStyle w:val="TableContents"/>
              <w:spacing w:before="0" w:after="283"/>
              <w:jc w:val="left"/>
              <w:rPr/>
            </w:pPr>
            <w:r>
              <w:rPr/>
              <w:t> </w:t>
            </w:r>
          </w:p>
        </w:tc>
      </w:tr>
      <w:tr>
        <w:trPr/>
        <w:tc>
          <w:tcPr>
            <w:tcW w:w="784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Securitization of portfolio loans</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29,790</w:t>
            </w:r>
          </w:p>
        </w:tc>
        <w:tc>
          <w:tcPr>
            <w:tcW w:w="11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784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Right of use assets obtained in exchange for lease obligations</w:t>
            </w:r>
          </w:p>
        </w:tc>
        <w:tc>
          <w:tcPr>
            <w:tcW w:w="60"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7,703</w:t>
            </w:r>
          </w:p>
        </w:tc>
        <w:tc>
          <w:tcPr>
            <w:tcW w:w="117"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See notes to interim condensed consolidated financial statements (unaudited)</w:t>
      </w:r>
    </w:p>
    <w:p>
      <w:pPr>
        <w:pStyle w:val="TextBody"/>
        <w:spacing w:before="0" w:after="0"/>
        <w:jc w:val="left"/>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 w:name="DSPFPageBreakArea5"/>
      <w:bookmarkStart w:id="83" w:name="DSPFPageBreakArea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4" w:name="DSPFPageNumber5"/>
      <w:bookmarkStart w:id="85" w:name="DSPFPageNumberArea4"/>
      <w:bookmarkEnd w:id="84"/>
      <w:bookmarkEnd w:id="85"/>
      <w:r>
        <w:rPr>
          <w:rFonts w:ascii="Times New Roman" w:hAnsi="Times New Roman"/>
          <w:b w:val="false"/>
          <w:i w:val="false"/>
          <w:caps w:val="false"/>
          <w:smallCaps w:val="false"/>
          <w:sz w:val="13"/>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 w:name="DSPFPageBreak5"/>
      <w:bookmarkStart w:id="87" w:name="DSPFPageBreak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88" w:name="DSPFPageHeader4"/>
        <w:bookmarkEnd w:id="8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rPr>
      </w:pPr>
      <w:r>
        <w:rPr>
          <w:rFonts w:ascii="Times New Roman" w:hAnsi="Times New Roman"/>
          <w:sz w:val="17"/>
        </w:rPr>
        <w:t>INDEPENDENT BANK CORPORATION AND SUBSIDIARIES</w:t>
      </w:r>
    </w:p>
    <w:p>
      <w:pPr>
        <w:pStyle w:val="TextBody"/>
        <w:spacing w:before="0" w:after="0"/>
        <w:jc w:val="center"/>
        <w:rPr>
          <w:rFonts w:ascii="Times New Roman" w:hAnsi="Times New Roman"/>
          <w:sz w:val="17"/>
          <w:u w:val="single"/>
        </w:rPr>
      </w:pPr>
      <w:r>
        <w:rPr>
          <w:rFonts w:ascii="Times New Roman" w:hAnsi="Times New Roman"/>
          <w:sz w:val="17"/>
          <w:u w:val="single"/>
        </w:rPr>
        <w:t xml:space="preserve">Condensed Consolidated Statements of </w:t>
      </w:r>
      <w:bookmarkStart w:id="89" w:name="ShareholdersEquity"/>
      <w:bookmarkEnd w:id="89"/>
      <w:r>
        <w:rPr>
          <w:rFonts w:ascii="Times New Roman" w:hAnsi="Times New Roman"/>
          <w:sz w:val="17"/>
          <w:u w:val="single"/>
        </w:rPr>
        <w:t>Shareholders’ Equity</w:t>
      </w:r>
    </w:p>
    <w:p>
      <w:pPr>
        <w:pStyle w:val="TextBody"/>
        <w:spacing w:before="0" w:after="0"/>
        <w:rPr/>
      </w:pPr>
      <w:r>
        <w:rPr/>
      </w:r>
    </w:p>
    <w:p>
      <w:pPr>
        <w:pStyle w:val="Normal"/>
        <w:spacing w:before="0" w:after="0"/>
        <w:rPr>
          <w:sz w:val="4"/>
          <w:szCs w:val="4"/>
        </w:rPr>
      </w:pPr>
      <w:r>
        <w:rPr>
          <w:sz w:val="4"/>
          <w:szCs w:val="4"/>
        </w:rPr>
      </w:r>
      <w:bookmarkStart w:id="90" w:name="zeae7b7dd332144eea5ff39ce4e0f5c3c"/>
      <w:bookmarkStart w:id="91" w:name="zeae7b7dd332144eea5ff39ce4e0f5c3c"/>
      <w:bookmarkEnd w:id="91"/>
    </w:p>
    <w:tbl>
      <w:tblPr>
        <w:tblW w:w="10205" w:type="dxa"/>
        <w:jc w:val="left"/>
        <w:tblInd w:w="0" w:type="dxa"/>
        <w:tblCellMar>
          <w:top w:w="0" w:type="dxa"/>
          <w:left w:w="0" w:type="dxa"/>
          <w:bottom w:w="0" w:type="dxa"/>
          <w:right w:w="0" w:type="dxa"/>
        </w:tblCellMar>
      </w:tblPr>
      <w:tblGrid>
        <w:gridCol w:w="5900"/>
        <w:gridCol w:w="60"/>
        <w:gridCol w:w="110"/>
        <w:gridCol w:w="605"/>
        <w:gridCol w:w="80"/>
        <w:gridCol w:w="60"/>
        <w:gridCol w:w="150"/>
        <w:gridCol w:w="785"/>
        <w:gridCol w:w="80"/>
        <w:gridCol w:w="60"/>
        <w:gridCol w:w="176"/>
        <w:gridCol w:w="924"/>
        <w:gridCol w:w="80"/>
        <w:gridCol w:w="60"/>
        <w:gridCol w:w="150"/>
        <w:gridCol w:w="830"/>
        <w:gridCol w:w="95"/>
      </w:tblGrid>
      <w:tr>
        <w:trPr/>
        <w:tc>
          <w:tcPr>
            <w:tcW w:w="59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Common</w:t>
            </w:r>
          </w:p>
          <w:p>
            <w:pPr>
              <w:pStyle w:val="TableContents"/>
              <w:spacing w:before="0" w:after="0"/>
              <w:jc w:val="center"/>
              <w:rPr>
                <w:rFonts w:ascii="Times New Roman" w:hAnsi="Times New Roman"/>
                <w:sz w:val="17"/>
              </w:rPr>
            </w:pPr>
            <w:r>
              <w:rPr>
                <w:rFonts w:ascii="Times New Roman" w:hAnsi="Times New Roman"/>
                <w:sz w:val="17"/>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Accumulated</w:t>
            </w:r>
          </w:p>
          <w:p>
            <w:pPr>
              <w:pStyle w:val="TableContents"/>
              <w:spacing w:before="0" w:after="0"/>
              <w:jc w:val="center"/>
              <w:rPr>
                <w:rFonts w:ascii="Times New Roman" w:hAnsi="Times New Roman"/>
                <w:sz w:val="17"/>
              </w:rPr>
            </w:pPr>
            <w:r>
              <w:rPr>
                <w:rFonts w:ascii="Times New Roman" w:hAnsi="Times New Roman"/>
                <w:sz w:val="17"/>
              </w:rPr>
              <w:t>Deficit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Accumulated</w:t>
            </w:r>
          </w:p>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Comprehensive</w:t>
            </w:r>
          </w:p>
          <w:p>
            <w:pPr>
              <w:pStyle w:val="TableContents"/>
              <w:spacing w:before="0" w:after="0"/>
              <w:jc w:val="center"/>
              <w:rPr>
                <w:rFonts w:ascii="Times New Roman" w:hAnsi="Times New Roman"/>
                <w:sz w:val="17"/>
              </w:rPr>
            </w:pPr>
            <w:r>
              <w:rPr>
                <w:rFonts w:ascii="Times New Roman" w:hAnsi="Times New Roman"/>
                <w:sz w:val="17"/>
              </w:rPr>
              <w:t>Loss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p>
            <w:pPr>
              <w:pStyle w:val="TableContents"/>
              <w:spacing w:before="0" w:after="0"/>
              <w:jc w:val="center"/>
              <w:rPr>
                <w:rFonts w:ascii="Times New Roman" w:hAnsi="Times New Roman"/>
                <w:sz w:val="17"/>
              </w:rPr>
            </w:pPr>
            <w:r>
              <w:rPr>
                <w:rFonts w:ascii="Times New Roman" w:hAnsi="Times New Roman"/>
                <w:sz w:val="17"/>
              </w:rPr>
              <w:t>Shareholders’</w:t>
            </w:r>
          </w:p>
          <w:p>
            <w:pPr>
              <w:pStyle w:val="TableContents"/>
              <w:spacing w:before="0" w:after="0"/>
              <w:jc w:val="center"/>
              <w:rPr>
                <w:rFonts w:ascii="Times New Roman" w:hAnsi="Times New Roman"/>
                <w:sz w:val="17"/>
              </w:rPr>
            </w:pPr>
            <w:r>
              <w:rPr>
                <w:rFonts w:ascii="Times New Roman" w:hAnsi="Times New Roman"/>
                <w:sz w:val="17"/>
              </w:rPr>
              <w:t>Equity</w:t>
            </w:r>
          </w:p>
        </w:tc>
        <w:tc>
          <w:tcPr>
            <w:tcW w:w="95" w:type="dxa"/>
            <w:tcBorders/>
            <w:shd w:fill="auto" w:val="clear"/>
            <w:vAlign w:val="bottom"/>
          </w:tcPr>
          <w:p>
            <w:pPr>
              <w:pStyle w:val="TableContents"/>
              <w:spacing w:before="0" w:after="283"/>
              <w:jc w:val="left"/>
              <w:rPr/>
            </w:pPr>
            <w:r>
              <w:rPr/>
              <w:t> </w:t>
            </w:r>
          </w:p>
        </w:tc>
      </w:tr>
      <w:tr>
        <w:trPr/>
        <w:tc>
          <w:tcPr>
            <w:tcW w:w="59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50"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 except per share amounts)</w:t>
            </w:r>
          </w:p>
        </w:tc>
        <w:tc>
          <w:tcPr>
            <w:tcW w:w="95" w:type="dxa"/>
            <w:tcBorders/>
            <w:shd w:fill="auto"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Balances at January 1, 2019</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377,372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(28,270</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(10,108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338,994</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 three months ended March 31, 2019</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dividends declared, $.18 per share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(4,246</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(4,246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Repurchase of 115,787 shares of common stock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(2,530</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(2,530</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Issuance of 68,399 shares of common stock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282</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Share based compensation (issuance of 84,128 shares of common stock)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420</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Share based compensation withholding obligation (withholding of 56,286 shares of common stock)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(866</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comprehensive income</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3,291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3,291</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Balances at March 31, 2019</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374,678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(23,135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(6,817</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344,726</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Balances at January 1, 2018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324,986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(54,054</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(5,999</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264,933</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 three months ended March 31, 2018</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dividends declared, $.15 per share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(3,206</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(3,206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Issuance of 3,800 shares of common stock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w:t>
            </w:r>
          </w:p>
        </w:tc>
        <w:tc>
          <w:tcPr>
            <w:tcW w:w="95" w:type="dxa"/>
            <w:tcBorders/>
            <w:shd w:fill="FFFFFF" w:val="clear"/>
            <w:vAlign w:val="bottom"/>
          </w:tcPr>
          <w:p>
            <w:pPr>
              <w:pStyle w:val="TableContents"/>
              <w:spacing w:before="0" w:after="283"/>
              <w:jc w:val="left"/>
              <w:rPr/>
            </w:pPr>
            <w:r>
              <w:rPr/>
              <w:t> </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Share based compensation (issuance of 74,475 shares of common stock)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407</w:t>
            </w:r>
          </w:p>
        </w:tc>
        <w:tc>
          <w:tcPr>
            <w:tcW w:w="95" w:type="dxa"/>
            <w:tcBorders/>
            <w:shd w:fill="CCEEFF" w:val="clear"/>
            <w:vAlign w:val="bottom"/>
          </w:tcPr>
          <w:p>
            <w:pPr>
              <w:pStyle w:val="TableContents"/>
              <w:spacing w:before="0" w:after="283"/>
              <w:jc w:val="left"/>
              <w:rPr/>
            </w:pPr>
            <w:r>
              <w:rPr/>
              <w:t> </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Share based compensation withholding obligation (withholding of 37,328 shares of common stock)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(888</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8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(888</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comprehensive loss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(2,503</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(2,503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9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Balances at March 31, 2018</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324,518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(48,099</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7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(8,502</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267,917</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2" w:name="DSPFPageBreakArea6"/>
      <w:bookmarkStart w:id="93" w:name="DSPFPageBreakArea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94" w:name="DSPFPageNumber6"/>
      <w:bookmarkStart w:id="95" w:name="DSPFPageNumberArea5"/>
      <w:bookmarkEnd w:id="94"/>
      <w:bookmarkEnd w:id="95"/>
      <w:r>
        <w:rPr>
          <w:rFonts w:ascii="Times New Roman" w:hAnsi="Times New Roman"/>
          <w:b w:val="false"/>
          <w:i w:val="false"/>
          <w:caps w:val="false"/>
          <w:smallCaps w:val="false"/>
          <w:sz w:val="13"/>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 w:name="DSPFPageBreak6"/>
      <w:bookmarkStart w:id="97" w:name="DSPFPageBreak6"/>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98" w:name="DSPFPageHeader5"/>
        <w:bookmarkEnd w:id="9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bookmarkStart w:id="99" w:name="NOTES"/>
      <w:bookmarkEnd w:id="99"/>
      <w:r>
        <w:rPr>
          <w:rFonts w:ascii="Times New Roman" w:hAnsi="Times New Roman"/>
          <w:sz w:val="17"/>
          <w:u w:val="single"/>
        </w:rPr>
        <w:t>NOTES TO INTERIM CONDENSED CONSOLIDATED FINANCIAL STATEMENTS</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1.   </w:t>
      </w:r>
      <w:r>
        <w:rPr>
          <w:rFonts w:ascii="Times New Roman" w:hAnsi="Times New Roman"/>
          <w:sz w:val="17"/>
          <w:u w:val="single"/>
        </w:rPr>
        <w:t>Preparation of Financial Statements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2018 included in our Annual Report on Form 10-K.</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our opinion, the accompanying unaudited condensed consolidated financial statements contain all the adjustments necessary to present fairly our consolidated financial condition as of March 31, 2019 and December 31, 2018, and the results of operations for the three month periods ended March 31, 2019 and 2018.  The results of operations for the three month period ended March 31, 2019,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and the valuation of capitalized mortgage loan servicing rights.  Refer to our 2018 Annual Report on Form 10-K for a disclosure of our accounting policies.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2.   </w:t>
      </w:r>
      <w:r>
        <w:rPr>
          <w:rFonts w:ascii="Times New Roman" w:hAnsi="Times New Roman"/>
          <w:sz w:val="17"/>
          <w:u w:val="single"/>
        </w:rPr>
        <w:t>New Accounting Standards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have completed historical data validation and are currently in the process of reviewing credit loss estimation methodologies and performing test calculations. We have not yet determined what the impact will be on our consolidated operating results or financial condition, which will be impacted by several variables, including the economic environment and forecast at adoption. Though, by the nature of the implementation of an expected loss model compared to an incurred loss approach, we would anticipate our allowance for loan losses (“AFLL”) to increase under this ASU. The Bank expects to begin full parallel runs mid-2019, with a goal of providing an estimated impact range in our 2019 second quarter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0" w:name="DSPFPageBreakArea7"/>
      <w:bookmarkStart w:id="101" w:name="DSPFPageBreakArea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02" w:name="DSPFPageNumber7"/>
      <w:bookmarkStart w:id="103" w:name="DSPFPageNumberArea6"/>
      <w:bookmarkEnd w:id="102"/>
      <w:bookmarkEnd w:id="103"/>
      <w:r>
        <w:rPr>
          <w:rFonts w:ascii="Times New Roman" w:hAnsi="Times New Roman"/>
          <w:b w:val="false"/>
          <w:i w:val="false"/>
          <w:caps w:val="false"/>
          <w:smallCaps w:val="false"/>
          <w:sz w:val="13"/>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 w:name="DSPFPageBreak7"/>
      <w:bookmarkStart w:id="105" w:name="DSPFPageBreak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06" w:name="DSPFPageHeader6"/>
        <w:bookmarkEnd w:id="10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is effective for us on January 1, 2020, and is not expected to have a material impact on our consolidated operating results or financial condition.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In February 2016, the FASB issued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was effective for us on January 1, 2019 and did not have a material impact on our consolidated operating results or financial condition.  Based on our operating leases that we currently have in place we do not expect a material change in the recognition, measurement and presentation of lease expense or impact on cash flow.  The primary impact was the recognition of certain operating leases on our Condensed Consolidated Statements of Financial Condition which resulted in the recording of right of use (“ROU”) assets and offsetting lease liabilities each totaling approximately $7.7 million at January 1, 2019.  See note #16. </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was effective for us on January 1, 2019, and did not have a material impact on our consolidated operating results or financial condition.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7" w:name="DSPFPageBreakArea8"/>
      <w:bookmarkStart w:id="108" w:name="DSPFPageBreakArea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09" w:name="DSPFPageNumber8"/>
      <w:bookmarkStart w:id="110" w:name="DSPFPageNumberArea7"/>
      <w:bookmarkEnd w:id="109"/>
      <w:bookmarkEnd w:id="110"/>
      <w:r>
        <w:rPr>
          <w:rFonts w:ascii="Times New Roman" w:hAnsi="Times New Roman"/>
          <w:b w:val="false"/>
          <w:i w:val="false"/>
          <w:caps w:val="false"/>
          <w:smallCaps w:val="false"/>
          <w:sz w:val="13"/>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1" w:name="DSPFPageBreak8"/>
      <w:bookmarkStart w:id="112" w:name="DSPFPageBreak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13" w:name="DSPFPageHeader7"/>
        <w:bookmarkEnd w:id="11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3.   </w:t>
      </w:r>
      <w:r>
        <w:rPr>
          <w:rFonts w:ascii="Times New Roman" w:hAnsi="Times New Roman"/>
          <w:sz w:val="17"/>
          <w:u w:val="single"/>
        </w:rPr>
        <w:t>Securities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Securities available for sale consist of the following:</w:t>
      </w:r>
    </w:p>
    <w:p>
      <w:pPr>
        <w:pStyle w:val="TextBody"/>
        <w:spacing w:before="0" w:after="0"/>
        <w:rPr/>
      </w:pPr>
      <w:r>
        <w:rPr/>
      </w:r>
    </w:p>
    <w:p>
      <w:pPr>
        <w:pStyle w:val="Normal"/>
        <w:spacing w:before="0" w:after="0"/>
        <w:rPr>
          <w:sz w:val="4"/>
          <w:szCs w:val="4"/>
        </w:rPr>
      </w:pPr>
      <w:r>
        <w:rPr>
          <w:sz w:val="4"/>
          <w:szCs w:val="4"/>
        </w:rPr>
      </w:r>
      <w:bookmarkStart w:id="114" w:name="z445572f9496149deab17effd2ded0c54"/>
      <w:bookmarkStart w:id="115" w:name="z445572f9496149deab17effd2ded0c54"/>
      <w:bookmarkEnd w:id="115"/>
    </w:p>
    <w:tbl>
      <w:tblPr>
        <w:tblW w:w="6290" w:type="dxa"/>
        <w:jc w:val="left"/>
        <w:tblInd w:w="0" w:type="dxa"/>
        <w:tblCellMar>
          <w:top w:w="0" w:type="dxa"/>
          <w:left w:w="0" w:type="dxa"/>
          <w:bottom w:w="0" w:type="dxa"/>
          <w:right w:w="0" w:type="dxa"/>
        </w:tblCellMar>
      </w:tblPr>
      <w:tblGrid>
        <w:gridCol w:w="3230"/>
        <w:gridCol w:w="60"/>
        <w:gridCol w:w="116"/>
        <w:gridCol w:w="639"/>
        <w:gridCol w:w="60"/>
        <w:gridCol w:w="60"/>
        <w:gridCol w:w="110"/>
        <w:gridCol w:w="425"/>
        <w:gridCol w:w="60"/>
        <w:gridCol w:w="60"/>
        <w:gridCol w:w="110"/>
        <w:gridCol w:w="425"/>
        <w:gridCol w:w="60"/>
        <w:gridCol w:w="60"/>
        <w:gridCol w:w="113"/>
        <w:gridCol w:w="627"/>
        <w:gridCol w:w="75"/>
      </w:tblGrid>
      <w:tr>
        <w:trPr/>
        <w:tc>
          <w:tcPr>
            <w:tcW w:w="323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Amortized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Gains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5"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18,129</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141,886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142,038</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11,313</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32,984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33,092</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110,372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110,290</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108,749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707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108,385</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34,048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34,380</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1,883</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2,021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461,604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20,198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20,014</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124,777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1,843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123,751</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5,726</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29,735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29,419</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83,481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83,319</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130,244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127,555</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34,866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34,309</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1,819</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2,014</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433,224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1,520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6" w:name="DSPFPageBreakArea9"/>
      <w:bookmarkStart w:id="117" w:name="DSPFPageBreakArea9"/>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18" w:name="DSPFPageNumber9"/>
      <w:bookmarkStart w:id="119" w:name="DSPFPageNumberArea8"/>
      <w:bookmarkEnd w:id="118"/>
      <w:bookmarkEnd w:id="119"/>
      <w:r>
        <w:rPr>
          <w:rFonts w:ascii="Times New Roman" w:hAnsi="Times New Roman"/>
          <w:b w:val="false"/>
          <w:i w:val="false"/>
          <w:caps w:val="false"/>
          <w:smallCaps w:val="false"/>
          <w:sz w:val="13"/>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 w:name="DSPFPageBreak9"/>
      <w:bookmarkStart w:id="121" w:name="DSPFPageBreak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22" w:name="DSPFPageHeader8"/>
        <w:bookmarkEnd w:id="12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investments’ gross unrealized losses and fair values aggregated by investment type and length of time that individual securities have been at a continuous unrealized loss position follows:</w:t>
      </w:r>
    </w:p>
    <w:p>
      <w:pPr>
        <w:pStyle w:val="TextBody"/>
        <w:spacing w:before="0" w:after="0"/>
        <w:rPr/>
      </w:pPr>
      <w:r>
        <w:rPr/>
      </w:r>
    </w:p>
    <w:p>
      <w:pPr>
        <w:pStyle w:val="Normal"/>
        <w:spacing w:before="0" w:after="0"/>
        <w:rPr>
          <w:sz w:val="4"/>
          <w:szCs w:val="4"/>
        </w:rPr>
      </w:pPr>
      <w:r>
        <w:rPr>
          <w:sz w:val="4"/>
          <w:szCs w:val="4"/>
        </w:rPr>
      </w:r>
      <w:bookmarkStart w:id="123" w:name="z8b60b1424a6541caac955180285bc063"/>
      <w:bookmarkStart w:id="124" w:name="z8b60b1424a6541caac955180285bc063"/>
      <w:bookmarkEnd w:id="124"/>
    </w:p>
    <w:tbl>
      <w:tblPr>
        <w:tblW w:w="8945" w:type="dxa"/>
        <w:jc w:val="left"/>
        <w:tblInd w:w="0" w:type="dxa"/>
        <w:tblCellMar>
          <w:top w:w="0" w:type="dxa"/>
          <w:left w:w="0" w:type="dxa"/>
          <w:bottom w:w="0" w:type="dxa"/>
          <w:right w:w="0" w:type="dxa"/>
        </w:tblCellMar>
      </w:tblPr>
      <w:tblGrid>
        <w:gridCol w:w="3230"/>
        <w:gridCol w:w="60"/>
        <w:gridCol w:w="148"/>
        <w:gridCol w:w="816"/>
        <w:gridCol w:w="81"/>
        <w:gridCol w:w="81"/>
        <w:gridCol w:w="157"/>
        <w:gridCol w:w="613"/>
        <w:gridCol w:w="60"/>
        <w:gridCol w:w="60"/>
        <w:gridCol w:w="137"/>
        <w:gridCol w:w="757"/>
        <w:gridCol w:w="75"/>
        <w:gridCol w:w="75"/>
        <w:gridCol w:w="157"/>
        <w:gridCol w:w="613"/>
        <w:gridCol w:w="60"/>
        <w:gridCol w:w="60"/>
        <w:gridCol w:w="113"/>
        <w:gridCol w:w="627"/>
        <w:gridCol w:w="60"/>
        <w:gridCol w:w="60"/>
        <w:gridCol w:w="158"/>
        <w:gridCol w:w="612"/>
        <w:gridCol w:w="75"/>
      </w:tblGrid>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9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Less Than Twelve Months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14"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Twelve Months or More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p>
            <w:pPr>
              <w:pStyle w:val="TableContents"/>
              <w:spacing w:before="0" w:after="0"/>
              <w:jc w:val="center"/>
              <w:rPr>
                <w:rFonts w:ascii="Times New Roman" w:hAnsi="Times New Roman"/>
                <w:sz w:val="17"/>
              </w:rPr>
            </w:pPr>
            <w:r>
              <w:rPr>
                <w:rFonts w:ascii="Times New Roman" w:hAnsi="Times New Roman"/>
                <w:sz w:val="17"/>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p>
            <w:pPr>
              <w:pStyle w:val="TableContents"/>
              <w:spacing w:before="0" w:after="0"/>
              <w:jc w:val="center"/>
              <w:rPr>
                <w:rFonts w:ascii="Times New Roman" w:hAnsi="Times New Roman"/>
                <w:sz w:val="17"/>
              </w:rPr>
            </w:pPr>
            <w:r>
              <w:rPr>
                <w:rFonts w:ascii="Times New Roman" w:hAnsi="Times New Roman"/>
                <w:sz w:val="17"/>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p>
            <w:pPr>
              <w:pStyle w:val="TableContents"/>
              <w:spacing w:before="0" w:after="0"/>
              <w:jc w:val="center"/>
              <w:rPr>
                <w:rFonts w:ascii="Times New Roman" w:hAnsi="Times New Roman"/>
                <w:sz w:val="17"/>
              </w:rPr>
            </w:pPr>
            <w:r>
              <w:rPr>
                <w:rFonts w:ascii="Times New Roman" w:hAnsi="Times New Roman"/>
                <w:sz w:val="17"/>
              </w:rPr>
              <w:t>Losses</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80"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10,904</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5,232</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50,813</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56,045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915</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2,215</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5,434</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7,649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115</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10,468</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14,496</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24,964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247</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40,490</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10,619</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51,109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197</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2,173</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65,191</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67,364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1,071</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1,795</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8,376</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112</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963</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920</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1,883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2,021</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63,432</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5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168,774</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232,206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2,828</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7,150</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11,945</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19,095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193</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18,374</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48,184</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1,663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66,558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1,843</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566</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5,094</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184</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8,273</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16,145</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24,418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637</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53,043</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10,235</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63,278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248</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25,423</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80,701</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106,124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2,946</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17,758</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9,222</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1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26,980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586</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939</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left"/>
              <w:rPr/>
            </w:pPr>
            <w:r>
              <w:rPr/>
              <w:t> </w:t>
            </w:r>
          </w:p>
        </w:tc>
        <w:tc>
          <w:tcPr>
            <w:tcW w:w="7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880</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61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145</w:t>
            </w:r>
          </w:p>
        </w:tc>
        <w:tc>
          <w:tcPr>
            <w:tcW w:w="75" w:type="dxa"/>
            <w:tcBorders/>
            <w:shd w:fill="FFFFFF" w:val="clear"/>
            <w:vAlign w:val="bottom"/>
          </w:tcPr>
          <w:p>
            <w:pPr>
              <w:pStyle w:val="TableContents"/>
              <w:spacing w:before="0" w:after="283"/>
              <w:jc w:val="left"/>
              <w:rPr/>
            </w:pPr>
            <w:r>
              <w:rPr/>
              <w:t> </w:t>
            </w:r>
          </w:p>
        </w:tc>
      </w:tr>
      <w:tr>
        <w:trPr/>
        <w:tc>
          <w:tcPr>
            <w:tcW w:w="323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2,014</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75" w:type="dxa"/>
            <w:tcBorders/>
            <w:shd w:fill="CCEEFF" w:val="clear"/>
            <w:vAlign w:val="bottom"/>
          </w:tcPr>
          <w:p>
            <w:pPr>
              <w:pStyle w:val="TableContents"/>
              <w:spacing w:before="0" w:after="283"/>
              <w:jc w:val="left"/>
              <w:rPr/>
            </w:pPr>
            <w:r>
              <w:rPr/>
              <w:t> </w:t>
            </w:r>
          </w:p>
        </w:tc>
      </w:tr>
      <w:tr>
        <w:trPr/>
        <w:tc>
          <w:tcPr>
            <w:tcW w:w="323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131,526</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5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184,420</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315,946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6,818</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5" w:name="DSPFPageBreakArea10"/>
      <w:bookmarkStart w:id="126" w:name="DSPFPageBreakArea10"/>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27" w:name="DSPFPageNumber10"/>
      <w:bookmarkStart w:id="128" w:name="DSPFPageNumberArea9"/>
      <w:bookmarkEnd w:id="127"/>
      <w:bookmarkEnd w:id="128"/>
      <w:r>
        <w:rPr>
          <w:rFonts w:ascii="Times New Roman" w:hAnsi="Times New Roman"/>
          <w:b w:val="false"/>
          <w:i w:val="false"/>
          <w:caps w:val="false"/>
          <w:smallCaps w:val="false"/>
          <w:sz w:val="13"/>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 w:name="DSPFPageBreak10"/>
      <w:bookmarkStart w:id="130" w:name="DSPFPageBreak10"/>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31" w:name="DSPFPageHeader9"/>
        <w:bookmarkEnd w:id="131"/>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U.S. agency, U.S. agency residential mortgage-backed securities and U.S. agency commercial mortgage backed securities — at March 31, 2019, we had 38 U.S. agency, 120 U.S. agency residential mortgage-backed and 15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Private label mortgage backed securities — at March 31, 2019, we had 31 of this type of security whose fair value is less than amortized cost. Unrealized losses are primarily due to credit spread widening and increases in interest rates since their acquisition.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Two private label mortgage-backed securities (including two of the three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Other asset backed — at March 31, 2019, we had 85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Obligations of states and political subdivisions — at March 31, 2019, we had 212 municipal securities whose fair value is less than amortized cost. The unrealized losses are primarily due to wider benchmark pricing spreads and 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Corporate — at March 31, 2019, we had 13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2" w:name="DSPFPageBreakArea11"/>
      <w:bookmarkStart w:id="133" w:name="DSPFPageBreakArea11"/>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34" w:name="DSPFPageNumber11"/>
      <w:bookmarkStart w:id="135" w:name="DSPFPageNumberArea10"/>
      <w:bookmarkEnd w:id="134"/>
      <w:bookmarkEnd w:id="135"/>
      <w:r>
        <w:rPr>
          <w:rFonts w:ascii="Times New Roman" w:hAnsi="Times New Roman"/>
          <w:b w:val="false"/>
          <w:i w:val="false"/>
          <w:caps w:val="false"/>
          <w:smallCaps w:val="false"/>
          <w:sz w:val="13"/>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6" w:name="DSPFPageBreak11"/>
      <w:bookmarkStart w:id="137" w:name="DSPFPageBreak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38" w:name="DSPFPageHeader10"/>
        <w:bookmarkEnd w:id="13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Trust preferred securities — at March 31, 2019,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$0.96 million as of March 31, 2019, continues to have satisfactory credit metrics and make interest payments. As management does not intend to liquidate this security and it is more likely than not that we will not be required to sell this security prior to recovery of the unrealized loss, this decline is not deemed to be other than temporary.</w:t>
      </w:r>
    </w:p>
    <w:p>
      <w:pPr>
        <w:pStyle w:val="TextBody"/>
        <w:spacing w:before="0" w:after="0"/>
        <w:rPr/>
      </w:pPr>
      <w:r>
        <w:rPr/>
      </w:r>
    </w:p>
    <w:p>
      <w:pPr>
        <w:pStyle w:val="TextBody"/>
        <w:spacing w:before="0" w:after="0"/>
        <w:ind w:left="0" w:right="113" w:hanging="0"/>
        <w:jc w:val="both"/>
        <w:rPr>
          <w:rFonts w:ascii="Times New Roman" w:hAnsi="Times New Roman"/>
          <w:sz w:val="17"/>
        </w:rPr>
      </w:pPr>
      <w:r>
        <w:rPr>
          <w:rFonts w:ascii="Times New Roman" w:hAnsi="Times New Roman"/>
          <w:sz w:val="17"/>
        </w:rPr>
        <w:t>Foreign government — at March 31, 2019,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recorded no credit related OTTI charges in our Condensed Consolidated Statements of Operations related to securities available for sale during the three month periods ended March 31, 2019 and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At March 31, 2019, three private label mortgage-backed securities had credit related OTTI and are summarized as follows:</w:t>
      </w:r>
    </w:p>
    <w:p>
      <w:pPr>
        <w:pStyle w:val="TextBody"/>
        <w:spacing w:before="0" w:after="0"/>
        <w:rPr/>
      </w:pPr>
      <w:r>
        <w:rPr/>
      </w:r>
    </w:p>
    <w:p>
      <w:pPr>
        <w:pStyle w:val="Normal"/>
        <w:spacing w:before="0" w:after="0"/>
        <w:rPr>
          <w:sz w:val="4"/>
          <w:szCs w:val="4"/>
        </w:rPr>
      </w:pPr>
      <w:r>
        <w:rPr>
          <w:sz w:val="4"/>
          <w:szCs w:val="4"/>
        </w:rPr>
      </w:r>
      <w:bookmarkStart w:id="139" w:name="zca3dc42b7c5c43368b29b89cc2a74686"/>
      <w:bookmarkStart w:id="140" w:name="zca3dc42b7c5c43368b29b89cc2a74686"/>
      <w:bookmarkEnd w:id="140"/>
    </w:p>
    <w:tbl>
      <w:tblPr>
        <w:tblW w:w="4980" w:type="dxa"/>
        <w:jc w:val="center"/>
        <w:tblInd w:w="0" w:type="dxa"/>
        <w:tblCellMar>
          <w:top w:w="0" w:type="dxa"/>
          <w:left w:w="0" w:type="dxa"/>
          <w:bottom w:w="0" w:type="dxa"/>
          <w:right w:w="0" w:type="dxa"/>
        </w:tblCellMar>
      </w:tblPr>
      <w:tblGrid>
        <w:gridCol w:w="2195"/>
        <w:gridCol w:w="60"/>
        <w:gridCol w:w="162"/>
        <w:gridCol w:w="428"/>
        <w:gridCol w:w="60"/>
        <w:gridCol w:w="60"/>
        <w:gridCol w:w="162"/>
        <w:gridCol w:w="428"/>
        <w:gridCol w:w="60"/>
        <w:gridCol w:w="60"/>
        <w:gridCol w:w="162"/>
        <w:gridCol w:w="428"/>
        <w:gridCol w:w="60"/>
        <w:gridCol w:w="60"/>
        <w:gridCol w:w="110"/>
        <w:gridCol w:w="425"/>
        <w:gridCol w:w="60"/>
      </w:tblGrid>
      <w:tr>
        <w:trPr/>
        <w:tc>
          <w:tcPr>
            <w:tcW w:w="2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Senior</w:t>
            </w:r>
          </w:p>
          <w:p>
            <w:pPr>
              <w:pStyle w:val="TableContents"/>
              <w:spacing w:before="0" w:after="0"/>
              <w:jc w:val="center"/>
              <w:rPr>
                <w:rFonts w:ascii="Times New Roman" w:hAnsi="Times New Roman"/>
                <w:sz w:val="17"/>
              </w:rPr>
            </w:pPr>
            <w:r>
              <w:rPr>
                <w:rFonts w:ascii="Times New Roman" w:hAnsi="Times New Roman"/>
                <w:sz w:val="17"/>
              </w:rPr>
              <w:t>Security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Super</w:t>
            </w:r>
          </w:p>
          <w:p>
            <w:pPr>
              <w:pStyle w:val="TableContents"/>
              <w:spacing w:before="0" w:after="0"/>
              <w:jc w:val="center"/>
              <w:rPr>
                <w:rFonts w:ascii="Times New Roman" w:hAnsi="Times New Roman"/>
                <w:sz w:val="17"/>
              </w:rPr>
            </w:pPr>
            <w:r>
              <w:rPr>
                <w:rFonts w:ascii="Times New Roman" w:hAnsi="Times New Roman"/>
                <w:sz w:val="17"/>
              </w:rPr>
              <w:t>Senior</w:t>
            </w:r>
          </w:p>
          <w:p>
            <w:pPr>
              <w:pStyle w:val="TableContents"/>
              <w:spacing w:before="0" w:after="0"/>
              <w:jc w:val="center"/>
              <w:rPr>
                <w:rFonts w:ascii="Times New Roman" w:hAnsi="Times New Roman"/>
                <w:sz w:val="17"/>
              </w:rPr>
            </w:pPr>
            <w:r>
              <w:rPr>
                <w:rFonts w:ascii="Times New Roman" w:hAnsi="Times New Roman"/>
                <w:sz w:val="17"/>
              </w:rPr>
              <w:t>Security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Senior</w:t>
            </w:r>
          </w:p>
          <w:p>
            <w:pPr>
              <w:pStyle w:val="TableContents"/>
              <w:spacing w:before="0" w:after="0"/>
              <w:jc w:val="center"/>
              <w:rPr>
                <w:rFonts w:ascii="Times New Roman" w:hAnsi="Times New Roman"/>
                <w:sz w:val="17"/>
              </w:rPr>
            </w:pPr>
            <w:r>
              <w:rPr>
                <w:rFonts w:ascii="Times New Roman" w:hAnsi="Times New Roman"/>
                <w:sz w:val="17"/>
              </w:rPr>
              <w:t>Support</w:t>
            </w:r>
          </w:p>
          <w:p>
            <w:pPr>
              <w:pStyle w:val="TableContents"/>
              <w:spacing w:before="0" w:after="0"/>
              <w:jc w:val="center"/>
              <w:rPr>
                <w:rFonts w:ascii="Times New Roman" w:hAnsi="Times New Roman"/>
                <w:sz w:val="17"/>
              </w:rPr>
            </w:pPr>
            <w:r>
              <w:rPr>
                <w:rFonts w:ascii="Times New Roman" w:hAnsi="Times New Roman"/>
                <w:sz w:val="17"/>
              </w:rPr>
              <w:t>Security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auto"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65"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Fair value</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1,489</w:t>
            </w:r>
          </w:p>
        </w:tc>
        <w:tc>
          <w:tcPr>
            <w:tcW w:w="60" w:type="dxa"/>
            <w:tcBorders/>
            <w:shd w:fill="CCEEFF" w:val="clear"/>
            <w:vAlign w:val="bottom"/>
          </w:tcPr>
          <w:p>
            <w:pPr>
              <w:pStyle w:val="TableContents"/>
              <w:spacing w:before="0" w:after="283"/>
              <w:jc w:val="left"/>
              <w:rPr/>
            </w:pPr>
            <w:r>
              <w:rPr/>
              <w:t> </w:t>
            </w:r>
          </w:p>
        </w:tc>
      </w:tr>
      <w:tr>
        <w:trPr/>
        <w:tc>
          <w:tcPr>
            <w:tcW w:w="219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Amortized cost</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629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1,175</w:t>
            </w:r>
          </w:p>
        </w:tc>
        <w:tc>
          <w:tcPr>
            <w:tcW w:w="60" w:type="dxa"/>
            <w:tcBorders/>
            <w:shd w:fill="FFFFFF"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Non-credit unrealized loss</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r>
      <w:tr>
        <w:trPr/>
        <w:tc>
          <w:tcPr>
            <w:tcW w:w="219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Unrealized gain</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4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314</w:t>
            </w:r>
          </w:p>
        </w:tc>
        <w:tc>
          <w:tcPr>
            <w:tcW w:w="60" w:type="dxa"/>
            <w:tcBorders/>
            <w:shd w:fill="FFFFFF"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Cumulative credit related OTTI</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4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1,594</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Each of these securities is receiving principal and interest payments similar to principal reductions in the underlying collateral. All three of these securities have unrealized gains at March 31, 2019.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 w:name="DSPFPageBreakArea12"/>
      <w:bookmarkStart w:id="142" w:name="DSPFPageBreakArea12"/>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43" w:name="DSPFPageNumber12"/>
      <w:bookmarkStart w:id="144" w:name="DSPFPageNumberArea11"/>
      <w:bookmarkEnd w:id="143"/>
      <w:bookmarkEnd w:id="144"/>
      <w:r>
        <w:rPr>
          <w:rFonts w:ascii="Times New Roman" w:hAnsi="Times New Roman"/>
          <w:b w:val="false"/>
          <w:i w:val="false"/>
          <w:caps w:val="false"/>
          <w:smallCaps w:val="false"/>
          <w:sz w:val="13"/>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5" w:name="DSPFPageBreak12"/>
      <w:bookmarkStart w:id="146" w:name="DSPFPageBreak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47" w:name="DSPFPageHeader11"/>
        <w:bookmarkEnd w:id="14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roll forward of credit losses recognized in earnings on securities available for sale follows:</w:t>
      </w:r>
    </w:p>
    <w:p>
      <w:pPr>
        <w:pStyle w:val="TextBody"/>
        <w:spacing w:before="0" w:after="0"/>
        <w:rPr/>
      </w:pPr>
      <w:r>
        <w:rPr/>
      </w:r>
    </w:p>
    <w:p>
      <w:pPr>
        <w:pStyle w:val="Normal"/>
        <w:spacing w:before="0" w:after="0"/>
        <w:rPr>
          <w:sz w:val="4"/>
          <w:szCs w:val="4"/>
        </w:rPr>
      </w:pPr>
      <w:r>
        <w:rPr>
          <w:sz w:val="4"/>
          <w:szCs w:val="4"/>
        </w:rPr>
      </w:r>
      <w:bookmarkStart w:id="148" w:name="z6bde8fb1a076489384a2087fc2660486"/>
      <w:bookmarkStart w:id="149" w:name="z6bde8fb1a076489384a2087fc2660486"/>
      <w:bookmarkEnd w:id="149"/>
    </w:p>
    <w:tbl>
      <w:tblPr>
        <w:tblW w:w="7525" w:type="dxa"/>
        <w:jc w:val="left"/>
        <w:tblInd w:w="0" w:type="dxa"/>
        <w:tblCellMar>
          <w:top w:w="0" w:type="dxa"/>
          <w:left w:w="0" w:type="dxa"/>
          <w:bottom w:w="0" w:type="dxa"/>
          <w:right w:w="0" w:type="dxa"/>
        </w:tblCellMar>
      </w:tblPr>
      <w:tblGrid>
        <w:gridCol w:w="5945"/>
        <w:gridCol w:w="60"/>
        <w:gridCol w:w="133"/>
        <w:gridCol w:w="516"/>
        <w:gridCol w:w="72"/>
        <w:gridCol w:w="72"/>
        <w:gridCol w:w="133"/>
        <w:gridCol w:w="519"/>
        <w:gridCol w:w="75"/>
      </w:tblGrid>
      <w:tr>
        <w:trPr/>
        <w:tc>
          <w:tcPr>
            <w:tcW w:w="59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75" w:type="dxa"/>
            <w:tcBorders/>
            <w:shd w:fill="auto" w:val="clear"/>
            <w:vAlign w:val="bottom"/>
          </w:tcPr>
          <w:p>
            <w:pPr>
              <w:pStyle w:val="TableContents"/>
              <w:spacing w:before="0" w:after="283"/>
              <w:jc w:val="left"/>
              <w:rPr/>
            </w:pPr>
            <w:r>
              <w:rPr/>
              <w:t> </w:t>
            </w:r>
          </w:p>
        </w:tc>
      </w:tr>
      <w:tr>
        <w:trPr/>
        <w:tc>
          <w:tcPr>
            <w:tcW w:w="59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72"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rPr/>
            </w:pPr>
            <w:r>
              <w:rPr/>
              <w:t> </w:t>
            </w:r>
          </w:p>
        </w:tc>
        <w:tc>
          <w:tcPr>
            <w:tcW w:w="65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59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594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1,594</w:t>
            </w:r>
          </w:p>
        </w:tc>
        <w:tc>
          <w:tcPr>
            <w:tcW w:w="72"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1,594</w:t>
            </w:r>
          </w:p>
        </w:tc>
        <w:tc>
          <w:tcPr>
            <w:tcW w:w="75" w:type="dxa"/>
            <w:tcBorders/>
            <w:shd w:fill="CCEEFF" w:val="clear"/>
            <w:vAlign w:val="bottom"/>
          </w:tcPr>
          <w:p>
            <w:pPr>
              <w:pStyle w:val="TableContents"/>
              <w:spacing w:before="0" w:after="283"/>
              <w:jc w:val="left"/>
              <w:rPr/>
            </w:pPr>
            <w:r>
              <w:rPr/>
              <w:t> </w:t>
            </w:r>
          </w:p>
        </w:tc>
      </w:tr>
      <w:tr>
        <w:trPr/>
        <w:tc>
          <w:tcPr>
            <w:tcW w:w="5945" w:type="dxa"/>
            <w:tcBorders/>
            <w:shd w:fill="FFFFFF" w:val="clear"/>
            <w:vAlign w:val="bottom"/>
          </w:tcPr>
          <w:p>
            <w:pPr>
              <w:pStyle w:val="TableContents"/>
              <w:spacing w:before="0" w:after="0"/>
              <w:ind w:left="360" w:right="0" w:hanging="180"/>
              <w:jc w:val="left"/>
              <w:rPr/>
            </w:pPr>
            <w:r>
              <w:rPr>
                <w:rFonts w:ascii="Times New Roman" w:hAnsi="Times New Roman"/>
                <w:sz w:val="17"/>
              </w:rPr>
              <w:t>Additions to credit losses on securities for which no</w:t>
            </w:r>
            <w:r>
              <w:rPr/>
              <w:t xml:space="preserve"> </w:t>
            </w:r>
            <w:r>
              <w:rPr>
                <w:rFonts w:ascii="Times New Roman" w:hAnsi="Times New Roman"/>
                <w:sz w:val="17"/>
              </w:rPr>
              <w:t>previous OTTI was recognized</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2"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5945" w:type="dxa"/>
            <w:tcBorders/>
            <w:shd w:fill="CCEEFF" w:val="clear"/>
            <w:vAlign w:val="bottom"/>
          </w:tcPr>
          <w:p>
            <w:pPr>
              <w:pStyle w:val="TableContents"/>
              <w:spacing w:before="0" w:after="0"/>
              <w:ind w:left="360" w:right="0" w:hanging="180"/>
              <w:jc w:val="left"/>
              <w:rPr/>
            </w:pPr>
            <w:r>
              <w:rPr>
                <w:rFonts w:ascii="Times New Roman" w:hAnsi="Times New Roman"/>
                <w:sz w:val="17"/>
              </w:rPr>
              <w:t>Increases to credit losses on securities for which OTTI was</w:t>
            </w:r>
            <w:r>
              <w:rPr/>
              <w:t xml:space="preserve"> </w:t>
            </w:r>
            <w:r>
              <w:rPr>
                <w:rFonts w:ascii="Times New Roman" w:hAnsi="Times New Roman"/>
                <w:sz w:val="20"/>
              </w:rPr>
              <w:t>previously recognized</w:t>
            </w:r>
          </w:p>
        </w:tc>
        <w:tc>
          <w:tcPr>
            <w:tcW w:w="60" w:type="dxa"/>
            <w:tcBorders/>
            <w:shd w:fill="CCEEFF" w:val="clear"/>
            <w:vAlign w:val="bottom"/>
          </w:tcPr>
          <w:p>
            <w:pPr>
              <w:pStyle w:val="TableContents"/>
              <w:spacing w:before="0" w:after="283"/>
              <w:rPr/>
            </w:pPr>
            <w:r>
              <w:rPr/>
              <w:t>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2"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rPr/>
            </w:pPr>
            <w:r>
              <w:rPr/>
              <w:t>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594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Balance at end of period</w:t>
            </w:r>
          </w:p>
        </w:tc>
        <w:tc>
          <w:tcPr>
            <w:tcW w:w="60"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1,594</w:t>
            </w:r>
          </w:p>
        </w:tc>
        <w:tc>
          <w:tcPr>
            <w:tcW w:w="72"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1,594</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amortized cost and fair value of securities available for sale at March 31, 2019, by contractual maturity, follow:</w:t>
      </w:r>
    </w:p>
    <w:p>
      <w:pPr>
        <w:pStyle w:val="TextBody"/>
        <w:spacing w:before="0" w:after="0"/>
        <w:rPr/>
      </w:pPr>
      <w:r>
        <w:rPr/>
      </w:r>
    </w:p>
    <w:p>
      <w:pPr>
        <w:pStyle w:val="Normal"/>
        <w:spacing w:before="0" w:after="0"/>
        <w:rPr>
          <w:sz w:val="4"/>
          <w:szCs w:val="4"/>
        </w:rPr>
      </w:pPr>
      <w:r>
        <w:rPr>
          <w:sz w:val="4"/>
          <w:szCs w:val="4"/>
        </w:rPr>
      </w:r>
      <w:bookmarkStart w:id="150" w:name="z807d1421c6a24cdc8c0ff9e37d42ac4c"/>
      <w:bookmarkStart w:id="151" w:name="z807d1421c6a24cdc8c0ff9e37d42ac4c"/>
      <w:bookmarkEnd w:id="151"/>
    </w:p>
    <w:tbl>
      <w:tblPr>
        <w:tblW w:w="4895" w:type="dxa"/>
        <w:jc w:val="left"/>
        <w:tblInd w:w="0" w:type="dxa"/>
        <w:tblCellMar>
          <w:top w:w="0" w:type="dxa"/>
          <w:left w:w="0" w:type="dxa"/>
          <w:bottom w:w="0" w:type="dxa"/>
          <w:right w:w="0" w:type="dxa"/>
        </w:tblCellMar>
      </w:tblPr>
      <w:tblGrid>
        <w:gridCol w:w="3170"/>
        <w:gridCol w:w="60"/>
        <w:gridCol w:w="116"/>
        <w:gridCol w:w="639"/>
        <w:gridCol w:w="60"/>
        <w:gridCol w:w="60"/>
        <w:gridCol w:w="110"/>
        <w:gridCol w:w="605"/>
        <w:gridCol w:w="75"/>
      </w:tblGrid>
      <w:tr>
        <w:trPr/>
        <w:tc>
          <w:tcPr>
            <w:tcW w:w="31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Amortized</w:t>
            </w:r>
          </w:p>
          <w:p>
            <w:pPr>
              <w:pStyle w:val="TableContents"/>
              <w:spacing w:before="0" w:after="0"/>
              <w:jc w:val="center"/>
              <w:rPr>
                <w:rFonts w:ascii="Times New Roman" w:hAnsi="Times New Roman"/>
                <w:sz w:val="17"/>
              </w:rPr>
            </w:pPr>
            <w:r>
              <w:rPr>
                <w:rFonts w:ascii="Times New Roman" w:hAnsi="Times New Roman"/>
                <w:sz w:val="17"/>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75" w:type="dxa"/>
            <w:tcBorders/>
            <w:shd w:fill="auto" w:val="clear"/>
            <w:vAlign w:val="bottom"/>
          </w:tcPr>
          <w:p>
            <w:pPr>
              <w:pStyle w:val="TableContents"/>
              <w:spacing w:before="0" w:after="283"/>
              <w:jc w:val="left"/>
              <w:rPr/>
            </w:pPr>
            <w:r>
              <w:rPr/>
              <w:t> </w:t>
            </w:r>
          </w:p>
        </w:tc>
      </w:tr>
      <w:tr>
        <w:trPr/>
        <w:tc>
          <w:tcPr>
            <w:tcW w:w="31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1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Maturing within one year</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10,664</w:t>
            </w:r>
          </w:p>
        </w:tc>
        <w:tc>
          <w:tcPr>
            <w:tcW w:w="75" w:type="dxa"/>
            <w:tcBorders/>
            <w:shd w:fill="CCEE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Maturing after one year but within five years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60,499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60,455</w:t>
            </w:r>
          </w:p>
        </w:tc>
        <w:tc>
          <w:tcPr>
            <w:tcW w:w="75" w:type="dxa"/>
            <w:tcBorders/>
            <w:shd w:fill="FFFFFF" w:val="clear"/>
            <w:vAlign w:val="bottom"/>
          </w:tcPr>
          <w:p>
            <w:pPr>
              <w:pStyle w:val="TableContents"/>
              <w:spacing w:before="0" w:after="283"/>
              <w:jc w:val="left"/>
              <w:rPr/>
            </w:pPr>
            <w:r>
              <w:rPr/>
              <w:t> </w:t>
            </w:r>
          </w:p>
        </w:tc>
      </w:tr>
      <w:tr>
        <w:trPr/>
        <w:tc>
          <w:tcPr>
            <w:tcW w:w="31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Maturing after five years but within ten years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52,841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52,862</w:t>
            </w:r>
          </w:p>
        </w:tc>
        <w:tc>
          <w:tcPr>
            <w:tcW w:w="75" w:type="dxa"/>
            <w:tcBorders/>
            <w:shd w:fill="CCEE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Maturing after ten years</w:t>
            </w:r>
          </w:p>
        </w:tc>
        <w:tc>
          <w:tcPr>
            <w:tcW w:w="60"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40,930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40,817</w:t>
            </w:r>
          </w:p>
        </w:tc>
        <w:tc>
          <w:tcPr>
            <w:tcW w:w="75" w:type="dxa"/>
            <w:tcBorders/>
            <w:shd w:fill="FFFFFF" w:val="clear"/>
            <w:vAlign w:val="bottom"/>
          </w:tcPr>
          <w:p>
            <w:pPr>
              <w:pStyle w:val="TableContents"/>
              <w:spacing w:before="0" w:after="283"/>
              <w:jc w:val="left"/>
              <w:rPr/>
            </w:pPr>
            <w:r>
              <w:rPr/>
              <w:t> </w:t>
            </w:r>
          </w:p>
        </w:tc>
      </w:tr>
      <w:tr>
        <w:trPr/>
        <w:tc>
          <w:tcPr>
            <w:tcW w:w="31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164,944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164,798</w:t>
            </w:r>
          </w:p>
        </w:tc>
        <w:tc>
          <w:tcPr>
            <w:tcW w:w="75" w:type="dxa"/>
            <w:tcBorders/>
            <w:shd w:fill="CCEE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141,886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142,038</w:t>
            </w:r>
          </w:p>
        </w:tc>
        <w:tc>
          <w:tcPr>
            <w:tcW w:w="75" w:type="dxa"/>
            <w:tcBorders/>
            <w:shd w:fill="FFFFFF" w:val="clear"/>
            <w:vAlign w:val="bottom"/>
          </w:tcPr>
          <w:p>
            <w:pPr>
              <w:pStyle w:val="TableContents"/>
              <w:spacing w:before="0" w:after="283"/>
              <w:jc w:val="left"/>
              <w:rPr/>
            </w:pPr>
            <w:r>
              <w:rPr/>
              <w:t> </w:t>
            </w:r>
          </w:p>
        </w:tc>
      </w:tr>
      <w:tr>
        <w:trPr/>
        <w:tc>
          <w:tcPr>
            <w:tcW w:w="31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11,313</w:t>
            </w:r>
          </w:p>
        </w:tc>
        <w:tc>
          <w:tcPr>
            <w:tcW w:w="75" w:type="dxa"/>
            <w:tcBorders/>
            <w:shd w:fill="CCEE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32,984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33,092</w:t>
            </w:r>
          </w:p>
        </w:tc>
        <w:tc>
          <w:tcPr>
            <w:tcW w:w="75" w:type="dxa"/>
            <w:tcBorders/>
            <w:shd w:fill="FFFFFF" w:val="clear"/>
            <w:vAlign w:val="bottom"/>
          </w:tcPr>
          <w:p>
            <w:pPr>
              <w:pStyle w:val="TableContents"/>
              <w:spacing w:before="0" w:after="283"/>
              <w:jc w:val="left"/>
              <w:rPr/>
            </w:pPr>
            <w:r>
              <w:rPr/>
              <w:t> </w:t>
            </w:r>
          </w:p>
        </w:tc>
      </w:tr>
      <w:tr>
        <w:trPr/>
        <w:tc>
          <w:tcPr>
            <w:tcW w:w="31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110,372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110,290</w:t>
            </w:r>
          </w:p>
        </w:tc>
        <w:tc>
          <w:tcPr>
            <w:tcW w:w="75" w:type="dxa"/>
            <w:tcBorders/>
            <w:shd w:fill="CCEE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461,604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actual maturity may differ from the contractual maturity because issuers may have the right to call or prepay obligations with or without call or prepayment penalties.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pStyle w:val="TextBody"/>
        <w:spacing w:before="0" w:after="0"/>
        <w:rPr/>
      </w:pPr>
      <w:r>
        <w:rPr/>
      </w:r>
    </w:p>
    <w:p>
      <w:pPr>
        <w:pStyle w:val="Normal"/>
        <w:spacing w:before="0" w:after="0"/>
        <w:rPr>
          <w:sz w:val="4"/>
          <w:szCs w:val="4"/>
        </w:rPr>
      </w:pPr>
      <w:r>
        <w:rPr>
          <w:sz w:val="4"/>
          <w:szCs w:val="4"/>
        </w:rPr>
      </w:r>
      <w:bookmarkStart w:id="152" w:name="z82b5945b18d54444996fc6f9c7e7afe9"/>
      <w:bookmarkStart w:id="153" w:name="z82b5945b18d54444996fc6f9c7e7afe9"/>
      <w:bookmarkEnd w:id="153"/>
    </w:p>
    <w:tbl>
      <w:tblPr>
        <w:tblW w:w="2285" w:type="dxa"/>
        <w:jc w:val="left"/>
        <w:tblInd w:w="0" w:type="dxa"/>
        <w:tblCellMar>
          <w:top w:w="0" w:type="dxa"/>
          <w:left w:w="0" w:type="dxa"/>
          <w:bottom w:w="0" w:type="dxa"/>
          <w:right w:w="0" w:type="dxa"/>
        </w:tblCellMar>
      </w:tblPr>
      <w:tblGrid>
        <w:gridCol w:w="395"/>
        <w:gridCol w:w="60"/>
        <w:gridCol w:w="111"/>
        <w:gridCol w:w="524"/>
        <w:gridCol w:w="60"/>
        <w:gridCol w:w="60"/>
        <w:gridCol w:w="112"/>
        <w:gridCol w:w="298"/>
        <w:gridCol w:w="60"/>
        <w:gridCol w:w="60"/>
        <w:gridCol w:w="166"/>
        <w:gridCol w:w="304"/>
        <w:gridCol w:w="75"/>
      </w:tblGrid>
      <w:tr>
        <w:trPr/>
        <w:tc>
          <w:tcPr>
            <w:tcW w:w="3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Realized</w:t>
            </w:r>
          </w:p>
        </w:tc>
        <w:tc>
          <w:tcPr>
            <w:tcW w:w="75" w:type="dxa"/>
            <w:tcBorders/>
            <w:shd w:fill="auto" w:val="clear"/>
            <w:vAlign w:val="bottom"/>
          </w:tcPr>
          <w:p>
            <w:pPr>
              <w:pStyle w:val="TableContents"/>
              <w:spacing w:before="0" w:after="283"/>
              <w:jc w:val="left"/>
              <w:rPr/>
            </w:pPr>
            <w:r>
              <w:rPr/>
              <w:t> </w:t>
            </w:r>
          </w:p>
        </w:tc>
      </w:tr>
      <w:tr>
        <w:trPr/>
        <w:tc>
          <w:tcPr>
            <w:tcW w:w="3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Proceeds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Gains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Losses</w:t>
            </w:r>
          </w:p>
        </w:tc>
        <w:tc>
          <w:tcPr>
            <w:tcW w:w="75" w:type="dxa"/>
            <w:tcBorders/>
            <w:shd w:fill="auto" w:val="clear"/>
            <w:vAlign w:val="bottom"/>
          </w:tcPr>
          <w:p>
            <w:pPr>
              <w:pStyle w:val="TableContents"/>
              <w:spacing w:before="0" w:after="283"/>
              <w:jc w:val="left"/>
              <w:rPr/>
            </w:pPr>
            <w:r>
              <w:rPr/>
              <w:t> </w:t>
            </w:r>
          </w:p>
        </w:tc>
      </w:tr>
      <w:tr>
        <w:trPr/>
        <w:tc>
          <w:tcPr>
            <w:tcW w:w="3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5"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2019</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42,236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29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75" w:type="dxa"/>
            <w:tcBorders/>
            <w:shd w:fill="CCEEFF" w:val="clear"/>
            <w:vAlign w:val="bottom"/>
          </w:tcPr>
          <w:p>
            <w:pPr>
              <w:pStyle w:val="TableContents"/>
              <w:spacing w:before="0" w:after="283"/>
              <w:jc w:val="left"/>
              <w:rPr/>
            </w:pPr>
            <w:r>
              <w:rPr/>
              <w:t> </w:t>
            </w:r>
          </w:p>
        </w:tc>
      </w:tr>
      <w:tr>
        <w:trPr/>
        <w:tc>
          <w:tcPr>
            <w:tcW w:w="39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2018</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22,277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jc w:val="left"/>
              <w:rPr/>
            </w:pPr>
            <w:r>
              <w:rPr/>
              <w:t> </w:t>
            </w:r>
          </w:p>
        </w:tc>
        <w:tc>
          <w:tcPr>
            <w:tcW w:w="29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left"/>
              <w:rPr/>
            </w:pPr>
            <w:r>
              <w:rPr/>
              <w:t> </w:t>
            </w:r>
          </w:p>
        </w:tc>
        <w:tc>
          <w:tcPr>
            <w:tcW w:w="3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Certain preferred stocks which were all sold during the first quarter of 2019 had been classified as equity securities at fair value in our Condensed Consolidated Statement of Financial Condition.  During the three months ended March 31, 2019 and 2018 we recognized gains (losses) on these preferred stocks of $0.167 million and $(0.154) million, respectively, that are included in net gains (losses) on securities in the Condensed Consolidated Statements of Operations.  Zero and $(0.154) million of these gains (losses) during the three months ended March 31, 2019 and 2018, respectively relate to preferred stock still held at each respective period end.</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4" w:name="DSPFPageBreakArea13"/>
      <w:bookmarkStart w:id="155" w:name="DSPFPageBreakArea1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56" w:name="DSPFPageNumber13"/>
      <w:bookmarkStart w:id="157" w:name="DSPFPageNumberArea12"/>
      <w:bookmarkEnd w:id="156"/>
      <w:bookmarkEnd w:id="157"/>
      <w:r>
        <w:rPr>
          <w:rFonts w:ascii="Times New Roman" w:hAnsi="Times New Roman"/>
          <w:b w:val="false"/>
          <w:i w:val="false"/>
          <w:caps w:val="false"/>
          <w:smallCaps w:val="false"/>
          <w:sz w:val="13"/>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8" w:name="DSPFPageBreak13"/>
      <w:bookmarkStart w:id="159" w:name="DSPFPageBreak13"/>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60" w:name="DSPFPageHeader12"/>
        <w:bookmarkEnd w:id="160"/>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4.   </w:t>
      </w:r>
      <w:r>
        <w:rPr>
          <w:rFonts w:ascii="Times New Roman" w:hAnsi="Times New Roman"/>
          <w:sz w:val="17"/>
          <w:u w:val="single"/>
        </w:rPr>
        <w:t>Loans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assessment of the allowance for loan losses is based on an evaluation of the loan portfolio, recent and historical loss experience, current economic conditions and other pertinent factors.</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An analysis of the allowance for loan losses by portfolio segment for the three months ended March 31, follows:</w:t>
      </w:r>
    </w:p>
    <w:p>
      <w:pPr>
        <w:pStyle w:val="TextBody"/>
        <w:spacing w:before="0" w:after="0"/>
        <w:rPr/>
      </w:pPr>
      <w:r>
        <w:rPr/>
      </w:r>
    </w:p>
    <w:p>
      <w:pPr>
        <w:pStyle w:val="Normal"/>
        <w:spacing w:before="0" w:after="0"/>
        <w:rPr>
          <w:sz w:val="4"/>
          <w:szCs w:val="4"/>
        </w:rPr>
      </w:pPr>
      <w:r>
        <w:rPr>
          <w:sz w:val="4"/>
          <w:szCs w:val="4"/>
        </w:rPr>
      </w:r>
      <w:bookmarkStart w:id="161" w:name="z00310b77bd754c81ae388f70c8c82d16"/>
      <w:bookmarkStart w:id="162" w:name="z00310b77bd754c81ae388f70c8c82d16"/>
      <w:bookmarkEnd w:id="162"/>
    </w:p>
    <w:tbl>
      <w:tblPr>
        <w:tblW w:w="6990" w:type="dxa"/>
        <w:jc w:val="left"/>
        <w:tblInd w:w="0" w:type="dxa"/>
        <w:tblCellMar>
          <w:top w:w="0" w:type="dxa"/>
          <w:left w:w="0" w:type="dxa"/>
          <w:bottom w:w="0" w:type="dxa"/>
          <w:right w:w="0" w:type="dxa"/>
        </w:tblCellMar>
      </w:tblPr>
      <w:tblGrid>
        <w:gridCol w:w="2570"/>
        <w:gridCol w:w="60"/>
        <w:gridCol w:w="176"/>
        <w:gridCol w:w="684"/>
        <w:gridCol w:w="80"/>
        <w:gridCol w:w="60"/>
        <w:gridCol w:w="142"/>
        <w:gridCol w:w="553"/>
        <w:gridCol w:w="80"/>
        <w:gridCol w:w="60"/>
        <w:gridCol w:w="161"/>
        <w:gridCol w:w="624"/>
        <w:gridCol w:w="80"/>
        <w:gridCol w:w="60"/>
        <w:gridCol w:w="152"/>
        <w:gridCol w:w="588"/>
        <w:gridCol w:w="80"/>
        <w:gridCol w:w="60"/>
        <w:gridCol w:w="110"/>
        <w:gridCol w:w="515"/>
        <w:gridCol w:w="95"/>
      </w:tblGrid>
      <w:tr>
        <w:trPr/>
        <w:tc>
          <w:tcPr>
            <w:tcW w:w="2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Mortgage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Installment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Subjective</w:t>
            </w:r>
          </w:p>
          <w:p>
            <w:pPr>
              <w:pStyle w:val="TableContents"/>
              <w:spacing w:before="0" w:after="0"/>
              <w:jc w:val="center"/>
              <w:rPr>
                <w:rFonts w:ascii="Times New Roman" w:hAnsi="Times New Roman"/>
                <w:sz w:val="17"/>
              </w:rPr>
            </w:pPr>
            <w:r>
              <w:rPr>
                <w:rFonts w:ascii="Times New Roman" w:hAnsi="Times New Roman"/>
                <w:sz w:val="17"/>
              </w:rPr>
              <w:t>Allocation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95"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5"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7,090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7,978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24,888</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Additions (deductions)</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62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Provision for loan losses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6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(852</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664</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Recoveries credited to the allowance</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6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568</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charged against the allowance</w:t>
            </w:r>
          </w:p>
        </w:tc>
        <w:tc>
          <w:tcPr>
            <w:tcW w:w="60" w:type="dxa"/>
            <w:tcBorders/>
            <w:shd w:fill="CCEEFF" w:val="clear"/>
            <w:vAlign w:val="bottom"/>
          </w:tcPr>
          <w:p>
            <w:pPr>
              <w:pStyle w:val="TableContents"/>
              <w:spacing w:before="0" w:after="283"/>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(119</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(363</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(384</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(866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5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Balance at end of period</w:t>
            </w:r>
          </w:p>
        </w:tc>
        <w:tc>
          <w:tcPr>
            <w:tcW w:w="60" w:type="dxa"/>
            <w:tcBorders/>
            <w:shd w:fill="FFFFFF" w:val="clear"/>
            <w:vAlign w:val="bottom"/>
          </w:tcPr>
          <w:p>
            <w:pPr>
              <w:pStyle w:val="TableContents"/>
              <w:spacing w:before="0" w:after="283"/>
              <w:rPr/>
            </w:pPr>
            <w:r>
              <w:rPr/>
              <w:t> </w:t>
            </w:r>
          </w:p>
        </w:tc>
        <w:tc>
          <w:tcPr>
            <w:tcW w:w="17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7,518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8,412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1,251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8,073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25,254</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62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2018</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62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5,595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8,733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7,395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22,587</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Additions (deductions)</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62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Provision for loan losses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6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315</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Recoveries credited to the allowance</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6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1,014</w:t>
            </w:r>
          </w:p>
        </w:tc>
        <w:tc>
          <w:tcPr>
            <w:tcW w:w="95" w:type="dxa"/>
            <w:tcBorders/>
            <w:shd w:fill="FFFFFF"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charged against the allowance</w:t>
            </w:r>
          </w:p>
        </w:tc>
        <w:tc>
          <w:tcPr>
            <w:tcW w:w="60" w:type="dxa"/>
            <w:tcBorders/>
            <w:shd w:fill="CCEEFF" w:val="clear"/>
            <w:vAlign w:val="bottom"/>
          </w:tcPr>
          <w:p>
            <w:pPr>
              <w:pStyle w:val="TableContents"/>
              <w:spacing w:before="0" w:after="283"/>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(439</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(366</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(845</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5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Balance at end of period</w:t>
            </w:r>
          </w:p>
        </w:tc>
        <w:tc>
          <w:tcPr>
            <w:tcW w:w="60" w:type="dxa"/>
            <w:tcBorders/>
            <w:shd w:fill="FFFFFF" w:val="clear"/>
            <w:vAlign w:val="bottom"/>
          </w:tcPr>
          <w:p>
            <w:pPr>
              <w:pStyle w:val="TableContents"/>
              <w:spacing w:before="0" w:after="283"/>
              <w:rPr/>
            </w:pPr>
            <w:r>
              <w:rPr/>
              <w:t> </w:t>
            </w:r>
          </w:p>
        </w:tc>
        <w:tc>
          <w:tcPr>
            <w:tcW w:w="17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6,026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8,621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795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7,629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23,071</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3" w:name="DSPFPageBreakArea14"/>
      <w:bookmarkStart w:id="164" w:name="DSPFPageBreakArea14"/>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65" w:name="DSPFPageNumber14"/>
      <w:bookmarkStart w:id="166" w:name="DSPFPageNumberArea13"/>
      <w:bookmarkEnd w:id="165"/>
      <w:bookmarkEnd w:id="166"/>
      <w:r>
        <w:rPr>
          <w:rFonts w:ascii="Times New Roman" w:hAnsi="Times New Roman"/>
          <w:b w:val="false"/>
          <w:i w:val="false"/>
          <w:caps w:val="false"/>
          <w:smallCaps w:val="false"/>
          <w:sz w:val="13"/>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7" w:name="DSPFPageBreak14"/>
      <w:bookmarkStart w:id="168" w:name="DSPFPageBreak14"/>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69" w:name="DSPFPageHeader13"/>
        <w:bookmarkEnd w:id="16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Allowance for loan losses and recorded investment in loans by portfolio segment follows:</w:t>
      </w:r>
    </w:p>
    <w:p>
      <w:pPr>
        <w:pStyle w:val="TextBody"/>
        <w:spacing w:before="0" w:after="0"/>
        <w:rPr/>
      </w:pPr>
      <w:r>
        <w:rPr/>
      </w:r>
    </w:p>
    <w:p>
      <w:pPr>
        <w:pStyle w:val="Normal"/>
        <w:spacing w:before="0" w:after="0"/>
        <w:rPr>
          <w:sz w:val="4"/>
          <w:szCs w:val="4"/>
        </w:rPr>
      </w:pPr>
      <w:r>
        <w:rPr>
          <w:sz w:val="4"/>
          <w:szCs w:val="4"/>
        </w:rPr>
      </w:r>
      <w:bookmarkStart w:id="170" w:name="z7ef203197dd04c54b80492bde58a779d"/>
      <w:bookmarkStart w:id="171" w:name="z7ef203197dd04c54b80492bde58a779d"/>
      <w:bookmarkEnd w:id="171"/>
    </w:p>
    <w:tbl>
      <w:tblPr>
        <w:tblW w:w="8140" w:type="dxa"/>
        <w:jc w:val="left"/>
        <w:tblInd w:w="0" w:type="dxa"/>
        <w:tblCellMar>
          <w:top w:w="0" w:type="dxa"/>
          <w:left w:w="0" w:type="dxa"/>
          <w:bottom w:w="0" w:type="dxa"/>
          <w:right w:w="0" w:type="dxa"/>
        </w:tblCellMar>
      </w:tblPr>
      <w:tblGrid>
        <w:gridCol w:w="3440"/>
        <w:gridCol w:w="60"/>
        <w:gridCol w:w="111"/>
        <w:gridCol w:w="749"/>
        <w:gridCol w:w="60"/>
        <w:gridCol w:w="60"/>
        <w:gridCol w:w="110"/>
        <w:gridCol w:w="740"/>
        <w:gridCol w:w="60"/>
        <w:gridCol w:w="60"/>
        <w:gridCol w:w="120"/>
        <w:gridCol w:w="665"/>
        <w:gridCol w:w="60"/>
        <w:gridCol w:w="60"/>
        <w:gridCol w:w="152"/>
        <w:gridCol w:w="588"/>
        <w:gridCol w:w="60"/>
        <w:gridCol w:w="60"/>
        <w:gridCol w:w="110"/>
        <w:gridCol w:w="740"/>
        <w:gridCol w:w="75"/>
      </w:tblGrid>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Mortgage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Installment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Subjective</w:t>
            </w:r>
          </w:p>
          <w:p>
            <w:pPr>
              <w:pStyle w:val="TableContents"/>
              <w:spacing w:before="0" w:after="0"/>
              <w:jc w:val="center"/>
              <w:rPr>
                <w:rFonts w:ascii="Times New Roman" w:hAnsi="Times New Roman"/>
                <w:sz w:val="17"/>
              </w:rPr>
            </w:pPr>
            <w:r>
              <w:rPr>
                <w:rFonts w:ascii="Times New Roman" w:hAnsi="Times New Roman"/>
                <w:sz w:val="17"/>
              </w:rPr>
              <w:t>Allocation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jc w:val="left"/>
              <w:rPr/>
            </w:pPr>
            <w:r>
              <w:rPr/>
              <w:t> </w:t>
            </w:r>
          </w:p>
        </w:tc>
      </w:tr>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5"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44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440"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Allowance for loan losses:</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Individually evaluated for impairment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6,686</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Collectively evaluated for impairment</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6,314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18,568</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acquired with deteriorated credit quality</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Total ending allowance for loan losses balance</w:t>
            </w:r>
          </w:p>
        </w:tc>
        <w:tc>
          <w:tcPr>
            <w:tcW w:w="60" w:type="dxa"/>
            <w:tcBorders/>
            <w:shd w:fill="FFFFFF" w:val="clear"/>
            <w:vAlign w:val="bottom"/>
          </w:tcPr>
          <w:p>
            <w:pPr>
              <w:pStyle w:val="TableContents"/>
              <w:spacing w:before="0" w:after="283"/>
              <w:rPr/>
            </w:pPr>
            <w:r>
              <w:rPr/>
              <w:t> </w:t>
            </w:r>
          </w:p>
        </w:tc>
        <w:tc>
          <w:tcPr>
            <w:tcW w:w="11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7,518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8,412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25,254</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Loans</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Individually evaluated for impairment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7,928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46,315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57,766</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Collectively evaluated for impairment</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1,162,376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1,001,146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403,881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2,567,403</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acquired with deteriorated credit quality</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2,409</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loans recorded investment</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1,171,841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1,048,007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407,730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2,627,578</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Accrued interest included in recorded investment</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8,783</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loans</w:t>
            </w:r>
          </w:p>
        </w:tc>
        <w:tc>
          <w:tcPr>
            <w:tcW w:w="60" w:type="dxa"/>
            <w:tcBorders/>
            <w:shd w:fill="FFFFFF" w:val="clear"/>
            <w:vAlign w:val="bottom"/>
          </w:tcPr>
          <w:p>
            <w:pPr>
              <w:pStyle w:val="TableContents"/>
              <w:spacing w:before="0" w:after="283"/>
              <w:rPr/>
            </w:pPr>
            <w:r>
              <w:rPr/>
              <w:t> </w:t>
            </w:r>
          </w:p>
        </w:tc>
        <w:tc>
          <w:tcPr>
            <w:tcW w:w="11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1,168,404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1,043,745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406,646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2,618,795</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Allowance for loan losses: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Individually evaluated for impairment</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6,310</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Collectively evaluated for impairment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18,578</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acquired with deteriorated credit quality</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ending allowance for loan losses balance</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7,090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7,978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8,925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24,888</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7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Loans</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Individually evaluated for impairment</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8,697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46,394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58,461</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Collectively evaluated for impairment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1,137,586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1,000,038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392,460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2,530,084</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acquired with deteriorated credit quality</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1,609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2,513</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loans recorded investment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7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1,147,892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1,046,987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396,179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2,591,058</w:t>
            </w:r>
          </w:p>
        </w:tc>
        <w:tc>
          <w:tcPr>
            <w:tcW w:w="75"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Accrued interest included in recorded investment</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8,538</w:t>
            </w:r>
          </w:p>
        </w:tc>
        <w:tc>
          <w:tcPr>
            <w:tcW w:w="75"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loans</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1,144,481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1,042,890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395,149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2,582,520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15"/>
      <w:bookmarkStart w:id="173" w:name="DSPFPageBreakArea15"/>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74" w:name="DSPFPageNumber15"/>
      <w:bookmarkStart w:id="175" w:name="DSPFPageNumberArea14"/>
      <w:bookmarkEnd w:id="174"/>
      <w:bookmarkEnd w:id="175"/>
      <w:r>
        <w:rPr>
          <w:rFonts w:ascii="Times New Roman" w:hAnsi="Times New Roman"/>
          <w:b w:val="false"/>
          <w:i w:val="false"/>
          <w:caps w:val="false"/>
          <w:smallCaps w:val="false"/>
          <w:sz w:val="13"/>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15"/>
      <w:bookmarkStart w:id="177" w:name="DSPFPageBreak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78" w:name="DSPFPageHeader14"/>
        <w:bookmarkEnd w:id="17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Loans on non-accrual status and past due more than 90 days (“Non-performing Loans”) follow:</w:t>
      </w:r>
    </w:p>
    <w:p>
      <w:pPr>
        <w:pStyle w:val="TextBody"/>
        <w:spacing w:before="0" w:after="0"/>
        <w:rPr/>
      </w:pPr>
      <w:r>
        <w:rPr/>
      </w:r>
    </w:p>
    <w:p>
      <w:pPr>
        <w:pStyle w:val="Normal"/>
        <w:spacing w:before="0" w:after="0"/>
        <w:rPr>
          <w:sz w:val="4"/>
          <w:szCs w:val="4"/>
        </w:rPr>
      </w:pPr>
      <w:r>
        <w:rPr>
          <w:sz w:val="4"/>
          <w:szCs w:val="4"/>
        </w:rPr>
      </w:r>
      <w:bookmarkStart w:id="179" w:name="z17d54a507e6742b5b1e537e31de1d43f"/>
      <w:bookmarkStart w:id="180" w:name="z17d54a507e6742b5b1e537e31de1d43f"/>
      <w:bookmarkEnd w:id="180"/>
    </w:p>
    <w:tbl>
      <w:tblPr>
        <w:tblW w:w="6170" w:type="dxa"/>
        <w:jc w:val="left"/>
        <w:tblInd w:w="0" w:type="dxa"/>
        <w:tblCellMar>
          <w:top w:w="0" w:type="dxa"/>
          <w:left w:w="0" w:type="dxa"/>
          <w:bottom w:w="0" w:type="dxa"/>
          <w:right w:w="0" w:type="dxa"/>
        </w:tblCellMar>
      </w:tblPr>
      <w:tblGrid>
        <w:gridCol w:w="3755"/>
        <w:gridCol w:w="60"/>
        <w:gridCol w:w="332"/>
        <w:gridCol w:w="333"/>
        <w:gridCol w:w="60"/>
        <w:gridCol w:w="60"/>
        <w:gridCol w:w="115"/>
        <w:gridCol w:w="445"/>
        <w:gridCol w:w="60"/>
        <w:gridCol w:w="60"/>
        <w:gridCol w:w="167"/>
        <w:gridCol w:w="648"/>
        <w:gridCol w:w="75"/>
      </w:tblGrid>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90+ and</w:t>
            </w:r>
          </w:p>
          <w:p>
            <w:pPr>
              <w:pStyle w:val="TableContents"/>
              <w:spacing w:before="0" w:after="0"/>
              <w:jc w:val="center"/>
              <w:rPr>
                <w:rFonts w:ascii="Times New Roman" w:hAnsi="Times New Roman"/>
                <w:sz w:val="17"/>
              </w:rPr>
            </w:pPr>
            <w:r>
              <w:rPr>
                <w:rFonts w:ascii="Times New Roman" w:hAnsi="Times New Roman"/>
                <w:sz w:val="17"/>
              </w:rPr>
              <w:t>Still</w:t>
            </w:r>
          </w:p>
          <w:p>
            <w:pPr>
              <w:pStyle w:val="TableContents"/>
              <w:spacing w:before="0" w:after="0"/>
              <w:jc w:val="center"/>
              <w:rPr>
                <w:rFonts w:ascii="Times New Roman" w:hAnsi="Times New Roman"/>
                <w:sz w:val="17"/>
              </w:rPr>
            </w:pPr>
            <w:r>
              <w:rPr>
                <w:rFonts w:ascii="Times New Roman" w:hAnsi="Times New Roman"/>
                <w:sz w:val="17"/>
              </w:rPr>
              <w:t>Accruing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Non-</w:t>
            </w:r>
          </w:p>
          <w:p>
            <w:pPr>
              <w:pStyle w:val="TableContents"/>
              <w:spacing w:before="0" w:after="0"/>
              <w:jc w:val="center"/>
              <w:rPr>
                <w:rFonts w:ascii="Times New Roman" w:hAnsi="Times New Roman"/>
                <w:sz w:val="17"/>
              </w:rPr>
            </w:pPr>
            <w:r>
              <w:rPr>
                <w:rFonts w:ascii="Times New Roman" w:hAnsi="Times New Roman"/>
                <w:sz w:val="17"/>
              </w:rPr>
              <w:t>Accrual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 Non-</w:t>
            </w:r>
          </w:p>
          <w:p>
            <w:pPr>
              <w:pStyle w:val="TableContents"/>
              <w:spacing w:before="0" w:after="0"/>
              <w:jc w:val="center"/>
              <w:rPr>
                <w:rFonts w:ascii="Times New Roman" w:hAnsi="Times New Roman"/>
                <w:sz w:val="17"/>
              </w:rPr>
            </w:pPr>
            <w:r>
              <w:rPr>
                <w:rFonts w:ascii="Times New Roman" w:hAnsi="Times New Roman"/>
                <w:sz w:val="17"/>
              </w:rPr>
              <w:t>Performing</w:t>
            </w:r>
          </w:p>
          <w:p>
            <w:pPr>
              <w:pStyle w:val="TableContents"/>
              <w:spacing w:before="0" w:after="0"/>
              <w:jc w:val="center"/>
              <w:rPr>
                <w:rFonts w:ascii="Times New Roman" w:hAnsi="Times New Roman"/>
                <w:sz w:val="17"/>
              </w:rPr>
            </w:pPr>
            <w:r>
              <w:rPr>
                <w:rFonts w:ascii="Times New Roman" w:hAnsi="Times New Roman"/>
                <w:sz w:val="17"/>
              </w:rPr>
              <w:t>Loans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0"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1,705</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4,878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4,878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3"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210</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Total recorded investment</w:t>
            </w:r>
          </w:p>
        </w:tc>
        <w:tc>
          <w:tcPr>
            <w:tcW w:w="60" w:type="dxa"/>
            <w:tcBorders/>
            <w:shd w:fill="CCEEFF" w:val="clear"/>
            <w:vAlign w:val="bottom"/>
          </w:tcPr>
          <w:p>
            <w:pPr>
              <w:pStyle w:val="TableContents"/>
              <w:spacing w:before="0" w:after="283"/>
              <w:rPr/>
            </w:pPr>
            <w:r>
              <w:rPr/>
              <w:t> </w:t>
            </w:r>
          </w:p>
        </w:tc>
        <w:tc>
          <w:tcPr>
            <w:tcW w:w="33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8,849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60" w:right="0" w:hanging="180"/>
              <w:jc w:val="left"/>
              <w:rPr/>
            </w:pPr>
            <w:r>
              <w:rPr>
                <w:rFonts w:ascii="Times New Roman" w:hAnsi="Times New Roman"/>
                <w:sz w:val="17"/>
              </w:rPr>
              <w:t>Accrued interest included in</w:t>
            </w:r>
            <w:r>
              <w:rPr/>
              <w:t xml:space="preserve"> </w:t>
            </w:r>
            <w:r>
              <w:rPr>
                <w:rFonts w:ascii="Times New                        Roman" w:hAnsi="Times New                        Roman"/>
                <w:sz w:val="17"/>
              </w:rPr>
              <w:t>recorded investment</w:t>
            </w:r>
          </w:p>
        </w:tc>
        <w:tc>
          <w:tcPr>
            <w:tcW w:w="60" w:type="dxa"/>
            <w:tcBorders/>
            <w:shd w:fill="FFFFFF" w:val="clear"/>
            <w:vAlign w:val="bottom"/>
          </w:tcPr>
          <w:p>
            <w:pPr>
              <w:pStyle w:val="TableContents"/>
              <w:spacing w:before="0" w:after="283"/>
              <w:rPr/>
            </w:pPr>
            <w:r>
              <w:rPr/>
              <w:t> </w:t>
            </w:r>
          </w:p>
        </w:tc>
        <w:tc>
          <w:tcPr>
            <w:tcW w:w="33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2,220</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4,700</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755</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left"/>
              <w:rPr/>
            </w:pPr>
            <w:r>
              <w:rPr/>
              <w:t> </w:t>
            </w:r>
          </w:p>
        </w:tc>
        <w:tc>
          <w:tcPr>
            <w:tcW w:w="33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166</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 </w:t>
            </w:r>
          </w:p>
        </w:tc>
        <w:tc>
          <w:tcPr>
            <w:tcW w:w="33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6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3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3"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204</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Total recorded investment</w:t>
            </w:r>
          </w:p>
        </w:tc>
        <w:tc>
          <w:tcPr>
            <w:tcW w:w="60" w:type="dxa"/>
            <w:tcBorders/>
            <w:shd w:fill="CCEEFF" w:val="clear"/>
            <w:vAlign w:val="bottom"/>
          </w:tcPr>
          <w:p>
            <w:pPr>
              <w:pStyle w:val="TableContents"/>
              <w:spacing w:before="0" w:after="283"/>
              <w:rPr/>
            </w:pPr>
            <w:r>
              <w:rPr/>
              <w:t> </w:t>
            </w:r>
          </w:p>
        </w:tc>
        <w:tc>
          <w:tcPr>
            <w:tcW w:w="33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9,029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9,034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60" w:right="0" w:hanging="180"/>
              <w:jc w:val="left"/>
              <w:rPr/>
            </w:pPr>
            <w:r>
              <w:rPr>
                <w:rFonts w:ascii="Times New Roman" w:hAnsi="Times New Roman"/>
                <w:sz w:val="17"/>
              </w:rPr>
              <w:t>Accrued interest included in</w:t>
            </w:r>
            <w:r>
              <w:rPr/>
              <w:t xml:space="preserve"> </w:t>
            </w:r>
            <w:r>
              <w:rPr>
                <w:rFonts w:ascii="Times New                        Roman" w:hAnsi="Times New                        Roman"/>
                <w:sz w:val="17"/>
              </w:rPr>
              <w:t>recorded investment</w:t>
            </w:r>
          </w:p>
        </w:tc>
        <w:tc>
          <w:tcPr>
            <w:tcW w:w="60" w:type="dxa"/>
            <w:tcBorders/>
            <w:shd w:fill="FFFFFF" w:val="clear"/>
            <w:vAlign w:val="bottom"/>
          </w:tcPr>
          <w:p>
            <w:pPr>
              <w:pStyle w:val="TableContents"/>
              <w:spacing w:before="0" w:after="283"/>
              <w:rPr/>
            </w:pPr>
            <w:r>
              <w:rPr/>
              <w:t> </w:t>
            </w:r>
          </w:p>
        </w:tc>
        <w:tc>
          <w:tcPr>
            <w:tcW w:w="33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1" w:name="DSPFPageBreakArea16"/>
      <w:bookmarkStart w:id="182" w:name="DSPFPageBreakArea16"/>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83" w:name="DSPFPageNumber16"/>
      <w:bookmarkStart w:id="184" w:name="DSPFPageNumberArea15"/>
      <w:bookmarkEnd w:id="183"/>
      <w:bookmarkEnd w:id="184"/>
      <w:r>
        <w:rPr>
          <w:rFonts w:ascii="Times New Roman" w:hAnsi="Times New Roman"/>
          <w:b w:val="false"/>
          <w:i w:val="false"/>
          <w:caps w:val="false"/>
          <w:smallCaps w:val="false"/>
          <w:sz w:val="13"/>
        </w:rPr>
        <w:t>17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5" w:name="DSPFPageBreak16"/>
      <w:bookmarkStart w:id="186" w:name="DSPFPageBreak16"/>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87" w:name="DSPFPageHeader15"/>
        <w:bookmarkEnd w:id="18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An aging analysis of loans by class follows:</w:t>
      </w:r>
    </w:p>
    <w:p>
      <w:pPr>
        <w:pStyle w:val="TextBody"/>
        <w:spacing w:before="0" w:after="0"/>
        <w:rPr/>
      </w:pPr>
      <w:r>
        <w:rPr/>
      </w:r>
    </w:p>
    <w:p>
      <w:pPr>
        <w:pStyle w:val="Normal"/>
        <w:spacing w:before="0" w:after="0"/>
        <w:rPr>
          <w:sz w:val="4"/>
          <w:szCs w:val="4"/>
        </w:rPr>
      </w:pPr>
      <w:r>
        <w:rPr>
          <w:sz w:val="4"/>
          <w:szCs w:val="4"/>
        </w:rPr>
      </w:r>
      <w:bookmarkStart w:id="188" w:name="za0f127eb43804c1eb68d1bf62c566a34"/>
      <w:bookmarkStart w:id="189" w:name="za0f127eb43804c1eb68d1bf62c566a34"/>
      <w:bookmarkEnd w:id="189"/>
    </w:p>
    <w:tbl>
      <w:tblPr>
        <w:tblW w:w="9065" w:type="dxa"/>
        <w:jc w:val="left"/>
        <w:tblInd w:w="0" w:type="dxa"/>
        <w:tblCellMar>
          <w:top w:w="0" w:type="dxa"/>
          <w:left w:w="0" w:type="dxa"/>
          <w:bottom w:w="0" w:type="dxa"/>
          <w:right w:w="0" w:type="dxa"/>
        </w:tblCellMar>
      </w:tblPr>
      <w:tblGrid>
        <w:gridCol w:w="3755"/>
        <w:gridCol w:w="60"/>
        <w:gridCol w:w="164"/>
        <w:gridCol w:w="636"/>
        <w:gridCol w:w="60"/>
        <w:gridCol w:w="60"/>
        <w:gridCol w:w="164"/>
        <w:gridCol w:w="636"/>
        <w:gridCol w:w="60"/>
        <w:gridCol w:w="60"/>
        <w:gridCol w:w="133"/>
        <w:gridCol w:w="517"/>
        <w:gridCol w:w="60"/>
        <w:gridCol w:w="60"/>
        <w:gridCol w:w="110"/>
        <w:gridCol w:w="515"/>
        <w:gridCol w:w="60"/>
        <w:gridCol w:w="60"/>
        <w:gridCol w:w="110"/>
        <w:gridCol w:w="740"/>
        <w:gridCol w:w="60"/>
        <w:gridCol w:w="60"/>
        <w:gridCol w:w="110"/>
        <w:gridCol w:w="740"/>
        <w:gridCol w:w="75"/>
      </w:tblGrid>
      <w:tr>
        <w:trPr/>
        <w:tc>
          <w:tcPr>
            <w:tcW w:w="37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3235"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Loans 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Loans not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30-59 days</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60-89 days</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90+ days</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Loans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75"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398,191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398,191</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84,861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84,861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688,744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688,789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9,186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803,882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813,068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77,315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78,228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36,966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37,239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896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118,576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119,472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6,631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6,888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6,427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175,005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175,589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130,016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130,098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88,234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88,728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 recorded investment</w:t>
            </w:r>
          </w:p>
        </w:tc>
        <w:tc>
          <w:tcPr>
            <w:tcW w:w="60" w:type="dxa"/>
            <w:tcBorders/>
            <w:shd w:fill="CCEEFF" w:val="clear"/>
            <w:vAlign w:val="bottom"/>
          </w:tcPr>
          <w:p>
            <w:pPr>
              <w:pStyle w:val="TableContents"/>
              <w:spacing w:before="0" w:after="283"/>
              <w:rPr/>
            </w:pPr>
            <w:r>
              <w:rPr/>
              <w:t> </w:t>
            </w:r>
          </w:p>
        </w:tc>
        <w:tc>
          <w:tcPr>
            <w:tcW w:w="16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7,329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13,114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2,614,464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2,627,578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Accrued interest included in recorded investment</w:t>
            </w:r>
          </w:p>
        </w:tc>
        <w:tc>
          <w:tcPr>
            <w:tcW w:w="60" w:type="dxa"/>
            <w:tcBorders/>
            <w:shd w:fill="FFFFFF" w:val="clear"/>
            <w:vAlign w:val="bottom"/>
          </w:tcPr>
          <w:p>
            <w:pPr>
              <w:pStyle w:val="TableContents"/>
              <w:spacing w:before="0" w:after="283"/>
              <w:rPr/>
            </w:pPr>
            <w:r>
              <w:rPr/>
              <w:t> </w:t>
            </w:r>
          </w:p>
        </w:tc>
        <w:tc>
          <w:tcPr>
            <w:tcW w:w="16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8,701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8,783</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388,729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388,773</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84,458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84,458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673,123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674,661</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4,882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833,760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840,444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1,007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80,774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81,781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38,909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39,244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84,553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85,518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452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6,985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7,437</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7,044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63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777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169,117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169,894</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125,780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125,836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85,392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85,968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 recorded investment</w:t>
            </w:r>
          </w:p>
        </w:tc>
        <w:tc>
          <w:tcPr>
            <w:tcW w:w="60" w:type="dxa"/>
            <w:tcBorders/>
            <w:shd w:fill="CCEEFF" w:val="clear"/>
            <w:vAlign w:val="bottom"/>
          </w:tcPr>
          <w:p>
            <w:pPr>
              <w:pStyle w:val="TableContents"/>
              <w:spacing w:before="0" w:after="283"/>
              <w:rPr/>
            </w:pPr>
            <w:r>
              <w:rPr/>
              <w:t> </w:t>
            </w:r>
          </w:p>
        </w:tc>
        <w:tc>
          <w:tcPr>
            <w:tcW w:w="16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6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7,015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12,795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2,578,263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2,591,058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Accrued interest included in recorded investment</w:t>
            </w:r>
          </w:p>
        </w:tc>
        <w:tc>
          <w:tcPr>
            <w:tcW w:w="60" w:type="dxa"/>
            <w:tcBorders/>
            <w:shd w:fill="FFFFFF" w:val="clear"/>
            <w:vAlign w:val="bottom"/>
          </w:tcPr>
          <w:p>
            <w:pPr>
              <w:pStyle w:val="TableContents"/>
              <w:spacing w:before="0" w:after="283"/>
              <w:rPr/>
            </w:pPr>
            <w:r>
              <w:rPr/>
              <w:t> </w:t>
            </w:r>
          </w:p>
        </w:tc>
        <w:tc>
          <w:tcPr>
            <w:tcW w:w="16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6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8,483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8,538</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0" w:name="DSPFPageBreakArea17"/>
      <w:bookmarkStart w:id="191" w:name="DSPFPageBreakArea17"/>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192" w:name="DSPFPageNumber17"/>
      <w:bookmarkStart w:id="193" w:name="DSPFPageNumberArea16"/>
      <w:bookmarkEnd w:id="192"/>
      <w:bookmarkEnd w:id="193"/>
      <w:r>
        <w:rPr>
          <w:rFonts w:ascii="Times New Roman" w:hAnsi="Times New Roman"/>
          <w:b w:val="false"/>
          <w:i w:val="false"/>
          <w:caps w:val="false"/>
          <w:smallCaps w:val="false"/>
          <w:sz w:val="13"/>
        </w:rPr>
        <w:t>18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17"/>
      <w:bookmarkStart w:id="195" w:name="DSPFPageBreak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196" w:name="DSPFPageHeader16"/>
        <w:bookmarkEnd w:id="19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Impaired loans are as follows:</w:t>
      </w:r>
    </w:p>
    <w:p>
      <w:pPr>
        <w:pStyle w:val="TextBody"/>
        <w:spacing w:before="0" w:after="0"/>
        <w:rPr/>
      </w:pPr>
      <w:r>
        <w:rPr/>
      </w:r>
    </w:p>
    <w:p>
      <w:pPr>
        <w:pStyle w:val="Normal"/>
        <w:spacing w:before="0" w:after="0"/>
        <w:rPr>
          <w:sz w:val="4"/>
          <w:szCs w:val="4"/>
        </w:rPr>
      </w:pPr>
      <w:r>
        <w:rPr>
          <w:sz w:val="4"/>
          <w:szCs w:val="4"/>
        </w:rPr>
      </w:r>
      <w:bookmarkStart w:id="197" w:name="zb443cb50668e41769c219dd74434f28b"/>
      <w:bookmarkStart w:id="198" w:name="zb443cb50668e41769c219dd74434f28b"/>
      <w:bookmarkEnd w:id="198"/>
    </w:p>
    <w:tbl>
      <w:tblPr>
        <w:tblW w:w="6060" w:type="dxa"/>
        <w:jc w:val="left"/>
        <w:tblInd w:w="0" w:type="dxa"/>
        <w:tblCellMar>
          <w:top w:w="0" w:type="dxa"/>
          <w:left w:w="0" w:type="dxa"/>
          <w:bottom w:w="0" w:type="dxa"/>
          <w:right w:w="0" w:type="dxa"/>
        </w:tblCellMar>
      </w:tblPr>
      <w:tblGrid>
        <w:gridCol w:w="4070"/>
        <w:gridCol w:w="60"/>
        <w:gridCol w:w="130"/>
        <w:gridCol w:w="610"/>
        <w:gridCol w:w="60"/>
        <w:gridCol w:w="60"/>
        <w:gridCol w:w="175"/>
        <w:gridCol w:w="820"/>
        <w:gridCol w:w="75"/>
      </w:tblGrid>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Impaired loans with no allocated allowance for loan losses</w:t>
            </w:r>
          </w:p>
        </w:tc>
        <w:tc>
          <w:tcPr>
            <w:tcW w:w="60" w:type="dxa"/>
            <w:tcBorders/>
            <w:shd w:fill="auto" w:val="clear"/>
            <w:vAlign w:val="bottom"/>
          </w:tcPr>
          <w:p>
            <w:pPr>
              <w:pStyle w:val="TableContents"/>
              <w:spacing w:before="0" w:after="283"/>
              <w:rPr/>
            </w:pPr>
            <w:r>
              <w:rPr/>
              <w:t> </w:t>
            </w:r>
          </w:p>
        </w:tc>
        <w:tc>
          <w:tcPr>
            <w:tcW w:w="185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Troubled debt restructurings (“TDR”)</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Non - TDR</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Impaired loans with an allocated allowance for loan losses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TDR - allowance based on collateral</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2,787</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TDR - allowance based on present value cash flow</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50,940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53,258</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Non - TDR - allowance based on collateral</w:t>
            </w:r>
          </w:p>
        </w:tc>
        <w:tc>
          <w:tcPr>
            <w:tcW w:w="60" w:type="dxa"/>
            <w:tcBorders/>
            <w:shd w:fill="FFFFFF" w:val="clear"/>
            <w:vAlign w:val="bottom"/>
          </w:tcPr>
          <w:p>
            <w:pPr>
              <w:pStyle w:val="TableContents"/>
              <w:spacing w:before="0" w:after="283"/>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2,145</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 impaired loans</w:t>
            </w:r>
          </w:p>
        </w:tc>
        <w:tc>
          <w:tcPr>
            <w:tcW w:w="60" w:type="dxa"/>
            <w:tcBorders/>
            <w:shd w:fill="CCEEFF" w:val="clear"/>
            <w:vAlign w:val="bottom"/>
          </w:tcPr>
          <w:p>
            <w:pPr>
              <w:pStyle w:val="TableContents"/>
              <w:spacing w:before="0" w:after="283"/>
              <w:rPr/>
            </w:pPr>
            <w:r>
              <w:rPr/>
              <w:t> </w:t>
            </w:r>
          </w:p>
        </w:tc>
        <w:tc>
          <w:tcPr>
            <w:tcW w:w="13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57,511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58,190</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Amount of allowance for loan losses allocated</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TDR - allowance based on collateral</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769</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TDR - allowance based on present value cash flow</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4,849</w:t>
            </w:r>
          </w:p>
        </w:tc>
        <w:tc>
          <w:tcPr>
            <w:tcW w:w="75" w:type="dxa"/>
            <w:tcBorders/>
            <w:shd w:fill="CCEEFF" w:val="clear"/>
            <w:vAlign w:val="bottom"/>
          </w:tcPr>
          <w:p>
            <w:pPr>
              <w:pStyle w:val="TableContents"/>
              <w:spacing w:before="0" w:after="283"/>
              <w:jc w:val="left"/>
              <w:rPr/>
            </w:pPr>
            <w:r>
              <w:rPr/>
              <w:t> </w:t>
            </w:r>
          </w:p>
        </w:tc>
      </w:tr>
      <w:tr>
        <w:trPr/>
        <w:tc>
          <w:tcPr>
            <w:tcW w:w="407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Non - TDR - allowance based on collateral</w:t>
            </w:r>
          </w:p>
        </w:tc>
        <w:tc>
          <w:tcPr>
            <w:tcW w:w="60" w:type="dxa"/>
            <w:tcBorders/>
            <w:shd w:fill="FFFFFF" w:val="clear"/>
            <w:vAlign w:val="bottom"/>
          </w:tcPr>
          <w:p>
            <w:pPr>
              <w:pStyle w:val="TableContents"/>
              <w:spacing w:before="0" w:after="283"/>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692</w:t>
            </w:r>
          </w:p>
        </w:tc>
        <w:tc>
          <w:tcPr>
            <w:tcW w:w="75" w:type="dxa"/>
            <w:tcBorders/>
            <w:shd w:fill="FFFFFF" w:val="clear"/>
            <w:vAlign w:val="bottom"/>
          </w:tcPr>
          <w:p>
            <w:pPr>
              <w:pStyle w:val="TableContents"/>
              <w:spacing w:before="0" w:after="283"/>
              <w:jc w:val="left"/>
              <w:rPr/>
            </w:pPr>
            <w:r>
              <w:rPr/>
              <w:t> </w:t>
            </w:r>
          </w:p>
        </w:tc>
      </w:tr>
      <w:tr>
        <w:trPr/>
        <w:tc>
          <w:tcPr>
            <w:tcW w:w="407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 amount of allowance for loan losses allocated</w:t>
            </w:r>
          </w:p>
        </w:tc>
        <w:tc>
          <w:tcPr>
            <w:tcW w:w="60" w:type="dxa"/>
            <w:tcBorders/>
            <w:shd w:fill="CCEEFF" w:val="clear"/>
            <w:vAlign w:val="bottom"/>
          </w:tcPr>
          <w:p>
            <w:pPr>
              <w:pStyle w:val="TableContents"/>
              <w:spacing w:before="0" w:after="283"/>
              <w:rPr/>
            </w:pPr>
            <w:r>
              <w:rPr/>
              <w:t> </w:t>
            </w:r>
          </w:p>
        </w:tc>
        <w:tc>
          <w:tcPr>
            <w:tcW w:w="13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6,310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9" w:name="DSPFPageBreakArea18"/>
      <w:bookmarkStart w:id="200" w:name="DSPFPageBreakArea18"/>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01" w:name="DSPFPageNumber18"/>
      <w:bookmarkStart w:id="202" w:name="DSPFPageNumberArea17"/>
      <w:bookmarkEnd w:id="201"/>
      <w:bookmarkEnd w:id="202"/>
      <w:r>
        <w:rPr>
          <w:rFonts w:ascii="Times New Roman" w:hAnsi="Times New Roman"/>
          <w:b w:val="false"/>
          <w:i w:val="false"/>
          <w:caps w:val="false"/>
          <w:smallCaps w:val="false"/>
          <w:sz w:val="13"/>
        </w:rPr>
        <w:t>19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3" w:name="DSPFPageBreak18"/>
      <w:bookmarkStart w:id="204" w:name="DSPFPageBreak18"/>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05" w:name="DSPFPageHeader17"/>
        <w:bookmarkEnd w:id="205"/>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Impaired loans by class  are as follows:</w:t>
      </w:r>
    </w:p>
    <w:p>
      <w:pPr>
        <w:pStyle w:val="TextBody"/>
        <w:spacing w:before="0" w:after="0"/>
        <w:rPr/>
      </w:pPr>
      <w:r>
        <w:rPr/>
      </w:r>
    </w:p>
    <w:p>
      <w:pPr>
        <w:pStyle w:val="Normal"/>
        <w:spacing w:before="0" w:after="0"/>
        <w:rPr>
          <w:sz w:val="4"/>
          <w:szCs w:val="4"/>
        </w:rPr>
      </w:pPr>
      <w:r>
        <w:rPr>
          <w:sz w:val="4"/>
          <w:szCs w:val="4"/>
        </w:rPr>
      </w:r>
      <w:bookmarkStart w:id="206" w:name="zdf730cfcec5449a789926e3feb85f435"/>
      <w:bookmarkStart w:id="207" w:name="zdf730cfcec5449a789926e3feb85f435"/>
      <w:bookmarkEnd w:id="207"/>
    </w:p>
    <w:tbl>
      <w:tblPr>
        <w:tblW w:w="8840" w:type="dxa"/>
        <w:jc w:val="left"/>
        <w:tblInd w:w="0" w:type="dxa"/>
        <w:tblCellMar>
          <w:top w:w="0" w:type="dxa"/>
          <w:left w:w="0" w:type="dxa"/>
          <w:bottom w:w="0" w:type="dxa"/>
          <w:right w:w="0" w:type="dxa"/>
        </w:tblCellMar>
      </w:tblPr>
      <w:tblGrid>
        <w:gridCol w:w="3755"/>
        <w:gridCol w:w="60"/>
        <w:gridCol w:w="138"/>
        <w:gridCol w:w="647"/>
        <w:gridCol w:w="60"/>
        <w:gridCol w:w="60"/>
        <w:gridCol w:w="111"/>
        <w:gridCol w:w="524"/>
        <w:gridCol w:w="60"/>
        <w:gridCol w:w="60"/>
        <w:gridCol w:w="155"/>
        <w:gridCol w:w="600"/>
        <w:gridCol w:w="60"/>
        <w:gridCol w:w="60"/>
        <w:gridCol w:w="138"/>
        <w:gridCol w:w="647"/>
        <w:gridCol w:w="60"/>
        <w:gridCol w:w="60"/>
        <w:gridCol w:w="111"/>
        <w:gridCol w:w="524"/>
        <w:gridCol w:w="60"/>
        <w:gridCol w:w="60"/>
        <w:gridCol w:w="155"/>
        <w:gridCol w:w="600"/>
        <w:gridCol w:w="75"/>
      </w:tblGrid>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1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 2018</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Unpaid</w:t>
            </w:r>
          </w:p>
          <w:p>
            <w:pPr>
              <w:pStyle w:val="TableContents"/>
              <w:spacing w:before="0" w:after="0"/>
              <w:jc w:val="center"/>
              <w:rPr>
                <w:rFonts w:ascii="Times New Roman" w:hAnsi="Times New Roman"/>
                <w:sz w:val="17"/>
              </w:rPr>
            </w:pPr>
            <w:r>
              <w:rPr>
                <w:rFonts w:ascii="Times New Roman" w:hAnsi="Times New Roman"/>
                <w:sz w:val="17"/>
              </w:rPr>
              <w:t>Principal</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Related</w:t>
            </w:r>
          </w:p>
          <w:p>
            <w:pPr>
              <w:pStyle w:val="TableContents"/>
              <w:spacing w:before="0" w:after="0"/>
              <w:jc w:val="center"/>
              <w:rPr>
                <w:rFonts w:ascii="Times New Roman" w:hAnsi="Times New Roman"/>
                <w:sz w:val="17"/>
              </w:rPr>
            </w:pPr>
            <w:r>
              <w:rPr>
                <w:rFonts w:ascii="Times New Roman" w:hAnsi="Times New Roman"/>
                <w:sz w:val="17"/>
              </w:rPr>
              <w:t>Allowance</w:t>
            </w:r>
          </w:p>
          <w:p>
            <w:pPr>
              <w:pStyle w:val="TableContents"/>
              <w:spacing w:before="0" w:after="0"/>
              <w:jc w:val="center"/>
              <w:rPr>
                <w:rFonts w:ascii="Times New Roman" w:hAnsi="Times New Roman"/>
                <w:sz w:val="17"/>
              </w:rPr>
            </w:pPr>
            <w:r>
              <w:rPr>
                <w:rFonts w:ascii="Times New Roman" w:hAnsi="Times New Roman"/>
                <w:sz w:val="17"/>
              </w:rPr>
              <w:t>For Loan</w:t>
            </w:r>
          </w:p>
          <w:p>
            <w:pPr>
              <w:pStyle w:val="TableContents"/>
              <w:spacing w:before="0" w:after="0"/>
              <w:jc w:val="center"/>
              <w:rPr>
                <w:rFonts w:ascii="Times New Roman" w:hAnsi="Times New Roman"/>
                <w:sz w:val="17"/>
              </w:rPr>
            </w:pPr>
            <w:r>
              <w:rPr>
                <w:rFonts w:ascii="Times New Roman" w:hAnsi="Times New Roman"/>
                <w:sz w:val="17"/>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Unpaid</w:t>
            </w:r>
          </w:p>
          <w:p>
            <w:pPr>
              <w:pStyle w:val="TableContents"/>
              <w:spacing w:before="0" w:after="0"/>
              <w:jc w:val="center"/>
              <w:rPr>
                <w:rFonts w:ascii="Times New Roman" w:hAnsi="Times New Roman"/>
                <w:sz w:val="17"/>
              </w:rPr>
            </w:pPr>
            <w:r>
              <w:rPr>
                <w:rFonts w:ascii="Times New Roman" w:hAnsi="Times New Roman"/>
                <w:sz w:val="17"/>
              </w:rPr>
              <w:t>Principal</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Related</w:t>
            </w:r>
          </w:p>
          <w:p>
            <w:pPr>
              <w:pStyle w:val="TableContents"/>
              <w:spacing w:before="0" w:after="0"/>
              <w:jc w:val="center"/>
              <w:rPr>
                <w:rFonts w:ascii="Times New Roman" w:hAnsi="Times New Roman"/>
                <w:sz w:val="17"/>
              </w:rPr>
            </w:pPr>
            <w:r>
              <w:rPr>
                <w:rFonts w:ascii="Times New Roman" w:hAnsi="Times New Roman"/>
                <w:sz w:val="17"/>
              </w:rPr>
              <w:t>Allowance</w:t>
            </w:r>
          </w:p>
          <w:p>
            <w:pPr>
              <w:pStyle w:val="TableContents"/>
              <w:spacing w:before="0" w:after="0"/>
              <w:jc w:val="center"/>
              <w:rPr>
                <w:rFonts w:ascii="Times New Roman" w:hAnsi="Times New Roman"/>
                <w:sz w:val="17"/>
              </w:rPr>
            </w:pPr>
            <w:r>
              <w:rPr>
                <w:rFonts w:ascii="Times New Roman" w:hAnsi="Times New Roman"/>
                <w:sz w:val="17"/>
              </w:rPr>
              <w:t>For Loan</w:t>
            </w:r>
          </w:p>
          <w:p>
            <w:pPr>
              <w:pStyle w:val="TableContents"/>
              <w:spacing w:before="0" w:after="0"/>
              <w:jc w:val="center"/>
              <w:rPr>
                <w:rFonts w:ascii="Times New Roman" w:hAnsi="Times New Roman"/>
                <w:sz w:val="17"/>
              </w:rPr>
            </w:pPr>
            <w:r>
              <w:rPr>
                <w:rFonts w:ascii="Times New Roman" w:hAnsi="Times New Roman"/>
                <w:sz w:val="17"/>
              </w:rPr>
              <w:t>Losses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With no related allowance for loan losses recorded:</w:t>
            </w:r>
          </w:p>
        </w:tc>
        <w:tc>
          <w:tcPr>
            <w:tcW w:w="60" w:type="dxa"/>
            <w:tcBorders/>
            <w:shd w:fill="auto" w:val="clear"/>
            <w:vAlign w:val="bottom"/>
          </w:tcPr>
          <w:p>
            <w:pPr>
              <w:pStyle w:val="TableContents"/>
              <w:spacing w:before="0" w:after="283"/>
              <w:rPr/>
            </w:pPr>
            <w:r>
              <w:rPr/>
              <w:t> </w:t>
            </w:r>
          </w:p>
        </w:tc>
        <w:tc>
          <w:tcPr>
            <w:tcW w:w="4075"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With an allowance for loan losses recorded:</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4,720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4,758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303</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750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3,637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967</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32,317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34,514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3,648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32,842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34,427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2,859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13,328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13,354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1,927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1,491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57,411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60,401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58,457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60,282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6,310</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Total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303</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35,184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32,845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34,901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2,859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12,967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13,179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1,366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13,328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13,354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1,927</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558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1,387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1,568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1,441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89</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92</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57,766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61,109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58,461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60,898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6,310</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Accrued interest included in recorded investment</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8" w:name="DSPFPageBreakArea19"/>
      <w:bookmarkStart w:id="209" w:name="DSPFPageBreakArea19"/>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10" w:name="DSPFPageNumber19"/>
      <w:bookmarkStart w:id="211" w:name="DSPFPageNumberArea18"/>
      <w:bookmarkEnd w:id="210"/>
      <w:bookmarkEnd w:id="211"/>
      <w:r>
        <w:rPr>
          <w:rFonts w:ascii="Times New Roman" w:hAnsi="Times New Roman"/>
          <w:b w:val="false"/>
          <w:i w:val="false"/>
          <w:caps w:val="false"/>
          <w:smallCaps w:val="false"/>
          <w:sz w:val="13"/>
        </w:rPr>
        <w:t>20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2" w:name="DSPFPageBreak19"/>
      <w:bookmarkStart w:id="213" w:name="DSPFPageBreak1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14" w:name="DSPFPageHeader18"/>
        <w:bookmarkEnd w:id="21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Average recorded investment in and interest income earned on impaired loans by class for the three month periods ending March 31, follows:</w:t>
      </w:r>
    </w:p>
    <w:p>
      <w:pPr>
        <w:pStyle w:val="TextBody"/>
        <w:spacing w:before="0" w:after="0"/>
        <w:rPr/>
      </w:pPr>
      <w:r>
        <w:rPr/>
      </w:r>
    </w:p>
    <w:p>
      <w:pPr>
        <w:pStyle w:val="Normal"/>
        <w:spacing w:before="0" w:after="0"/>
        <w:rPr>
          <w:sz w:val="4"/>
          <w:szCs w:val="4"/>
        </w:rPr>
      </w:pPr>
      <w:r>
        <w:rPr>
          <w:sz w:val="4"/>
          <w:szCs w:val="4"/>
        </w:rPr>
      </w:r>
      <w:bookmarkStart w:id="215" w:name="za15d5a594ffe43b98b2cf4d24cde91a2"/>
      <w:bookmarkStart w:id="216" w:name="za15d5a594ffe43b98b2cf4d24cde91a2"/>
      <w:bookmarkEnd w:id="216"/>
    </w:p>
    <w:tbl>
      <w:tblPr>
        <w:tblW w:w="7480" w:type="dxa"/>
        <w:jc w:val="left"/>
        <w:tblInd w:w="0" w:type="dxa"/>
        <w:tblCellMar>
          <w:top w:w="0" w:type="dxa"/>
          <w:left w:w="0" w:type="dxa"/>
          <w:bottom w:w="0" w:type="dxa"/>
          <w:right w:w="0" w:type="dxa"/>
        </w:tblCellMar>
      </w:tblPr>
      <w:tblGrid>
        <w:gridCol w:w="3755"/>
        <w:gridCol w:w="60"/>
        <w:gridCol w:w="138"/>
        <w:gridCol w:w="647"/>
        <w:gridCol w:w="60"/>
        <w:gridCol w:w="60"/>
        <w:gridCol w:w="228"/>
        <w:gridCol w:w="602"/>
        <w:gridCol w:w="60"/>
        <w:gridCol w:w="60"/>
        <w:gridCol w:w="138"/>
        <w:gridCol w:w="647"/>
        <w:gridCol w:w="60"/>
        <w:gridCol w:w="60"/>
        <w:gridCol w:w="228"/>
        <w:gridCol w:w="602"/>
        <w:gridCol w:w="75"/>
      </w:tblGrid>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3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Interest</w:t>
            </w:r>
          </w:p>
          <w:p>
            <w:pPr>
              <w:pStyle w:val="TableContents"/>
              <w:spacing w:before="0" w:after="0"/>
              <w:jc w:val="center"/>
              <w:rPr>
                <w:rFonts w:ascii="Times New Roman" w:hAnsi="Times New Roman"/>
                <w:sz w:val="17"/>
              </w:rPr>
            </w:pPr>
            <w:r>
              <w:rPr>
                <w:rFonts w:ascii="Times New Roman" w:hAnsi="Times New Roman"/>
                <w:sz w:val="17"/>
              </w:rPr>
              <w:t>Income</w:t>
            </w:r>
          </w:p>
          <w:p>
            <w:pPr>
              <w:pStyle w:val="TableContents"/>
              <w:spacing w:before="0" w:after="0"/>
              <w:jc w:val="center"/>
              <w:rPr>
                <w:rFonts w:ascii="Times New Roman" w:hAnsi="Times New Roman"/>
                <w:sz w:val="17"/>
              </w:rPr>
            </w:pPr>
            <w:r>
              <w:rPr>
                <w:rFonts w:ascii="Times New Roman" w:hAnsi="Times New Roman"/>
                <w:sz w:val="17"/>
              </w:rPr>
              <w:t>Recognized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Interest</w:t>
            </w:r>
          </w:p>
          <w:p>
            <w:pPr>
              <w:pStyle w:val="TableContents"/>
              <w:spacing w:before="0" w:after="0"/>
              <w:jc w:val="center"/>
              <w:rPr>
                <w:rFonts w:ascii="Times New Roman" w:hAnsi="Times New Roman"/>
                <w:sz w:val="17"/>
              </w:rPr>
            </w:pPr>
            <w:r>
              <w:rPr>
                <w:rFonts w:ascii="Times New Roman" w:hAnsi="Times New Roman"/>
                <w:sz w:val="17"/>
              </w:rPr>
              <w:t>Income</w:t>
            </w:r>
          </w:p>
          <w:p>
            <w:pPr>
              <w:pStyle w:val="TableContents"/>
              <w:spacing w:before="0" w:after="0"/>
              <w:jc w:val="center"/>
              <w:rPr>
                <w:rFonts w:ascii="Times New Roman" w:hAnsi="Times New Roman"/>
                <w:sz w:val="17"/>
              </w:rPr>
            </w:pPr>
            <w:r>
              <w:rPr>
                <w:rFonts w:ascii="Times New Roman" w:hAnsi="Times New Roman"/>
                <w:sz w:val="17"/>
              </w:rPr>
              <w:t>Recognized</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With no related allowance for loan losses recorded:</w:t>
            </w:r>
          </w:p>
        </w:tc>
        <w:tc>
          <w:tcPr>
            <w:tcW w:w="60" w:type="dxa"/>
            <w:tcBorders/>
            <w:shd w:fill="auto" w:val="clear"/>
            <w:vAlign w:val="bottom"/>
          </w:tcPr>
          <w:p>
            <w:pPr>
              <w:pStyle w:val="TableContents"/>
              <w:spacing w:before="0" w:after="283"/>
              <w:rPr/>
            </w:pPr>
            <w:r>
              <w:rPr/>
              <w:t> </w:t>
            </w:r>
          </w:p>
        </w:tc>
        <w:tc>
          <w:tcPr>
            <w:tcW w:w="3590"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With an allowance for loan losses recorded:</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5,187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3,278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32,580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36,367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458</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13,148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15,779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1,777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57,938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765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64,271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791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144" w:right="0" w:hanging="144"/>
              <w:jc w:val="left"/>
              <w:rPr>
                <w:rFonts w:ascii="Times New Roman" w:hAnsi="Times New Roman"/>
                <w:b/>
                <w:sz w:val="17"/>
              </w:rPr>
            </w:pPr>
            <w:r>
              <w:rPr>
                <w:rFonts w:ascii="Times New Roman" w:hAnsi="Times New Roman"/>
                <w:b/>
                <w:sz w:val="17"/>
              </w:rPr>
              <w:t>Total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32,759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36,386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464</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13,148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15,779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164</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27</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4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60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60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75" w:type="dxa"/>
            <w:tcBorders/>
            <w:shd w:fill="CCEEFF" w:val="clear"/>
            <w:vAlign w:val="bottom"/>
          </w:tcPr>
          <w:p>
            <w:pPr>
              <w:pStyle w:val="TableContents"/>
              <w:spacing w:before="0" w:after="283"/>
              <w:jc w:val="left"/>
              <w:rPr/>
            </w:pPr>
            <w:r>
              <w:rPr/>
              <w:t> </w:t>
            </w:r>
          </w:p>
        </w:tc>
      </w:tr>
      <w:tr>
        <w:trPr/>
        <w:tc>
          <w:tcPr>
            <w:tcW w:w="375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75" w:type="dxa"/>
            <w:tcBorders/>
            <w:shd w:fill="FFFFFF" w:val="clear"/>
            <w:vAlign w:val="bottom"/>
          </w:tcPr>
          <w:p>
            <w:pPr>
              <w:pStyle w:val="TableContents"/>
              <w:spacing w:before="0" w:after="283"/>
              <w:jc w:val="left"/>
              <w:rPr/>
            </w:pPr>
            <w:r>
              <w:rPr/>
              <w:t> </w:t>
            </w:r>
          </w:p>
        </w:tc>
      </w:tr>
      <w:tr>
        <w:trPr/>
        <w:tc>
          <w:tcPr>
            <w:tcW w:w="375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58,118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4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64,811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2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7" w:name="DSPFPageBreakArea20"/>
      <w:bookmarkStart w:id="218" w:name="DSPFPageBreakArea20"/>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19" w:name="DSPFPageNumber20"/>
      <w:bookmarkStart w:id="220" w:name="DSPFPageNumberArea19"/>
      <w:bookmarkEnd w:id="219"/>
      <w:bookmarkEnd w:id="220"/>
      <w:r>
        <w:rPr>
          <w:rFonts w:ascii="Times New Roman" w:hAnsi="Times New Roman"/>
          <w:b w:val="false"/>
          <w:i w:val="false"/>
          <w:caps w:val="false"/>
          <w:smallCaps w:val="false"/>
          <w:sz w:val="13"/>
        </w:rPr>
        <w:t>21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1" w:name="DSPFPageBreak20"/>
      <w:bookmarkStart w:id="222" w:name="DSPFPageBreak20"/>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23" w:name="DSPFPageHeader19"/>
        <w:bookmarkEnd w:id="22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Cash receipts on impaired loans on non-accrual status are generally applied to the principal balance.</w:t>
      </w:r>
    </w:p>
    <w:p>
      <w:pPr>
        <w:pStyle w:val="TextBody"/>
        <w:spacing w:before="0" w:after="0"/>
        <w:rPr/>
      </w:pPr>
      <w:r>
        <w:rPr/>
      </w:r>
    </w:p>
    <w:p>
      <w:pPr>
        <w:pStyle w:val="Normal"/>
        <w:spacing w:before="0" w:after="0"/>
        <w:rPr>
          <w:sz w:val="4"/>
          <w:szCs w:val="4"/>
        </w:rPr>
      </w:pPr>
      <w:r>
        <w:rPr>
          <w:sz w:val="4"/>
          <w:szCs w:val="4"/>
        </w:rPr>
      </w:r>
      <w:bookmarkStart w:id="224" w:name="z58d641b6aaa24aaca5ab65e83e3221c0"/>
      <w:bookmarkStart w:id="225" w:name="z58d641b6aaa24aaca5ab65e83e3221c0"/>
      <w:bookmarkEnd w:id="225"/>
    </w:p>
    <w:tbl>
      <w:tblPr>
        <w:tblW w:w="5135" w:type="dxa"/>
        <w:jc w:val="left"/>
        <w:tblInd w:w="0" w:type="dxa"/>
        <w:tblCellMar>
          <w:top w:w="0" w:type="dxa"/>
          <w:left w:w="0" w:type="dxa"/>
          <w:bottom w:w="0" w:type="dxa"/>
          <w:right w:w="0" w:type="dxa"/>
        </w:tblCellMar>
      </w:tblPr>
      <w:tblGrid>
        <w:gridCol w:w="1820"/>
        <w:gridCol w:w="60"/>
        <w:gridCol w:w="176"/>
        <w:gridCol w:w="684"/>
        <w:gridCol w:w="60"/>
        <w:gridCol w:w="60"/>
        <w:gridCol w:w="110"/>
        <w:gridCol w:w="1025"/>
        <w:gridCol w:w="60"/>
        <w:gridCol w:w="60"/>
        <w:gridCol w:w="275"/>
        <w:gridCol w:w="60"/>
        <w:gridCol w:w="110"/>
        <w:gridCol w:w="515"/>
        <w:gridCol w:w="60"/>
      </w:tblGrid>
      <w:tr>
        <w:trPr/>
        <w:tc>
          <w:tcPr>
            <w:tcW w:w="5075" w:type="dxa"/>
            <w:gridSpan w:val="14"/>
            <w:tcBorders/>
            <w:shd w:fill="auto" w:val="clear"/>
            <w:vAlign w:val="bottom"/>
          </w:tcPr>
          <w:p>
            <w:pPr>
              <w:pStyle w:val="TableContents"/>
              <w:spacing w:before="0" w:after="0"/>
              <w:jc w:val="both"/>
              <w:rPr>
                <w:rFonts w:ascii="Times New Roman" w:hAnsi="Times New Roman"/>
                <w:sz w:val="17"/>
              </w:rPr>
            </w:pPr>
            <w:r>
              <w:rPr>
                <w:rFonts w:ascii="Times New Roman" w:hAnsi="Times New Roman"/>
                <w:sz w:val="17"/>
              </w:rPr>
              <w:t>TDRs follow:</w:t>
            </w:r>
          </w:p>
        </w:tc>
        <w:tc>
          <w:tcPr>
            <w:tcW w:w="60" w:type="dxa"/>
            <w:tcBorders/>
            <w:shd w:fill="auto" w:val="clear"/>
            <w:vAlign w:val="bottom"/>
          </w:tcPr>
          <w:p>
            <w:pPr>
              <w:pStyle w:val="TableContents"/>
              <w:spacing w:before="0" w:after="283"/>
              <w:jc w:val="left"/>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95" w:type="dxa"/>
            <w:gridSpan w:val="1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Retail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auto" w:val="clear"/>
            <w:vAlign w:val="bottom"/>
          </w:tcPr>
          <w:p>
            <w:pPr>
              <w:pStyle w:val="TableContents"/>
              <w:spacing w:before="0" w:after="283"/>
              <w:jc w:val="left"/>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0"/>
              <w:jc w:val="center"/>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82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Performing TDRs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6,209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44,427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50,636</w:t>
            </w:r>
          </w:p>
        </w:tc>
        <w:tc>
          <w:tcPr>
            <w:tcW w:w="60" w:type="dxa"/>
            <w:tcBorders/>
            <w:shd w:fill="CCEEFF" w:val="clear"/>
            <w:vAlign w:val="bottom"/>
          </w:tcPr>
          <w:p>
            <w:pPr>
              <w:pStyle w:val="TableContents"/>
              <w:spacing w:before="0" w:after="283"/>
              <w:jc w:val="left"/>
              <w:rPr/>
            </w:pPr>
            <w:r>
              <w:rPr/>
              <w:t> </w:t>
            </w:r>
          </w:p>
        </w:tc>
      </w:tr>
      <w:tr>
        <w:trPr/>
        <w:tc>
          <w:tcPr>
            <w:tcW w:w="182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Non-performing TDRs(2)</w:t>
            </w:r>
          </w:p>
        </w:tc>
        <w:tc>
          <w:tcPr>
            <w:tcW w:w="60"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(3)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2,724</w:t>
            </w:r>
          </w:p>
        </w:tc>
        <w:tc>
          <w:tcPr>
            <w:tcW w:w="60" w:type="dxa"/>
            <w:tcBorders/>
            <w:shd w:fill="FFFFFF" w:val="clear"/>
            <w:vAlign w:val="bottom"/>
          </w:tcPr>
          <w:p>
            <w:pPr>
              <w:pStyle w:val="TableContents"/>
              <w:spacing w:before="0" w:after="283"/>
              <w:jc w:val="left"/>
              <w:rPr/>
            </w:pPr>
            <w:r>
              <w:rPr/>
              <w:t> </w:t>
            </w:r>
          </w:p>
        </w:tc>
      </w:tr>
      <w:tr>
        <w:trPr/>
        <w:tc>
          <w:tcPr>
            <w:tcW w:w="18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6,276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47,084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53,360</w:t>
            </w:r>
          </w:p>
        </w:tc>
        <w:tc>
          <w:tcPr>
            <w:tcW w:w="60" w:type="dxa"/>
            <w:tcBorders/>
            <w:shd w:fill="CCEEFF" w:val="clear"/>
            <w:vAlign w:val="bottom"/>
          </w:tcPr>
          <w:p>
            <w:pPr>
              <w:pStyle w:val="TableContents"/>
              <w:spacing w:before="0" w:after="283"/>
              <w:jc w:val="left"/>
              <w:rPr/>
            </w:pPr>
            <w:r>
              <w:rPr/>
              <w:t> </w:t>
            </w:r>
          </w:p>
        </w:tc>
      </w:tr>
      <w:tr>
        <w:trPr/>
        <w:tc>
          <w:tcPr>
            <w:tcW w:w="18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95" w:type="dxa"/>
            <w:gridSpan w:val="1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 2018</w:t>
            </w:r>
          </w:p>
        </w:tc>
        <w:tc>
          <w:tcPr>
            <w:tcW w:w="60" w:type="dxa"/>
            <w:tcBorders/>
            <w:shd w:fill="auto" w:val="clear"/>
            <w:vAlign w:val="bottom"/>
          </w:tcPr>
          <w:p>
            <w:pPr>
              <w:pStyle w:val="TableContents"/>
              <w:spacing w:before="0" w:after="283"/>
              <w:jc w:val="left"/>
              <w:rPr/>
            </w:pPr>
            <w:r>
              <w:rPr/>
              <w:t> </w:t>
            </w:r>
          </w:p>
        </w:tc>
      </w:tr>
      <w:tr>
        <w:trPr/>
        <w:tc>
          <w:tcPr>
            <w:tcW w:w="18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0" w:type="dxa"/>
            <w:gridSpan w:val="2"/>
            <w:tcBorders>
              <w:bottom w:val="single" w:sz="12" w:space="0" w:color="000000"/>
            </w:tcBorders>
            <w:shd w:fill="FFFFFF"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5" w:type="dxa"/>
            <w:gridSpan w:val="2"/>
            <w:tcBorders>
              <w:bottom w:val="single" w:sz="12" w:space="0" w:color="000000"/>
            </w:tcBorders>
            <w:shd w:fill="FFFFFF"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Retail (1)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25" w:type="dxa"/>
            <w:gridSpan w:val="2"/>
            <w:tcBorders>
              <w:bottom w:val="single" w:sz="12" w:space="0" w:color="000000"/>
            </w:tcBorders>
            <w:shd w:fill="FFFFFF"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jc w:val="left"/>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0"/>
              <w:jc w:val="center"/>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82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Performing TDRs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6,460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46,627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53,087</w:t>
            </w:r>
          </w:p>
        </w:tc>
        <w:tc>
          <w:tcPr>
            <w:tcW w:w="60" w:type="dxa"/>
            <w:tcBorders/>
            <w:shd w:fill="CCEEFF" w:val="clear"/>
            <w:vAlign w:val="bottom"/>
          </w:tcPr>
          <w:p>
            <w:pPr>
              <w:pStyle w:val="TableContents"/>
              <w:spacing w:before="0" w:after="283"/>
              <w:jc w:val="left"/>
              <w:rPr/>
            </w:pPr>
            <w:r>
              <w:rPr/>
              <w:t> </w:t>
            </w:r>
          </w:p>
        </w:tc>
      </w:tr>
      <w:tr>
        <w:trPr/>
        <w:tc>
          <w:tcPr>
            <w:tcW w:w="182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Non-performing TDRs(2)</w:t>
            </w:r>
          </w:p>
        </w:tc>
        <w:tc>
          <w:tcPr>
            <w:tcW w:w="60"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(3)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2,958</w:t>
            </w:r>
          </w:p>
        </w:tc>
        <w:tc>
          <w:tcPr>
            <w:tcW w:w="60" w:type="dxa"/>
            <w:tcBorders/>
            <w:shd w:fill="FFFFFF" w:val="clear"/>
            <w:vAlign w:val="bottom"/>
          </w:tcPr>
          <w:p>
            <w:pPr>
              <w:pStyle w:val="TableContents"/>
              <w:spacing w:before="0" w:after="283"/>
              <w:jc w:val="left"/>
              <w:rPr/>
            </w:pPr>
            <w:r>
              <w:rPr/>
              <w:t> </w:t>
            </w:r>
          </w:p>
        </w:tc>
      </w:tr>
      <w:tr>
        <w:trPr/>
        <w:tc>
          <w:tcPr>
            <w:tcW w:w="18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6,534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49,511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56,045</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226" w:name="z1666d0dcc52c469cbfa04c3724d785a4"/>
      <w:bookmarkStart w:id="227" w:name="z1666d0dcc52c469cbfa04c3724d785a4"/>
      <w:bookmarkEnd w:id="227"/>
    </w:p>
    <w:tbl>
      <w:tblPr>
        <w:tblW w:w="4495" w:type="dxa"/>
        <w:jc w:val="left"/>
        <w:tblInd w:w="0" w:type="dxa"/>
        <w:tblCellMar>
          <w:top w:w="0" w:type="dxa"/>
          <w:left w:w="0" w:type="dxa"/>
          <w:bottom w:w="0" w:type="dxa"/>
          <w:right w:w="0" w:type="dxa"/>
        </w:tblCellMar>
      </w:tblPr>
      <w:tblGrid>
        <w:gridCol w:w="245"/>
        <w:gridCol w:w="425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425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Retail loans include mortgage and installment loan segments.</w:t>
            </w:r>
          </w:p>
        </w:tc>
      </w:tr>
    </w:tbl>
    <w:p>
      <w:pPr>
        <w:pStyle w:val="Normal"/>
        <w:spacing w:before="0" w:after="0"/>
        <w:rPr>
          <w:sz w:val="4"/>
          <w:szCs w:val="4"/>
        </w:rPr>
      </w:pPr>
      <w:r>
        <w:rPr>
          <w:sz w:val="4"/>
          <w:szCs w:val="4"/>
        </w:rPr>
      </w:r>
      <w:bookmarkStart w:id="228" w:name="z970e23ca8458450aa1f4c8c7620ee65d"/>
      <w:bookmarkStart w:id="229" w:name="z970e23ca8458450aa1f4c8c7620ee65d"/>
      <w:bookmarkEnd w:id="229"/>
    </w:p>
    <w:tbl>
      <w:tblPr>
        <w:tblW w:w="3535" w:type="dxa"/>
        <w:jc w:val="left"/>
        <w:tblInd w:w="0" w:type="dxa"/>
        <w:tblCellMar>
          <w:top w:w="0" w:type="dxa"/>
          <w:left w:w="0" w:type="dxa"/>
          <w:bottom w:w="0" w:type="dxa"/>
          <w:right w:w="0" w:type="dxa"/>
        </w:tblCellMar>
      </w:tblPr>
      <w:tblGrid>
        <w:gridCol w:w="245"/>
        <w:gridCol w:w="329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(2)</w:t>
            </w:r>
          </w:p>
        </w:tc>
        <w:tc>
          <w:tcPr>
            <w:tcW w:w="32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non-performing loans table above.</w:t>
            </w:r>
          </w:p>
        </w:tc>
      </w:tr>
    </w:tbl>
    <w:p>
      <w:pPr>
        <w:pStyle w:val="Normal"/>
        <w:spacing w:before="0" w:after="0"/>
        <w:rPr>
          <w:sz w:val="4"/>
          <w:szCs w:val="4"/>
        </w:rPr>
      </w:pPr>
      <w:r>
        <w:rPr>
          <w:sz w:val="4"/>
          <w:szCs w:val="4"/>
        </w:rPr>
      </w:r>
      <w:bookmarkStart w:id="230" w:name="z5c4c6b2a6f4545678e01d0fca87058a1"/>
      <w:bookmarkStart w:id="231" w:name="z5c4c6b2a6f4545678e01d0fca87058a1"/>
      <w:bookmarkEnd w:id="231"/>
    </w:p>
    <w:tbl>
      <w:tblPr>
        <w:tblW w:w="8035" w:type="dxa"/>
        <w:jc w:val="left"/>
        <w:tblInd w:w="0" w:type="dxa"/>
        <w:tblCellMar>
          <w:top w:w="0" w:type="dxa"/>
          <w:left w:w="0" w:type="dxa"/>
          <w:bottom w:w="0" w:type="dxa"/>
          <w:right w:w="0" w:type="dxa"/>
        </w:tblCellMar>
      </w:tblPr>
      <w:tblGrid>
        <w:gridCol w:w="245"/>
        <w:gridCol w:w="779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(3)</w:t>
            </w:r>
          </w:p>
        </w:tc>
        <w:tc>
          <w:tcPr>
            <w:tcW w:w="77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Also includes loans on non-accrual at the time of modification until six payments are received on a timely basis.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allocated $5.4 million and $5.6 million of specific reserves to customers whose loan terms have been modified in troubled debt restructurings as of March 31, 2019 and December 31,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During the three months ended March 31, 2019 and 2018,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2" w:name="DSPFPageBreakArea21"/>
      <w:bookmarkStart w:id="233" w:name="DSPFPageBreakArea21"/>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34" w:name="DSPFPageNumber21"/>
      <w:bookmarkStart w:id="235" w:name="DSPFPageNumberArea20"/>
      <w:bookmarkEnd w:id="234"/>
      <w:bookmarkEnd w:id="235"/>
      <w:r>
        <w:rPr>
          <w:rFonts w:ascii="Times New Roman" w:hAnsi="Times New Roman"/>
          <w:b w:val="false"/>
          <w:i w:val="false"/>
          <w:caps w:val="false"/>
          <w:smallCaps w:val="false"/>
          <w:sz w:val="13"/>
        </w:rPr>
        <w:t>22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6" w:name="DSPFPageBreak21"/>
      <w:bookmarkStart w:id="237" w:name="DSPFPageBreak21"/>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38" w:name="DSPFPageHeader20"/>
        <w:bookmarkEnd w:id="23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Loans that have been classified as troubled debt restructurings during the three-month periods ended March 31 follow:</w:t>
      </w:r>
    </w:p>
    <w:p>
      <w:pPr>
        <w:pStyle w:val="TextBody"/>
        <w:spacing w:before="0" w:after="0"/>
        <w:rPr/>
      </w:pPr>
      <w:r>
        <w:rPr/>
      </w:r>
    </w:p>
    <w:p>
      <w:pPr>
        <w:pStyle w:val="Normal"/>
        <w:spacing w:before="0" w:after="0"/>
        <w:rPr>
          <w:sz w:val="4"/>
          <w:szCs w:val="4"/>
        </w:rPr>
      </w:pPr>
      <w:r>
        <w:rPr>
          <w:sz w:val="4"/>
          <w:szCs w:val="4"/>
        </w:rPr>
      </w:r>
      <w:bookmarkStart w:id="239" w:name="z36ba741f06e642deb3e55515a4f74307"/>
      <w:bookmarkStart w:id="240" w:name="z36ba741f06e642deb3e55515a4f74307"/>
      <w:bookmarkEnd w:id="240"/>
    </w:p>
    <w:tbl>
      <w:tblPr>
        <w:tblW w:w="7145" w:type="dxa"/>
        <w:jc w:val="left"/>
        <w:tblInd w:w="0" w:type="dxa"/>
        <w:tblCellMar>
          <w:top w:w="0" w:type="dxa"/>
          <w:left w:w="0" w:type="dxa"/>
          <w:bottom w:w="0" w:type="dxa"/>
          <w:right w:w="0" w:type="dxa"/>
        </w:tblCellMar>
      </w:tblPr>
      <w:tblGrid>
        <w:gridCol w:w="3545"/>
        <w:gridCol w:w="60"/>
        <w:gridCol w:w="181"/>
        <w:gridCol w:w="604"/>
        <w:gridCol w:w="60"/>
        <w:gridCol w:w="60"/>
        <w:gridCol w:w="327"/>
        <w:gridCol w:w="863"/>
        <w:gridCol w:w="60"/>
        <w:gridCol w:w="60"/>
        <w:gridCol w:w="343"/>
        <w:gridCol w:w="907"/>
        <w:gridCol w:w="75"/>
      </w:tblGrid>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Number of</w:t>
            </w:r>
          </w:p>
          <w:p>
            <w:pPr>
              <w:pStyle w:val="TableContents"/>
              <w:spacing w:before="0" w:after="0"/>
              <w:jc w:val="center"/>
              <w:rPr>
                <w:rFonts w:ascii="Times New Roman" w:hAnsi="Times New Roman"/>
                <w:sz w:val="17"/>
              </w:rPr>
            </w:pPr>
            <w:r>
              <w:rPr>
                <w:rFonts w:ascii="Times New Roman" w:hAnsi="Times New Roman"/>
                <w:sz w:val="17"/>
              </w:rPr>
              <w:t>Contracts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Pre-modification</w:t>
            </w:r>
          </w:p>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Post-modification</w:t>
            </w:r>
          </w:p>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Balance</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65"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281</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3"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0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0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391</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2018</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434</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211</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99</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61</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Boat lending</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60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left"/>
              <w:rPr/>
            </w:pPr>
            <w:r>
              <w:rPr/>
              <w:t> </w:t>
            </w:r>
          </w:p>
        </w:tc>
        <w:tc>
          <w:tcPr>
            <w:tcW w:w="86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shd w:fill="FFFFFF" w:val="clear"/>
            <w:vAlign w:val="bottom"/>
          </w:tcPr>
          <w:p>
            <w:pPr>
              <w:pStyle w:val="TableContents"/>
              <w:spacing w:before="0" w:after="283"/>
              <w:jc w:val="left"/>
              <w:rPr/>
            </w:pPr>
            <w:r>
              <w:rPr/>
              <w:t> </w:t>
            </w:r>
          </w:p>
        </w:tc>
        <w:tc>
          <w:tcPr>
            <w:tcW w:w="9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60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left"/>
              <w:rPr/>
            </w:pPr>
            <w:r>
              <w:rPr/>
              <w:t> </w:t>
            </w:r>
          </w:p>
        </w:tc>
        <w:tc>
          <w:tcPr>
            <w:tcW w:w="9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w:t>
            </w:r>
          </w:p>
        </w:tc>
        <w:tc>
          <w:tcPr>
            <w:tcW w:w="60"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3"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0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2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4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0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904</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troubled debt restructurings described above for 2019 increased the allowance for loan losses by $0.01 million and resulted in zero charge offs while the troubled debt restructurings described above for 2018 decreased the allowance for loan losses by $0.03 million and resulted in zero charge offs.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There were no troubled debt restructurings that subsequently defaulted within twelve months following the modification during the three months periods ended March 31, 2019 and 2018.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1" w:name="DSPFPageBreakArea22"/>
      <w:bookmarkStart w:id="242" w:name="DSPFPageBreakArea22"/>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43" w:name="DSPFPageNumber22"/>
      <w:bookmarkStart w:id="244" w:name="DSPFPageNumberArea21"/>
      <w:bookmarkEnd w:id="243"/>
      <w:bookmarkEnd w:id="244"/>
      <w:r>
        <w:rPr>
          <w:rFonts w:ascii="Times New Roman" w:hAnsi="Times New Roman"/>
          <w:b w:val="false"/>
          <w:i w:val="false"/>
          <w:caps w:val="false"/>
          <w:smallCaps w:val="false"/>
          <w:sz w:val="13"/>
        </w:rPr>
        <w:t>23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5" w:name="DSPFPageBreak22"/>
      <w:bookmarkStart w:id="246" w:name="DSPFPageBreak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47" w:name="DSPFPageHeader21"/>
        <w:bookmarkEnd w:id="24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loan is considered to be in payment default generally once it is 90 days contractually past due under the modified terms.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Credit Quality Indicators</w:t>
      </w:r>
      <w:r>
        <w:rPr>
          <w:rFonts w:ascii="Times New Roman" w:hAnsi="Times New Roman"/>
          <w:sz w:val="17"/>
        </w:rPr>
        <w:t xml:space="preserve"> – As part of our on-going monitoring of the credit quality of our loan portfolios, we track certain credit quality indicators including (a) weighted-average risk grade of commercial loans, (b) the level of classified commercial loans, (c) credit scores of mortgage and installment loan borrowers, and (d) delinquency history and non-performing loans.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For commercial loans, we use a loan rating system that is similar to those employed by state and federal banking regulators. Loans are graded on a scale of 1 to 12. A description of the general characteristics of the ratings follows: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i/>
          <w:sz w:val="17"/>
        </w:rPr>
        <w:t>Rating 1 through 6</w:t>
      </w:r>
      <w:r>
        <w:rPr>
          <w:rFonts w:ascii="Times New Roman" w:hAnsi="Times New Roman"/>
          <w:sz w:val="17"/>
        </w:rPr>
        <w:t>: These loans are generally referred to as our “non-watch” commercial credits that include very high or exceptional credit fundamentals through acceptable credit fundamentals.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i/>
          <w:sz w:val="17"/>
        </w:rPr>
        <w:t>Rating 7 and 8</w:t>
      </w:r>
      <w:r>
        <w:rPr>
          <w:rFonts w:ascii="Times New Roman" w:hAnsi="Times New Roman"/>
          <w:sz w:val="17"/>
        </w:rPr>
        <w:t>: These loans are generally referred to as our “watch” commercial credits. These ratings include loans to borrowers that exhibit potential credit weakness or downward trends. If not checked or cured these trends could weaken our asset or credit position. While potentially weak, no loss of principal or interest is envisioned with these ratings.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i/>
          <w:sz w:val="17"/>
        </w:rPr>
        <w:t>Rating 9</w:t>
      </w:r>
      <w:r>
        <w:rPr>
          <w:rFonts w:ascii="Times New Roman" w:hAnsi="Times New Roman"/>
          <w:sz w:val="17"/>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pStyle w:val="TextBody"/>
        <w:spacing w:before="0" w:after="0"/>
        <w:rPr/>
      </w:pPr>
      <w:r>
        <w:rPr/>
      </w:r>
    </w:p>
    <w:p>
      <w:pPr>
        <w:pStyle w:val="TextBody"/>
        <w:spacing w:before="0" w:after="0"/>
        <w:ind w:left="0" w:right="154" w:hanging="0"/>
        <w:jc w:val="both"/>
        <w:rPr>
          <w:rFonts w:ascii="Times New Roman" w:hAnsi="Times New Roman"/>
          <w:sz w:val="17"/>
        </w:rPr>
      </w:pPr>
      <w:r>
        <w:rPr>
          <w:rFonts w:ascii="Times New Roman" w:hAnsi="Times New Roman"/>
          <w:i/>
          <w:sz w:val="17"/>
        </w:rPr>
        <w:t>Rating 10 and 11</w:t>
      </w:r>
      <w:r>
        <w:rPr>
          <w:rFonts w:ascii="Times New Roman" w:hAnsi="Times New Roman"/>
          <w:sz w:val="17"/>
        </w:rPr>
        <w:t>: These loans are generally referred to as our ‘‘substandard - non-accrual’’ and ‘‘doubtful’’ commercial credits. 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i/>
          <w:sz w:val="17"/>
        </w:rPr>
        <w:t>Rating 12</w:t>
      </w:r>
      <w:r>
        <w:rPr>
          <w:rFonts w:ascii="Times New Roman" w:hAnsi="Times New Roman"/>
          <w:sz w:val="17"/>
        </w:rPr>
        <w:t>: These loans are generally referred to as our “loss” commercial credits. This rating includes loans to borrowers that are deemed incapable of repayment and are charged-off.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8" w:name="DSPFPageBreakArea23"/>
      <w:bookmarkStart w:id="249" w:name="DSPFPageBreakArea23"/>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50" w:name="DSPFPageNumber23"/>
      <w:bookmarkStart w:id="251" w:name="DSPFPageNumberArea22"/>
      <w:bookmarkEnd w:id="250"/>
      <w:bookmarkEnd w:id="251"/>
      <w:r>
        <w:rPr>
          <w:rFonts w:ascii="Times New Roman" w:hAnsi="Times New Roman"/>
          <w:b w:val="false"/>
          <w:i w:val="false"/>
          <w:caps w:val="false"/>
          <w:smallCaps w:val="false"/>
          <w:sz w:val="13"/>
        </w:rPr>
        <w:t>24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2" w:name="DSPFPageBreak23"/>
      <w:bookmarkStart w:id="253" w:name="DSPFPageBreak23"/>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54" w:name="DSPFPageHeader22"/>
        <w:bookmarkEnd w:id="25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pPr>
      <w:r>
        <w:rPr/>
        <w:t> </w:t>
      </w: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 summarizes loan ratings by loan class for our commercial loan segment:</w:t>
      </w:r>
    </w:p>
    <w:p>
      <w:pPr>
        <w:pStyle w:val="TextBody"/>
        <w:spacing w:before="0" w:after="0"/>
        <w:rPr/>
      </w:pPr>
      <w:r>
        <w:rPr/>
      </w:r>
    </w:p>
    <w:p>
      <w:pPr>
        <w:pStyle w:val="Normal"/>
        <w:spacing w:before="0" w:after="0"/>
        <w:rPr>
          <w:sz w:val="4"/>
          <w:szCs w:val="4"/>
        </w:rPr>
      </w:pPr>
      <w:r>
        <w:rPr>
          <w:sz w:val="4"/>
          <w:szCs w:val="4"/>
        </w:rPr>
      </w:r>
      <w:bookmarkStart w:id="255" w:name="zb2526b7632ed48d5a929d6c1d9afbc69"/>
      <w:bookmarkStart w:id="256" w:name="zb2526b7632ed48d5a929d6c1d9afbc69"/>
      <w:bookmarkEnd w:id="256"/>
    </w:p>
    <w:tbl>
      <w:tblPr>
        <w:tblW w:w="8865" w:type="dxa"/>
        <w:jc w:val="left"/>
        <w:tblInd w:w="0" w:type="dxa"/>
        <w:tblCellMar>
          <w:top w:w="0" w:type="dxa"/>
          <w:left w:w="0" w:type="dxa"/>
          <w:bottom w:w="0" w:type="dxa"/>
          <w:right w:w="0" w:type="dxa"/>
        </w:tblCellMar>
      </w:tblPr>
      <w:tblGrid>
        <w:gridCol w:w="3800"/>
        <w:gridCol w:w="60"/>
        <w:gridCol w:w="110"/>
        <w:gridCol w:w="740"/>
        <w:gridCol w:w="60"/>
        <w:gridCol w:w="60"/>
        <w:gridCol w:w="110"/>
        <w:gridCol w:w="515"/>
        <w:gridCol w:w="60"/>
        <w:gridCol w:w="60"/>
        <w:gridCol w:w="209"/>
        <w:gridCol w:w="816"/>
        <w:gridCol w:w="60"/>
        <w:gridCol w:w="60"/>
        <w:gridCol w:w="115"/>
        <w:gridCol w:w="445"/>
        <w:gridCol w:w="60"/>
        <w:gridCol w:w="60"/>
        <w:gridCol w:w="110"/>
        <w:gridCol w:w="740"/>
        <w:gridCol w:w="615"/>
      </w:tblGrid>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90" w:type="dxa"/>
            <w:gridSpan w:val="18"/>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15" w:type="dxa"/>
            <w:tcBorders/>
            <w:shd w:fill="auto"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Non-watch</w:t>
            </w:r>
          </w:p>
          <w:p>
            <w:pPr>
              <w:pStyle w:val="TableContents"/>
              <w:spacing w:before="0" w:after="0"/>
              <w:jc w:val="center"/>
              <w:rPr>
                <w:rFonts w:ascii="Times New Roman" w:hAnsi="Times New Roman"/>
                <w:sz w:val="17"/>
              </w:rPr>
            </w:pPr>
            <w:r>
              <w:rPr>
                <w:rFonts w:ascii="Times New Roman" w:hAnsi="Times New Roman"/>
                <w:sz w:val="17"/>
              </w:rPr>
              <w:t>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Watch</w:t>
            </w:r>
          </w:p>
          <w:p>
            <w:pPr>
              <w:pStyle w:val="TableContents"/>
              <w:spacing w:before="0" w:after="0"/>
              <w:jc w:val="center"/>
              <w:rPr>
                <w:rFonts w:ascii="Times New Roman" w:hAnsi="Times New Roman"/>
                <w:sz w:val="17"/>
              </w:rPr>
            </w:pPr>
            <w:r>
              <w:rPr>
                <w:rFonts w:ascii="Times New Roman" w:hAnsi="Times New Roman"/>
                <w:sz w:val="17"/>
              </w:rPr>
              <w:t>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Substandard</w:t>
            </w:r>
          </w:p>
          <w:p>
            <w:pPr>
              <w:pStyle w:val="TableContents"/>
              <w:spacing w:before="0" w:after="0"/>
              <w:jc w:val="center"/>
              <w:rPr>
                <w:rFonts w:ascii="Times New Roman" w:hAnsi="Times New Roman"/>
                <w:sz w:val="17"/>
              </w:rPr>
            </w:pPr>
            <w:r>
              <w:rPr>
                <w:rFonts w:ascii="Times New Roman" w:hAnsi="Times New Roman"/>
                <w:sz w:val="17"/>
              </w:rPr>
              <w:t>Accrual</w:t>
            </w:r>
          </w:p>
          <w:p>
            <w:pPr>
              <w:pStyle w:val="TableContents"/>
              <w:spacing w:before="0" w:after="0"/>
              <w:jc w:val="center"/>
              <w:rPr>
                <w:rFonts w:ascii="Times New Roman" w:hAnsi="Times New Roman"/>
                <w:sz w:val="17"/>
              </w:rPr>
            </w:pPr>
            <w:r>
              <w:rPr>
                <w:rFonts w:ascii="Times New Roman" w:hAnsi="Times New Roman"/>
                <w:sz w:val="17"/>
              </w:rPr>
              <w:t>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Non-</w:t>
            </w:r>
          </w:p>
          <w:p>
            <w:pPr>
              <w:pStyle w:val="TableContents"/>
              <w:spacing w:before="0" w:after="0"/>
              <w:jc w:val="center"/>
              <w:rPr>
                <w:rFonts w:ascii="Times New Roman" w:hAnsi="Times New Roman"/>
                <w:sz w:val="17"/>
              </w:rPr>
            </w:pPr>
            <w:r>
              <w:rPr>
                <w:rFonts w:ascii="Times New Roman" w:hAnsi="Times New Roman"/>
                <w:sz w:val="17"/>
              </w:rPr>
              <w:t>Accrual</w:t>
            </w:r>
          </w:p>
          <w:p>
            <w:pPr>
              <w:pStyle w:val="TableContents"/>
              <w:spacing w:before="0" w:after="0"/>
              <w:jc w:val="center"/>
              <w:rPr>
                <w:rFonts w:ascii="Times New Roman" w:hAnsi="Times New Roman"/>
                <w:sz w:val="17"/>
              </w:rPr>
            </w:pPr>
            <w:r>
              <w:rPr>
                <w:rFonts w:ascii="Times New Roman" w:hAnsi="Times New Roman"/>
                <w:sz w:val="17"/>
              </w:rPr>
              <w:t>10-11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15" w:type="dxa"/>
            <w:tcBorders/>
            <w:shd w:fill="auto" w:val="clear"/>
            <w:vAlign w:val="bottom"/>
          </w:tcPr>
          <w:p>
            <w:pPr>
              <w:pStyle w:val="TableContents"/>
              <w:spacing w:before="0" w:after="283"/>
              <w:ind w:left="0" w:right="0" w:firstLine="540"/>
              <w:jc w:val="left"/>
              <w:rPr/>
            </w:pPr>
            <w:r>
              <w:rPr/>
              <w:t> </w:t>
            </w:r>
          </w:p>
        </w:tc>
      </w:tr>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left"/>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left"/>
              <w:rPr/>
            </w:pPr>
            <w:r>
              <w:rPr/>
              <w:t> </w:t>
            </w:r>
          </w:p>
        </w:tc>
      </w:tr>
      <w:tr>
        <w:trPr/>
        <w:tc>
          <w:tcPr>
            <w:tcW w:w="380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383,117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14,603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398,191</w:t>
            </w:r>
          </w:p>
        </w:tc>
        <w:tc>
          <w:tcPr>
            <w:tcW w:w="615" w:type="dxa"/>
            <w:tcBorders/>
            <w:shd w:fill="CCEEFF" w:val="clear"/>
            <w:vAlign w:val="bottom"/>
          </w:tcPr>
          <w:p>
            <w:pPr>
              <w:pStyle w:val="TableContents"/>
              <w:spacing w:before="0" w:after="283"/>
              <w:jc w:val="left"/>
              <w:rPr/>
            </w:pPr>
            <w:r>
              <w:rPr/>
              <w:t> </w:t>
            </w:r>
          </w:p>
        </w:tc>
      </w:tr>
      <w:tr>
        <w:trPr/>
        <w:tc>
          <w:tcPr>
            <w:tcW w:w="380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78,062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84,861</w:t>
            </w:r>
          </w:p>
        </w:tc>
        <w:tc>
          <w:tcPr>
            <w:tcW w:w="615" w:type="dxa"/>
            <w:tcBorders/>
            <w:shd w:fill="FFFFFF"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646,199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36,246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688,789</w:t>
            </w:r>
          </w:p>
        </w:tc>
        <w:tc>
          <w:tcPr>
            <w:tcW w:w="615" w:type="dxa"/>
            <w:tcBorders/>
            <w:shd w:fill="CCEEFF" w:val="clear"/>
            <w:vAlign w:val="bottom"/>
          </w:tcPr>
          <w:p>
            <w:pPr>
              <w:pStyle w:val="TableContents"/>
              <w:spacing w:before="0" w:after="283"/>
              <w:jc w:val="left"/>
              <w:rPr/>
            </w:pPr>
            <w:r>
              <w:rPr/>
              <w:t> </w:t>
            </w:r>
          </w:p>
        </w:tc>
      </w:tr>
      <w:tr>
        <w:trPr/>
        <w:tc>
          <w:tcPr>
            <w:tcW w:w="380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1,107,378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57,639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5,119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1,171,841</w:t>
            </w:r>
          </w:p>
        </w:tc>
        <w:tc>
          <w:tcPr>
            <w:tcW w:w="615" w:type="dxa"/>
            <w:tcBorders/>
            <w:shd w:fill="FFFFFF"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Accrued interest included in 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3,437</w:t>
            </w:r>
          </w:p>
        </w:tc>
        <w:tc>
          <w:tcPr>
            <w:tcW w:w="615" w:type="dxa"/>
            <w:tcBorders/>
            <w:shd w:fill="CCEEFF" w:val="clear"/>
            <w:vAlign w:val="bottom"/>
          </w:tcPr>
          <w:p>
            <w:pPr>
              <w:pStyle w:val="TableContents"/>
              <w:spacing w:before="0" w:after="283"/>
              <w:ind w:left="0" w:right="0" w:firstLine="540"/>
              <w:jc w:val="left"/>
              <w:rPr/>
            </w:pPr>
            <w:r>
              <w:rPr/>
              <w:t> </w:t>
            </w:r>
          </w:p>
        </w:tc>
      </w:tr>
      <w:tr>
        <w:trPr/>
        <w:tc>
          <w:tcPr>
            <w:tcW w:w="380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jc w:val="left"/>
              <w:rPr/>
            </w:pPr>
            <w:r>
              <w:rPr/>
              <w:t> </w:t>
            </w:r>
          </w:p>
        </w:tc>
        <w:tc>
          <w:tcPr>
            <w:tcW w:w="4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15" w:type="dxa"/>
            <w:tcBorders/>
            <w:shd w:fill="FFFFFF"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15" w:type="dxa"/>
            <w:tcBorders/>
            <w:shd w:fill="CCEEFF" w:val="clear"/>
            <w:vAlign w:val="bottom"/>
          </w:tcPr>
          <w:p>
            <w:pPr>
              <w:pStyle w:val="TableContents"/>
              <w:spacing w:before="0" w:after="283"/>
              <w:jc w:val="left"/>
              <w:rPr/>
            </w:pPr>
            <w:r>
              <w:rPr/>
              <w:t> </w:t>
            </w:r>
          </w:p>
        </w:tc>
      </w:tr>
      <w:tr>
        <w:trPr/>
        <w:tc>
          <w:tcPr>
            <w:tcW w:w="380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375,142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13,387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388,773</w:t>
            </w:r>
          </w:p>
        </w:tc>
        <w:tc>
          <w:tcPr>
            <w:tcW w:w="615" w:type="dxa"/>
            <w:tcBorders/>
            <w:shd w:fill="FFFFFF"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Land, land development and  construction - real estate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76,120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44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84,458</w:t>
            </w:r>
          </w:p>
        </w:tc>
        <w:tc>
          <w:tcPr>
            <w:tcW w:w="615" w:type="dxa"/>
            <w:tcBorders/>
            <w:shd w:fill="CCEEFF" w:val="clear"/>
            <w:vAlign w:val="bottom"/>
          </w:tcPr>
          <w:p>
            <w:pPr>
              <w:pStyle w:val="TableContents"/>
              <w:spacing w:before="0" w:after="283"/>
              <w:jc w:val="left"/>
              <w:rPr/>
            </w:pPr>
            <w:r>
              <w:rPr/>
              <w:t> </w:t>
            </w:r>
          </w:p>
        </w:tc>
      </w:tr>
      <w:tr>
        <w:trPr/>
        <w:tc>
          <w:tcPr>
            <w:tcW w:w="380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Commercial and industrial</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631,248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35,469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5,577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4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674,661</w:t>
            </w:r>
          </w:p>
        </w:tc>
        <w:tc>
          <w:tcPr>
            <w:tcW w:w="615" w:type="dxa"/>
            <w:tcBorders/>
            <w:shd w:fill="FFFFFF" w:val="clear"/>
            <w:vAlign w:val="bottom"/>
          </w:tcPr>
          <w:p>
            <w:pPr>
              <w:pStyle w:val="TableContents"/>
              <w:spacing w:before="0" w:after="283"/>
              <w:jc w:val="left"/>
              <w:rPr/>
            </w:pPr>
            <w:r>
              <w:rPr/>
              <w:t> </w:t>
            </w:r>
          </w:p>
        </w:tc>
      </w:tr>
      <w:tr>
        <w:trPr/>
        <w:tc>
          <w:tcPr>
            <w:tcW w:w="380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1,082,510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57,184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1,147,892</w:t>
            </w:r>
          </w:p>
        </w:tc>
        <w:tc>
          <w:tcPr>
            <w:tcW w:w="615" w:type="dxa"/>
            <w:tcBorders/>
            <w:shd w:fill="CCEEFF" w:val="clear"/>
            <w:vAlign w:val="bottom"/>
          </w:tcPr>
          <w:p>
            <w:pPr>
              <w:pStyle w:val="TableContents"/>
              <w:spacing w:before="0" w:after="283"/>
              <w:jc w:val="left"/>
              <w:rPr/>
            </w:pPr>
            <w:r>
              <w:rPr/>
              <w:t> </w:t>
            </w:r>
          </w:p>
        </w:tc>
      </w:tr>
      <w:tr>
        <w:trPr/>
        <w:tc>
          <w:tcPr>
            <w:tcW w:w="380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Accrued interest included in total</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3,107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4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3,411</w:t>
            </w:r>
          </w:p>
        </w:tc>
        <w:tc>
          <w:tcPr>
            <w:tcW w:w="61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For each of our mortgage and installment segment classes, we generally monitor credit quality based on the credit scores of the borrowers. These credit scores are generally updated semi-annually.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7" w:name="DSPFPageBreakArea24"/>
      <w:bookmarkStart w:id="258" w:name="DSPFPageBreakArea24"/>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59" w:name="DSPFPageNumber24"/>
      <w:bookmarkStart w:id="260" w:name="DSPFPageNumberArea23"/>
      <w:bookmarkEnd w:id="259"/>
      <w:bookmarkEnd w:id="260"/>
      <w:r>
        <w:rPr>
          <w:rFonts w:ascii="Times New Roman" w:hAnsi="Times New Roman"/>
          <w:b w:val="false"/>
          <w:i w:val="false"/>
          <w:caps w:val="false"/>
          <w:smallCaps w:val="false"/>
          <w:sz w:val="13"/>
        </w:rPr>
        <w:t>25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1" w:name="DSPFPageBreak24"/>
      <w:bookmarkStart w:id="262" w:name="DSPFPageBreak24"/>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63" w:name="DSPFPageHeader23"/>
        <w:bookmarkEnd w:id="26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tables summarize credit scores by loan class for our mortgage and installment loan segments:</w:t>
      </w:r>
    </w:p>
    <w:p>
      <w:pPr>
        <w:pStyle w:val="TextBody"/>
        <w:spacing w:before="0" w:after="0"/>
        <w:rPr/>
      </w:pPr>
      <w:r>
        <w:rPr/>
      </w:r>
    </w:p>
    <w:p>
      <w:pPr>
        <w:pStyle w:val="Normal"/>
        <w:spacing w:before="0" w:after="0"/>
        <w:rPr>
          <w:sz w:val="4"/>
          <w:szCs w:val="4"/>
        </w:rPr>
      </w:pPr>
      <w:r>
        <w:rPr>
          <w:sz w:val="4"/>
          <w:szCs w:val="4"/>
        </w:rPr>
      </w:r>
      <w:bookmarkStart w:id="264" w:name="za102941c2ce64719af86ba9b3c3d898a"/>
      <w:bookmarkStart w:id="265" w:name="za102941c2ce64719af86ba9b3c3d898a"/>
      <w:bookmarkEnd w:id="265"/>
    </w:p>
    <w:tbl>
      <w:tblPr>
        <w:tblW w:w="6605" w:type="dxa"/>
        <w:jc w:val="left"/>
        <w:tblInd w:w="0" w:type="dxa"/>
        <w:tblCellMar>
          <w:top w:w="0" w:type="dxa"/>
          <w:left w:w="0" w:type="dxa"/>
          <w:bottom w:w="0" w:type="dxa"/>
          <w:right w:w="0" w:type="dxa"/>
        </w:tblCellMar>
      </w:tblPr>
      <w:tblGrid>
        <w:gridCol w:w="2330"/>
        <w:gridCol w:w="60"/>
        <w:gridCol w:w="60"/>
        <w:gridCol w:w="120"/>
        <w:gridCol w:w="665"/>
        <w:gridCol w:w="60"/>
        <w:gridCol w:w="60"/>
        <w:gridCol w:w="110"/>
        <w:gridCol w:w="515"/>
        <w:gridCol w:w="60"/>
        <w:gridCol w:w="60"/>
        <w:gridCol w:w="110"/>
        <w:gridCol w:w="515"/>
        <w:gridCol w:w="60"/>
        <w:gridCol w:w="60"/>
        <w:gridCol w:w="110"/>
        <w:gridCol w:w="605"/>
        <w:gridCol w:w="60"/>
        <w:gridCol w:w="60"/>
        <w:gridCol w:w="110"/>
        <w:gridCol w:w="740"/>
        <w:gridCol w:w="75"/>
      </w:tblGrid>
      <w:tr>
        <w:trPr/>
        <w:tc>
          <w:tcPr>
            <w:tcW w:w="2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080" w:type="dxa"/>
            <w:gridSpan w:val="18"/>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Mortgage (1)</w:t>
            </w:r>
          </w:p>
        </w:tc>
        <w:tc>
          <w:tcPr>
            <w:tcW w:w="75" w:type="dxa"/>
            <w:tcBorders/>
            <w:shd w:fill="auto" w:val="clear"/>
            <w:vAlign w:val="bottom"/>
          </w:tcPr>
          <w:p>
            <w:pPr>
              <w:pStyle w:val="TableContents"/>
              <w:spacing w:before="0" w:after="283"/>
              <w:jc w:val="left"/>
              <w:rPr/>
            </w:pPr>
            <w:r>
              <w:rPr/>
              <w:t> </w:t>
            </w:r>
          </w:p>
        </w:tc>
      </w:tr>
      <w:tr>
        <w:trPr/>
        <w:tc>
          <w:tcPr>
            <w:tcW w:w="233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1-4 Family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Resort</w:t>
            </w:r>
          </w:p>
          <w:p>
            <w:pPr>
              <w:pStyle w:val="TableContents"/>
              <w:spacing w:before="0" w:after="0"/>
              <w:jc w:val="center"/>
              <w:rPr>
                <w:rFonts w:ascii="Times New Roman" w:hAnsi="Times New Roman"/>
                <w:sz w:val="17"/>
              </w:rPr>
            </w:pPr>
            <w:r>
              <w:rPr>
                <w:rFonts w:ascii="Times New Roman" w:hAnsi="Times New Roman"/>
                <w:sz w:val="17"/>
              </w:rPr>
              <w:t>Lending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Home</w:t>
            </w:r>
          </w:p>
          <w:p>
            <w:pPr>
              <w:pStyle w:val="TableContents"/>
              <w:spacing w:before="0" w:after="0"/>
              <w:jc w:val="center"/>
              <w:rPr>
                <w:rFonts w:ascii="Times New Roman" w:hAnsi="Times New Roman"/>
                <w:sz w:val="17"/>
              </w:rPr>
            </w:pPr>
            <w:r>
              <w:rPr>
                <w:rFonts w:ascii="Times New Roman" w:hAnsi="Times New Roman"/>
                <w:sz w:val="17"/>
              </w:rPr>
              <w:t>Equity</w:t>
            </w:r>
          </w:p>
          <w:p>
            <w:pPr>
              <w:pStyle w:val="TableContents"/>
              <w:spacing w:before="0" w:after="0"/>
              <w:jc w:val="center"/>
              <w:rPr>
                <w:rFonts w:ascii="Times New Roman" w:hAnsi="Times New Roman"/>
                <w:sz w:val="17"/>
              </w:rPr>
            </w:pPr>
            <w:r>
              <w:rPr>
                <w:rFonts w:ascii="Times New Roman" w:hAnsi="Times New Roman"/>
                <w:sz w:val="17"/>
              </w:rPr>
              <w:t>1st Lien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Home</w:t>
            </w:r>
          </w:p>
          <w:p>
            <w:pPr>
              <w:pStyle w:val="TableContents"/>
              <w:spacing w:before="0" w:after="0"/>
              <w:jc w:val="center"/>
              <w:rPr>
                <w:rFonts w:ascii="Times New Roman" w:hAnsi="Times New Roman"/>
                <w:sz w:val="17"/>
              </w:rPr>
            </w:pPr>
            <w:r>
              <w:rPr>
                <w:rFonts w:ascii="Times New Roman" w:hAnsi="Times New Roman"/>
                <w:sz w:val="17"/>
              </w:rPr>
              <w:t>Equity</w:t>
            </w:r>
          </w:p>
          <w:p>
            <w:pPr>
              <w:pStyle w:val="TableContents"/>
              <w:spacing w:before="0" w:after="0"/>
              <w:jc w:val="center"/>
              <w:rPr>
                <w:rFonts w:ascii="Times New Roman" w:hAnsi="Times New Roman"/>
                <w:sz w:val="17"/>
              </w:rPr>
            </w:pPr>
            <w:r>
              <w:rPr>
                <w:rFonts w:ascii="Times New Roman" w:hAnsi="Times New Roman"/>
                <w:sz w:val="17"/>
              </w:rPr>
              <w:t>2nd Lien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jc w:val="left"/>
              <w:rPr/>
            </w:pPr>
            <w:r>
              <w:rPr/>
              <w:t> </w:t>
            </w:r>
          </w:p>
        </w:tc>
      </w:tr>
      <w:tr>
        <w:trPr/>
        <w:tc>
          <w:tcPr>
            <w:tcW w:w="233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4080"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0"/>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800 and above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89,359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10,921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118,503</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750-799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365,405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34,625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15,976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53,549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469,555</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700-749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199,489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16,177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9,063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35,201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259,930</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650-699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93,517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9,853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12,091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119,134</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600-649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34,459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42,237</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550-599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1,329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16,128</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500-549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9,741</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Under 500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3,191</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Unknown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7,222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9,588</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360" w:right="0" w:hanging="0"/>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813,068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78,228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37,239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119,472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1,048,007</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Accrued interest included in total</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4,262</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800 and above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94,492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10,898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8,838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121,012</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750-799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384,344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36,542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38,295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476,484</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700-749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202,440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17,282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252,126</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650-699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91,847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9,945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114,460</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600-649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34,342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3,088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41,748</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550-599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13,771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17,301</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500-549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8,439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9,789</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Under 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3,155</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Unknown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8,236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1,910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10,912</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360" w:right="0" w:hanging="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840,444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81,781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39,244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85,518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1,046,987</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Accrued interest included in total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4,097</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266" w:name="z8408686b31624162830a3581fd57596f"/>
      <w:bookmarkStart w:id="267" w:name="z8408686b31624162830a3581fd57596f"/>
      <w:bookmarkEnd w:id="267"/>
    </w:p>
    <w:tbl>
      <w:tblPr>
        <w:tblW w:w="4615" w:type="dxa"/>
        <w:jc w:val="left"/>
        <w:tblInd w:w="0" w:type="dxa"/>
        <w:tblCellMar>
          <w:top w:w="0" w:type="dxa"/>
          <w:left w:w="0" w:type="dxa"/>
          <w:bottom w:w="0" w:type="dxa"/>
          <w:right w:w="0" w:type="dxa"/>
        </w:tblCellMar>
      </w:tblPr>
      <w:tblGrid>
        <w:gridCol w:w="245"/>
        <w:gridCol w:w="437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437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Credit scores have been updated within the last twelve months.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8" w:name="DSPFPageBreakArea25"/>
      <w:bookmarkStart w:id="269" w:name="DSPFPageBreakArea25"/>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70" w:name="DSPFPageNumber25"/>
      <w:bookmarkStart w:id="271" w:name="DSPFPageNumberArea24"/>
      <w:bookmarkEnd w:id="270"/>
      <w:bookmarkEnd w:id="271"/>
      <w:r>
        <w:rPr>
          <w:rFonts w:ascii="Times New Roman" w:hAnsi="Times New Roman"/>
          <w:b w:val="false"/>
          <w:i w:val="false"/>
          <w:caps w:val="false"/>
          <w:smallCaps w:val="false"/>
          <w:sz w:val="13"/>
        </w:rPr>
        <w:t>26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2" w:name="DSPFPageBreak25"/>
      <w:bookmarkStart w:id="273" w:name="DSPFPageBreak25"/>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74" w:name="DSPFPageHeader24"/>
        <w:bookmarkEnd w:id="27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Normal"/>
        <w:spacing w:before="0" w:after="0"/>
        <w:rPr>
          <w:sz w:val="4"/>
          <w:szCs w:val="4"/>
        </w:rPr>
      </w:pPr>
      <w:r>
        <w:rPr>
          <w:sz w:val="4"/>
          <w:szCs w:val="4"/>
        </w:rPr>
      </w:r>
      <w:bookmarkStart w:id="275" w:name="z6d0f249d8d1042a696e11c120ca8915c"/>
      <w:bookmarkStart w:id="276" w:name="z6d0f249d8d1042a696e11c120ca8915c"/>
      <w:bookmarkEnd w:id="276"/>
    </w:p>
    <w:tbl>
      <w:tblPr>
        <w:tblW w:w="7530" w:type="dxa"/>
        <w:jc w:val="left"/>
        <w:tblInd w:w="0" w:type="dxa"/>
        <w:tblCellMar>
          <w:top w:w="0" w:type="dxa"/>
          <w:left w:w="0" w:type="dxa"/>
          <w:bottom w:w="0" w:type="dxa"/>
          <w:right w:w="0" w:type="dxa"/>
        </w:tblCellMar>
      </w:tblPr>
      <w:tblGrid>
        <w:gridCol w:w="2330"/>
        <w:gridCol w:w="60"/>
        <w:gridCol w:w="60"/>
        <w:gridCol w:w="118"/>
        <w:gridCol w:w="457"/>
        <w:gridCol w:w="60"/>
        <w:gridCol w:w="60"/>
        <w:gridCol w:w="133"/>
        <w:gridCol w:w="517"/>
        <w:gridCol w:w="60"/>
        <w:gridCol w:w="60"/>
        <w:gridCol w:w="148"/>
        <w:gridCol w:w="817"/>
        <w:gridCol w:w="60"/>
        <w:gridCol w:w="60"/>
        <w:gridCol w:w="134"/>
        <w:gridCol w:w="741"/>
        <w:gridCol w:w="60"/>
        <w:gridCol w:w="60"/>
        <w:gridCol w:w="110"/>
        <w:gridCol w:w="515"/>
        <w:gridCol w:w="60"/>
        <w:gridCol w:w="60"/>
        <w:gridCol w:w="110"/>
        <w:gridCol w:w="605"/>
        <w:gridCol w:w="75"/>
      </w:tblGrid>
      <w:tr>
        <w:trPr/>
        <w:tc>
          <w:tcPr>
            <w:tcW w:w="23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05" w:type="dxa"/>
            <w:gridSpan w:val="2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Installment(1)</w:t>
            </w:r>
          </w:p>
        </w:tc>
        <w:tc>
          <w:tcPr>
            <w:tcW w:w="75" w:type="dxa"/>
            <w:tcBorders/>
            <w:shd w:fill="auto"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Home</w:t>
            </w:r>
          </w:p>
          <w:p>
            <w:pPr>
              <w:pStyle w:val="TableContents"/>
              <w:spacing w:before="0" w:after="0"/>
              <w:jc w:val="center"/>
              <w:rPr>
                <w:rFonts w:ascii="Times New Roman" w:hAnsi="Times New Roman"/>
                <w:sz w:val="17"/>
              </w:rPr>
            </w:pPr>
            <w:r>
              <w:rPr>
                <w:rFonts w:ascii="Times New Roman" w:hAnsi="Times New Roman"/>
                <w:sz w:val="17"/>
              </w:rPr>
              <w:t>Equity</w:t>
            </w:r>
          </w:p>
          <w:p>
            <w:pPr>
              <w:pStyle w:val="TableContents"/>
              <w:spacing w:before="0" w:after="0"/>
              <w:jc w:val="center"/>
              <w:rPr>
                <w:rFonts w:ascii="Times New Roman" w:hAnsi="Times New Roman"/>
                <w:sz w:val="17"/>
              </w:rPr>
            </w:pPr>
            <w:r>
              <w:rPr>
                <w:rFonts w:ascii="Times New Roman" w:hAnsi="Times New Roman"/>
                <w:sz w:val="17"/>
              </w:rPr>
              <w:t>1st Lien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Home</w:t>
            </w:r>
          </w:p>
          <w:p>
            <w:pPr>
              <w:pStyle w:val="TableContents"/>
              <w:spacing w:before="0" w:after="0"/>
              <w:jc w:val="center"/>
              <w:rPr>
                <w:rFonts w:ascii="Times New Roman" w:hAnsi="Times New Roman"/>
                <w:sz w:val="17"/>
              </w:rPr>
            </w:pPr>
            <w:r>
              <w:rPr>
                <w:rFonts w:ascii="Times New Roman" w:hAnsi="Times New Roman"/>
                <w:sz w:val="17"/>
              </w:rPr>
              <w:t>Equity</w:t>
            </w:r>
          </w:p>
          <w:p>
            <w:pPr>
              <w:pStyle w:val="TableContents"/>
              <w:spacing w:before="0" w:after="0"/>
              <w:jc w:val="center"/>
              <w:rPr>
                <w:rFonts w:ascii="Times New Roman" w:hAnsi="Times New Roman"/>
                <w:sz w:val="17"/>
              </w:rPr>
            </w:pPr>
            <w:r>
              <w:rPr>
                <w:rFonts w:ascii="Times New Roman" w:hAnsi="Times New Roman"/>
                <w:sz w:val="17"/>
              </w:rPr>
              <w:t>2nd Lien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Boat Lending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Recreational</w:t>
            </w:r>
          </w:p>
          <w:p>
            <w:pPr>
              <w:pStyle w:val="TableContents"/>
              <w:spacing w:before="0" w:after="0"/>
              <w:jc w:val="center"/>
              <w:rPr>
                <w:rFonts w:ascii="Times New Roman" w:hAnsi="Times New Roman"/>
                <w:sz w:val="17"/>
              </w:rPr>
            </w:pPr>
            <w:r>
              <w:rPr>
                <w:rFonts w:ascii="Times New Roman" w:hAnsi="Times New Roman"/>
                <w:sz w:val="17"/>
              </w:rPr>
              <w:t>Vehicle</w:t>
            </w:r>
          </w:p>
          <w:p>
            <w:pPr>
              <w:pStyle w:val="TableContents"/>
              <w:spacing w:before="0" w:after="0"/>
              <w:jc w:val="center"/>
              <w:rPr>
                <w:rFonts w:ascii="Times New Roman" w:hAnsi="Times New Roman"/>
                <w:sz w:val="17"/>
              </w:rPr>
            </w:pPr>
            <w:r>
              <w:rPr>
                <w:rFonts w:ascii="Times New Roman" w:hAnsi="Times New Roman"/>
                <w:sz w:val="17"/>
              </w:rPr>
              <w:t>Lending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Other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05"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0"/>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800 and above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22,262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21,759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6,234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50,954</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750-799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1,385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1,517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103,947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76,235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31,782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214,866</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700-749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36,372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25,628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24,671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89,710</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650-699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10,298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4,858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9,861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27,562</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600-649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7,332</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550-599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542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3,076</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500-549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1,635</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Under 500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466</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Unknown</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5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12,059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12,129</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360" w:right="0" w:hanging="0"/>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6,888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6,427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175,589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130,098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88,728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407,730</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Accrued interest included in total</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1,084</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800 and above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20,767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20,197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6,272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48,026</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750-799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100,191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74,154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31,483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208,972</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700-749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35,455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24,890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24,369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87,978</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650-699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10,581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9,840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28,162</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600-649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996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7,668</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550-599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3,360</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500-549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45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5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1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7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1,775</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Under 500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45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5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548</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Unknown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5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9,546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9,690</w:t>
            </w:r>
          </w:p>
        </w:tc>
        <w:tc>
          <w:tcPr>
            <w:tcW w:w="75" w:type="dxa"/>
            <w:tcBorders/>
            <w:shd w:fill="FFFFFF"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360" w:right="0" w:hanging="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7,437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7,044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169,894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125,836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85,968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396,179</w:t>
            </w:r>
          </w:p>
        </w:tc>
        <w:tc>
          <w:tcPr>
            <w:tcW w:w="75" w:type="dxa"/>
            <w:tcBorders/>
            <w:shd w:fill="CCEEFF" w:val="clear"/>
            <w:vAlign w:val="bottom"/>
          </w:tcPr>
          <w:p>
            <w:pPr>
              <w:pStyle w:val="TableContents"/>
              <w:spacing w:before="0" w:after="283"/>
              <w:jc w:val="left"/>
              <w:rPr/>
            </w:pPr>
            <w:r>
              <w:rPr/>
              <w:t> </w:t>
            </w:r>
          </w:p>
        </w:tc>
      </w:tr>
      <w:tr>
        <w:trPr/>
        <w:tc>
          <w:tcPr>
            <w:tcW w:w="233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Accrued interest included in total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5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311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1,030</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277" w:name="z9b5298a4c5d9453bad7b08eae2deb7af"/>
      <w:bookmarkStart w:id="278" w:name="z9b5298a4c5d9453bad7b08eae2deb7af"/>
      <w:bookmarkEnd w:id="278"/>
    </w:p>
    <w:tbl>
      <w:tblPr>
        <w:tblW w:w="4615" w:type="dxa"/>
        <w:jc w:val="left"/>
        <w:tblInd w:w="0" w:type="dxa"/>
        <w:tblCellMar>
          <w:top w:w="0" w:type="dxa"/>
          <w:left w:w="0" w:type="dxa"/>
          <w:bottom w:w="0" w:type="dxa"/>
          <w:right w:w="0" w:type="dxa"/>
        </w:tblCellMar>
      </w:tblPr>
      <w:tblGrid>
        <w:gridCol w:w="245"/>
        <w:gridCol w:w="437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437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Credit scores have been updated within the last twelve months.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Foreclosed residential real estate properties included in other real estate and repossessed assets on our Condensed Consolidated Statements of Financial Condition totaled $1.2 million at both March 31, 2019 and December 31, 2018.  Retail mortgage loans secured by residential real estate properties for which formal foreclosure proceedings are in process according to local requirements totaled $0.1 million and $0.3 million at March 31, 2019 and December 31,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These transactions were done primarily for asset/liability management purposes.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March 2018, we sold $16.5 million, of residential fixed and adjustable rate portfolio mortgage loans servicing retained to another financial institution and recognized a gain on sale of $0.05 million.  These mortgage loans were sold primarily for asset/liability management purposes.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9" w:name="DSPFPageBreakArea26"/>
      <w:bookmarkStart w:id="280" w:name="DSPFPageBreakArea26"/>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81" w:name="DSPFPageNumber26"/>
      <w:bookmarkStart w:id="282" w:name="DSPFPageNumberArea25"/>
      <w:bookmarkEnd w:id="281"/>
      <w:bookmarkEnd w:id="282"/>
      <w:r>
        <w:rPr>
          <w:rFonts w:ascii="Times New Roman" w:hAnsi="Times New Roman"/>
          <w:b w:val="false"/>
          <w:i w:val="false"/>
          <w:caps w:val="false"/>
          <w:smallCaps w:val="false"/>
          <w:sz w:val="13"/>
        </w:rPr>
        <w:t>27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3" w:name="DSPFPageBreak26"/>
      <w:bookmarkStart w:id="284" w:name="DSPFPageBreak2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85" w:name="DSPFPageHeader25"/>
        <w:bookmarkEnd w:id="285"/>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b/>
          <w:sz w:val="17"/>
          <w:u w:val="single"/>
        </w:rPr>
      </w:pPr>
      <w:r>
        <w:rPr>
          <w:rFonts w:ascii="Times New Roman" w:hAnsi="Times New Roman"/>
          <w:b/>
          <w:sz w:val="17"/>
          <w:u w:val="single"/>
        </w:rPr>
        <w:t>Purchase Credit Impaired (“PCI”) Loans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As a result of our acquisition of TCSB Bancorp, Inc. (“TCSB”) (see note #17)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pStyle w:val="TextBody"/>
        <w:spacing w:before="0" w:after="0"/>
        <w:rPr/>
      </w:pPr>
      <w:r>
        <w:rPr/>
      </w:r>
    </w:p>
    <w:p>
      <w:pPr>
        <w:pStyle w:val="Normal"/>
        <w:spacing w:before="0" w:after="0"/>
        <w:rPr>
          <w:sz w:val="4"/>
          <w:szCs w:val="4"/>
        </w:rPr>
      </w:pPr>
      <w:r>
        <w:rPr>
          <w:sz w:val="4"/>
          <w:szCs w:val="4"/>
        </w:rPr>
      </w:r>
      <w:bookmarkStart w:id="286" w:name="zf887ae93965241e6af6bbe60a50b6b8d"/>
      <w:bookmarkStart w:id="287" w:name="zf887ae93965241e6af6bbe60a50b6b8d"/>
      <w:bookmarkEnd w:id="287"/>
    </w:p>
    <w:tbl>
      <w:tblPr>
        <w:tblW w:w="5475" w:type="dxa"/>
        <w:jc w:val="left"/>
        <w:tblInd w:w="0" w:type="dxa"/>
        <w:tblCellMar>
          <w:top w:w="0" w:type="dxa"/>
          <w:left w:w="0" w:type="dxa"/>
          <w:bottom w:w="0" w:type="dxa"/>
          <w:right w:w="0" w:type="dxa"/>
        </w:tblCellMar>
      </w:tblPr>
      <w:tblGrid>
        <w:gridCol w:w="3485"/>
        <w:gridCol w:w="60"/>
        <w:gridCol w:w="152"/>
        <w:gridCol w:w="588"/>
        <w:gridCol w:w="60"/>
        <w:gridCol w:w="60"/>
        <w:gridCol w:w="204"/>
        <w:gridCol w:w="791"/>
        <w:gridCol w:w="75"/>
      </w:tblGrid>
      <w:tr>
        <w:trPr/>
        <w:tc>
          <w:tcPr>
            <w:tcW w:w="34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34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48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Commercial</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1,609</w:t>
            </w:r>
          </w:p>
        </w:tc>
        <w:tc>
          <w:tcPr>
            <w:tcW w:w="75" w:type="dxa"/>
            <w:tcBorders/>
            <w:shd w:fill="CCEEFF" w:val="clear"/>
            <w:vAlign w:val="bottom"/>
          </w:tcPr>
          <w:p>
            <w:pPr>
              <w:pStyle w:val="TableContents"/>
              <w:spacing w:before="0" w:after="283"/>
              <w:jc w:val="left"/>
              <w:rPr/>
            </w:pPr>
            <w:r>
              <w:rPr/>
              <w:t> </w:t>
            </w:r>
          </w:p>
        </w:tc>
      </w:tr>
      <w:tr>
        <w:trPr/>
        <w:tc>
          <w:tcPr>
            <w:tcW w:w="348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left"/>
              <w:rPr/>
            </w:pPr>
            <w:r>
              <w:rPr/>
              <w:t> </w:t>
            </w:r>
          </w:p>
        </w:tc>
        <w:tc>
          <w:tcPr>
            <w:tcW w:w="79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555</w:t>
            </w:r>
          </w:p>
        </w:tc>
        <w:tc>
          <w:tcPr>
            <w:tcW w:w="75" w:type="dxa"/>
            <w:tcBorders/>
            <w:shd w:fill="FFFFFF" w:val="clear"/>
            <w:vAlign w:val="bottom"/>
          </w:tcPr>
          <w:p>
            <w:pPr>
              <w:pStyle w:val="TableContents"/>
              <w:spacing w:before="0" w:after="283"/>
              <w:jc w:val="left"/>
              <w:rPr/>
            </w:pPr>
            <w:r>
              <w:rPr/>
              <w:t> </w:t>
            </w:r>
          </w:p>
        </w:tc>
      </w:tr>
      <w:tr>
        <w:trPr/>
        <w:tc>
          <w:tcPr>
            <w:tcW w:w="348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Installment</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349</w:t>
            </w:r>
          </w:p>
        </w:tc>
        <w:tc>
          <w:tcPr>
            <w:tcW w:w="75" w:type="dxa"/>
            <w:tcBorders/>
            <w:shd w:fill="CCEEFF" w:val="clear"/>
            <w:vAlign w:val="bottom"/>
          </w:tcPr>
          <w:p>
            <w:pPr>
              <w:pStyle w:val="TableContents"/>
              <w:spacing w:before="0" w:after="283"/>
              <w:jc w:val="left"/>
              <w:rPr/>
            </w:pPr>
            <w:r>
              <w:rPr/>
              <w:t> </w:t>
            </w:r>
          </w:p>
        </w:tc>
      </w:tr>
      <w:tr>
        <w:trPr/>
        <w:tc>
          <w:tcPr>
            <w:tcW w:w="348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carrying amount</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5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2,409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left"/>
              <w:rPr/>
            </w:pPr>
            <w:r>
              <w:rPr/>
              <w:t> </w:t>
            </w:r>
          </w:p>
        </w:tc>
        <w:tc>
          <w:tcPr>
            <w:tcW w:w="79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2,513</w:t>
            </w:r>
          </w:p>
        </w:tc>
        <w:tc>
          <w:tcPr>
            <w:tcW w:w="75" w:type="dxa"/>
            <w:tcBorders/>
            <w:shd w:fill="FFFFFF" w:val="clear"/>
            <w:vAlign w:val="bottom"/>
          </w:tcPr>
          <w:p>
            <w:pPr>
              <w:pStyle w:val="TableContents"/>
              <w:spacing w:before="0" w:after="283"/>
              <w:jc w:val="left"/>
              <w:rPr/>
            </w:pPr>
            <w:r>
              <w:rPr/>
              <w:t> </w:t>
            </w:r>
          </w:p>
        </w:tc>
      </w:tr>
      <w:tr>
        <w:trPr/>
        <w:tc>
          <w:tcPr>
            <w:tcW w:w="348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Allowance for loan losses</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48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Carrying amount, net of allowance for loan losses</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2,513</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totaled $0.04 million and zero during the three months ended March 31, 2019 and 2018, respectively.  Accretable yield of PCI loans, or income expected to be collected follows:</w:t>
      </w:r>
    </w:p>
    <w:p>
      <w:pPr>
        <w:pStyle w:val="TextBody"/>
        <w:spacing w:before="0" w:after="0"/>
        <w:rPr/>
      </w:pPr>
      <w:r>
        <w:rPr/>
      </w:r>
    </w:p>
    <w:p>
      <w:pPr>
        <w:pStyle w:val="Normal"/>
        <w:spacing w:before="0" w:after="0"/>
        <w:rPr>
          <w:sz w:val="4"/>
          <w:szCs w:val="4"/>
        </w:rPr>
      </w:pPr>
      <w:r>
        <w:rPr>
          <w:sz w:val="4"/>
          <w:szCs w:val="4"/>
        </w:rPr>
      </w:r>
      <w:bookmarkStart w:id="288" w:name="ze7c441a09f79402f8661c26db2573b2e"/>
      <w:bookmarkStart w:id="289" w:name="ze7c441a09f79402f8661c26db2573b2e"/>
      <w:bookmarkEnd w:id="289"/>
    </w:p>
    <w:tbl>
      <w:tblPr>
        <w:tblW w:w="5127" w:type="dxa"/>
        <w:jc w:val="left"/>
        <w:tblInd w:w="0" w:type="dxa"/>
        <w:tblCellMar>
          <w:top w:w="0" w:type="dxa"/>
          <w:left w:w="0" w:type="dxa"/>
          <w:bottom w:w="0" w:type="dxa"/>
          <w:right w:w="0" w:type="dxa"/>
        </w:tblCellMar>
      </w:tblPr>
      <w:tblGrid>
        <w:gridCol w:w="3545"/>
        <w:gridCol w:w="60"/>
        <w:gridCol w:w="217"/>
        <w:gridCol w:w="574"/>
        <w:gridCol w:w="158"/>
        <w:gridCol w:w="118"/>
        <w:gridCol w:w="218"/>
        <w:gridCol w:w="162"/>
        <w:gridCol w:w="75"/>
      </w:tblGrid>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7"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5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7"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(unaudited)</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7"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1"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462</w:t>
            </w:r>
          </w:p>
        </w:tc>
        <w:tc>
          <w:tcPr>
            <w:tcW w:w="15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New loans purchased</w:t>
            </w:r>
          </w:p>
        </w:tc>
        <w:tc>
          <w:tcPr>
            <w:tcW w:w="60" w:type="dxa"/>
            <w:tcBorders/>
            <w:shd w:fill="FFFFFF" w:val="clear"/>
            <w:vAlign w:val="bottom"/>
          </w:tcPr>
          <w:p>
            <w:pPr>
              <w:pStyle w:val="TableContents"/>
              <w:spacing w:before="0" w:after="283"/>
              <w:jc w:val="right"/>
              <w:rPr/>
            </w:pPr>
            <w:r>
              <w:rPr/>
              <w:t> </w:t>
            </w:r>
          </w:p>
        </w:tc>
        <w:tc>
          <w:tcPr>
            <w:tcW w:w="217" w:type="dxa"/>
            <w:tcBorders/>
            <w:shd w:fill="FFFFFF" w:val="clear"/>
            <w:vAlign w:val="bottom"/>
          </w:tcPr>
          <w:p>
            <w:pPr>
              <w:pStyle w:val="TableContents"/>
              <w:spacing w:before="0" w:after="283"/>
              <w:jc w:val="left"/>
              <w:rPr/>
            </w:pPr>
            <w:r>
              <w:rPr/>
              <w:t> </w:t>
            </w:r>
          </w:p>
        </w:tc>
        <w:tc>
          <w:tcPr>
            <w:tcW w:w="57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5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jc w:val="left"/>
              <w:rPr/>
            </w:pPr>
            <w:r>
              <w:rPr/>
              <w:t> </w:t>
            </w:r>
          </w:p>
        </w:tc>
        <w:tc>
          <w:tcPr>
            <w:tcW w:w="1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Accretion of income</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jc w:val="left"/>
              <w:rPr/>
            </w:pPr>
            <w:r>
              <w:rPr/>
              <w:t> </w:t>
            </w:r>
          </w:p>
        </w:tc>
        <w:tc>
          <w:tcPr>
            <w:tcW w:w="57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w:t>
            </w:r>
          </w:p>
        </w:tc>
        <w:tc>
          <w:tcPr>
            <w:tcW w:w="15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Reclassification from (to) nonaccretable difference</w:t>
            </w:r>
          </w:p>
        </w:tc>
        <w:tc>
          <w:tcPr>
            <w:tcW w:w="60" w:type="dxa"/>
            <w:tcBorders/>
            <w:shd w:fill="FFFFFF" w:val="clear"/>
            <w:vAlign w:val="bottom"/>
          </w:tcPr>
          <w:p>
            <w:pPr>
              <w:pStyle w:val="TableContents"/>
              <w:spacing w:before="0" w:after="283"/>
              <w:jc w:val="right"/>
              <w:rPr/>
            </w:pPr>
            <w:r>
              <w:rPr/>
              <w:t> </w:t>
            </w:r>
          </w:p>
        </w:tc>
        <w:tc>
          <w:tcPr>
            <w:tcW w:w="217" w:type="dxa"/>
            <w:tcBorders/>
            <w:shd w:fill="FFFFFF" w:val="clear"/>
            <w:vAlign w:val="bottom"/>
          </w:tcPr>
          <w:p>
            <w:pPr>
              <w:pStyle w:val="TableContents"/>
              <w:spacing w:before="0" w:after="283"/>
              <w:jc w:val="left"/>
              <w:rPr/>
            </w:pPr>
            <w:r>
              <w:rPr/>
              <w:t> </w:t>
            </w:r>
          </w:p>
        </w:tc>
        <w:tc>
          <w:tcPr>
            <w:tcW w:w="57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365</w:t>
            </w:r>
          </w:p>
        </w:tc>
        <w:tc>
          <w:tcPr>
            <w:tcW w:w="15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jc w:val="left"/>
              <w:rPr/>
            </w:pPr>
            <w:r>
              <w:rPr/>
              <w:t> </w:t>
            </w:r>
          </w:p>
        </w:tc>
        <w:tc>
          <w:tcPr>
            <w:tcW w:w="16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Displosals/other adjustments</w:t>
            </w:r>
          </w:p>
        </w:tc>
        <w:tc>
          <w:tcPr>
            <w:tcW w:w="60" w:type="dxa"/>
            <w:tcBorders/>
            <w:shd w:fill="CCEEFF" w:val="clear"/>
            <w:vAlign w:val="bottom"/>
          </w:tcPr>
          <w:p>
            <w:pPr>
              <w:pStyle w:val="TableContents"/>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Balance at end of period</w:t>
            </w:r>
          </w:p>
        </w:tc>
        <w:tc>
          <w:tcPr>
            <w:tcW w:w="60" w:type="dxa"/>
            <w:tcBorders/>
            <w:shd w:fill="FFFFFF" w:val="clear"/>
            <w:vAlign w:val="bottom"/>
          </w:tcPr>
          <w:p>
            <w:pPr>
              <w:pStyle w:val="TableContents"/>
              <w:spacing w:before="0" w:after="283"/>
              <w:jc w:val="right"/>
              <w:rPr/>
            </w:pPr>
            <w:r>
              <w:rPr/>
              <w:t> </w:t>
            </w:r>
          </w:p>
        </w:tc>
        <w:tc>
          <w:tcPr>
            <w:tcW w:w="21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788</w:t>
            </w:r>
          </w:p>
        </w:tc>
        <w:tc>
          <w:tcPr>
            <w:tcW w:w="15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21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6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0" w:name="DSPFPageBreakArea27"/>
      <w:bookmarkStart w:id="291" w:name="DSPFPageBreakArea27"/>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292" w:name="DSPFPageNumber27"/>
      <w:bookmarkStart w:id="293" w:name="DSPFPageNumberArea26"/>
      <w:bookmarkEnd w:id="292"/>
      <w:bookmarkEnd w:id="293"/>
      <w:r>
        <w:rPr>
          <w:rFonts w:ascii="Times New Roman" w:hAnsi="Times New Roman"/>
          <w:b w:val="false"/>
          <w:i w:val="false"/>
          <w:caps w:val="false"/>
          <w:smallCaps w:val="false"/>
          <w:sz w:val="13"/>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4" w:name="DSPFPageBreak27"/>
      <w:bookmarkStart w:id="295" w:name="DSPFPageBreak27"/>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296" w:name="DSPFPageHeader26"/>
        <w:bookmarkEnd w:id="29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5.   </w:t>
      </w:r>
      <w:r>
        <w:rPr>
          <w:rFonts w:ascii="Times New Roman" w:hAnsi="Times New Roman"/>
          <w:sz w:val="17"/>
          <w:u w:val="single"/>
        </w:rPr>
        <w:t>Shareholders’ Equity and Earnings Per Common Share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On December 18, 2018, our Board of Directors authorized a share repurchase plan (the “Repurchase Plan”) to buy back up to 5% of our outstanding common stock </w:t>
      </w:r>
      <w:r>
        <w:rPr>
          <w:rFonts w:ascii="Times New Roman" w:hAnsi="Times New Roman"/>
          <w:sz w:val="17"/>
          <w:highlight w:val="white"/>
        </w:rPr>
        <w:t xml:space="preserve">through December 31, 2019.  </w:t>
      </w:r>
      <w:r>
        <w:rPr>
          <w:rFonts w:ascii="Times New Roman" w:hAnsi="Times New Roman"/>
          <w:sz w:val="17"/>
        </w:rPr>
        <w:t>We expect to accomplish the repurchases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three month periods ended March 31, 2019 and 2018 repurchases were made through open market transactions and totaled 115,787 and zero shares of common stock, respectively for an aggregate purchase price of $2.5 million and zero,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reconciliation of basic and diluted net income per common share follows:</w:t>
      </w:r>
    </w:p>
    <w:p>
      <w:pPr>
        <w:pStyle w:val="TextBody"/>
        <w:spacing w:before="0" w:after="0"/>
        <w:rPr/>
      </w:pPr>
      <w:r>
        <w:rPr/>
      </w:r>
    </w:p>
    <w:p>
      <w:pPr>
        <w:pStyle w:val="Normal"/>
        <w:spacing w:before="0" w:after="0"/>
        <w:rPr>
          <w:sz w:val="4"/>
          <w:szCs w:val="4"/>
        </w:rPr>
      </w:pPr>
      <w:r>
        <w:rPr>
          <w:sz w:val="4"/>
          <w:szCs w:val="4"/>
        </w:rPr>
      </w:r>
      <w:bookmarkStart w:id="297" w:name="zd9e6c75db2fd4f6ead6aea57ea681648"/>
      <w:bookmarkStart w:id="298" w:name="zd9e6c75db2fd4f6ead6aea57ea681648"/>
      <w:bookmarkEnd w:id="298"/>
    </w:p>
    <w:tbl>
      <w:tblPr>
        <w:tblW w:w="7315" w:type="dxa"/>
        <w:jc w:val="left"/>
        <w:tblInd w:w="0" w:type="dxa"/>
        <w:tblCellMar>
          <w:top w:w="0" w:type="dxa"/>
          <w:left w:w="0" w:type="dxa"/>
          <w:bottom w:w="0" w:type="dxa"/>
          <w:right w:w="0" w:type="dxa"/>
        </w:tblCellMar>
      </w:tblPr>
      <w:tblGrid>
        <w:gridCol w:w="5675"/>
        <w:gridCol w:w="60"/>
        <w:gridCol w:w="120"/>
        <w:gridCol w:w="565"/>
        <w:gridCol w:w="65"/>
        <w:gridCol w:w="65"/>
        <w:gridCol w:w="120"/>
        <w:gridCol w:w="570"/>
        <w:gridCol w:w="75"/>
      </w:tblGrid>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75" w:type="dxa"/>
            <w:tcBorders/>
            <w:shd w:fill="auto"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6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6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 except</w:t>
            </w:r>
          </w:p>
          <w:p>
            <w:pPr>
              <w:pStyle w:val="TableContents"/>
              <w:spacing w:before="0" w:after="0"/>
              <w:jc w:val="center"/>
              <w:rPr>
                <w:rFonts w:ascii="Times New Roman" w:hAnsi="Times New Roman"/>
                <w:sz w:val="17"/>
              </w:rPr>
            </w:pPr>
            <w:r>
              <w:rPr>
                <w:rFonts w:ascii="Times New Roman" w:hAnsi="Times New Roman"/>
                <w:sz w:val="17"/>
              </w:rPr>
              <w:t>per share data)</w:t>
            </w:r>
          </w:p>
        </w:tc>
        <w:tc>
          <w:tcPr>
            <w:tcW w:w="75" w:type="dxa"/>
            <w:tcBorders/>
            <w:shd w:fill="auto"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9,381</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9,161</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7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Weighted average shares outstanding (1)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23,588</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7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21,365</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Effect of stock options</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7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135</w:t>
            </w:r>
          </w:p>
        </w:tc>
        <w:tc>
          <w:tcPr>
            <w:tcW w:w="75" w:type="dxa"/>
            <w:tcBorders/>
            <w:shd w:fill="FFFFFF"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Stock units for deferred compensation plan for non-employee directors</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130</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7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125</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Performance share units</w:t>
            </w:r>
          </w:p>
        </w:tc>
        <w:tc>
          <w:tcPr>
            <w:tcW w:w="60"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2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7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w:t>
            </w:r>
          </w:p>
        </w:tc>
        <w:tc>
          <w:tcPr>
            <w:tcW w:w="75" w:type="dxa"/>
            <w:tcBorders/>
            <w:shd w:fill="FFFFFF"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Weighted average shares outstanding for calculation of diluted earnings per share</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23,885</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7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21,674</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65"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57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income per common share</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65"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57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Basic (1)</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0.40</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0.43</w:t>
            </w:r>
          </w:p>
        </w:tc>
        <w:tc>
          <w:tcPr>
            <w:tcW w:w="75" w:type="dxa"/>
            <w:tcBorders/>
            <w:shd w:fill="FFFFFF"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0.39</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0.42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lineRule="auto" w:line="240" w:before="0" w:after="0"/>
        <w:jc w:val="both"/>
        <w:rPr>
          <w:rFonts w:ascii="Times New Roman" w:hAnsi="Times New Roman"/>
          <w:sz w:val="17"/>
        </w:rPr>
      </w:pPr>
      <w:r>
        <w:rPr>
          <w:rFonts w:ascii="Times New Roman" w:hAnsi="Times New Roman"/>
          <w:sz w:val="17"/>
        </w:rPr>
        <w:t>(1)Basic net income per common share includes weighted average common shares outstanding during the period and participating share awards.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Weighted average stock options outstanding that were not considered in computing diluted net income per common share because they were anti-dilutive were zero for both the three month periods ended March 31, 2019 and 2018.</w:t>
      </w:r>
    </w:p>
    <w:p>
      <w:pPr>
        <w:pStyle w:val="TextBody"/>
        <w:spacing w:before="0" w:after="0"/>
        <w:rPr/>
      </w:pPr>
      <w:r>
        <w:rPr/>
      </w:r>
    </w:p>
    <w:p>
      <w:pPr>
        <w:pStyle w:val="TextBody"/>
        <w:spacing w:before="0" w:after="0"/>
        <w:jc w:val="both"/>
        <w:rPr/>
      </w:pPr>
      <w:r>
        <w:rPr>
          <w:rFonts w:ascii="Times New Roman" w:hAnsi="Times New Roman"/>
          <w:sz w:val="17"/>
        </w:rPr>
        <w:t>6.</w:t>
      </w:r>
      <w:r>
        <w:rPr/>
        <w:t xml:space="preserve">   </w:t>
      </w:r>
      <w:r>
        <w:rPr>
          <w:rFonts w:ascii="Times New Roman" w:hAnsi="Times New Roman"/>
          <w:sz w:val="17"/>
          <w:u w:val="single"/>
        </w:rPr>
        <w:t>Derivative Financial Instruments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9" w:name="DSPFPageBreakArea28"/>
      <w:bookmarkStart w:id="300" w:name="DSPFPageBreakArea28"/>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01" w:name="DSPFPageNumber28"/>
      <w:bookmarkStart w:id="302" w:name="DSPFPageNumberArea27"/>
      <w:bookmarkEnd w:id="301"/>
      <w:bookmarkEnd w:id="302"/>
      <w:r>
        <w:rPr>
          <w:rFonts w:ascii="Times New Roman" w:hAnsi="Times New Roman"/>
          <w:b w:val="false"/>
          <w:i w:val="false"/>
          <w:caps w:val="false"/>
          <w:smallCaps w:val="false"/>
          <w:sz w:val="13"/>
        </w:rPr>
        <w:t>29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3" w:name="DSPFPageBreak28"/>
      <w:bookmarkStart w:id="304" w:name="DSPFPageBreak28"/>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05" w:name="DSPFPageHeader27"/>
        <w:bookmarkEnd w:id="305"/>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derivative financial instruments according to the type of hedge in which they are designated follows:</w:t>
      </w:r>
    </w:p>
    <w:p>
      <w:pPr>
        <w:pStyle w:val="TextBody"/>
        <w:spacing w:before="0" w:after="0"/>
        <w:rPr/>
      </w:pPr>
      <w:r>
        <w:rPr/>
      </w:r>
    </w:p>
    <w:p>
      <w:pPr>
        <w:pStyle w:val="Normal"/>
        <w:spacing w:before="0" w:after="0"/>
        <w:rPr>
          <w:sz w:val="4"/>
          <w:szCs w:val="4"/>
        </w:rPr>
      </w:pPr>
      <w:r>
        <w:rPr>
          <w:sz w:val="4"/>
          <w:szCs w:val="4"/>
        </w:rPr>
      </w:r>
      <w:bookmarkStart w:id="306" w:name="z1d299c07b1df46049b97a935f5f6465e"/>
      <w:bookmarkStart w:id="307" w:name="z1d299c07b1df46049b97a935f5f6465e"/>
      <w:bookmarkEnd w:id="307"/>
    </w:p>
    <w:tbl>
      <w:tblPr>
        <w:tblW w:w="6185" w:type="dxa"/>
        <w:jc w:val="left"/>
        <w:tblInd w:w="0" w:type="dxa"/>
        <w:tblCellMar>
          <w:top w:w="0" w:type="dxa"/>
          <w:left w:w="0" w:type="dxa"/>
          <w:bottom w:w="0" w:type="dxa"/>
          <w:right w:w="0" w:type="dxa"/>
        </w:tblCellMar>
      </w:tblPr>
      <w:tblGrid>
        <w:gridCol w:w="3920"/>
        <w:gridCol w:w="60"/>
        <w:gridCol w:w="110"/>
        <w:gridCol w:w="605"/>
        <w:gridCol w:w="60"/>
        <w:gridCol w:w="60"/>
        <w:gridCol w:w="121"/>
        <w:gridCol w:w="499"/>
        <w:gridCol w:w="60"/>
        <w:gridCol w:w="60"/>
        <w:gridCol w:w="110"/>
        <w:gridCol w:w="425"/>
        <w:gridCol w:w="95"/>
      </w:tblGrid>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Notional</w:t>
            </w:r>
          </w:p>
          <w:p>
            <w:pPr>
              <w:pStyle w:val="TableContents"/>
              <w:spacing w:before="0" w:after="0"/>
              <w:jc w:val="center"/>
              <w:rPr>
                <w:rFonts w:ascii="Times New Roman" w:hAnsi="Times New Roman"/>
                <w:sz w:val="17"/>
              </w:rPr>
            </w:pPr>
            <w:r>
              <w:rPr>
                <w:rFonts w:ascii="Times New Roman" w:hAnsi="Times New Roman"/>
                <w:sz w:val="17"/>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Maturity</w:t>
            </w:r>
          </w:p>
          <w:p>
            <w:pPr>
              <w:pStyle w:val="TableContents"/>
              <w:spacing w:before="0" w:after="0"/>
              <w:jc w:val="center"/>
              <w:rPr>
                <w:rFonts w:ascii="Times New Roman" w:hAnsi="Times New Roman"/>
                <w:sz w:val="17"/>
              </w:rPr>
            </w:pPr>
            <w:r>
              <w:rPr>
                <w:rFonts w:ascii="Times New Roman" w:hAnsi="Times New Roman"/>
                <w:sz w:val="17"/>
              </w:rPr>
              <w:t>(years)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0"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flow hedge designation</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122</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 rate cap agreements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150,000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1,255</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1,377</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 hedge designation</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Rate-lock mortgage loan commitments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47,345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1,316</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Mandatory commitments to sell mortgage loans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69,762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(209</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 - commercial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97,083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(742</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Pay-variable interest rate swap agreements - commercial</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97,083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742</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Purchased options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202</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Written options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(200</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317,403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1,109</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308" w:name="zc713e9aaaadb44ba838754a6971658bc"/>
      <w:bookmarkStart w:id="309" w:name="zc713e9aaaadb44ba838754a6971658bc"/>
      <w:bookmarkEnd w:id="309"/>
    </w:p>
    <w:tbl>
      <w:tblPr>
        <w:tblW w:w="6185" w:type="dxa"/>
        <w:jc w:val="left"/>
        <w:tblInd w:w="0" w:type="dxa"/>
        <w:tblCellMar>
          <w:top w:w="0" w:type="dxa"/>
          <w:left w:w="0" w:type="dxa"/>
          <w:bottom w:w="0" w:type="dxa"/>
          <w:right w:w="0" w:type="dxa"/>
        </w:tblCellMar>
      </w:tblPr>
      <w:tblGrid>
        <w:gridCol w:w="3920"/>
        <w:gridCol w:w="60"/>
        <w:gridCol w:w="110"/>
        <w:gridCol w:w="605"/>
        <w:gridCol w:w="60"/>
        <w:gridCol w:w="60"/>
        <w:gridCol w:w="121"/>
        <w:gridCol w:w="499"/>
        <w:gridCol w:w="60"/>
        <w:gridCol w:w="60"/>
        <w:gridCol w:w="110"/>
        <w:gridCol w:w="425"/>
        <w:gridCol w:w="95"/>
      </w:tblGrid>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 2018</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Notional</w:t>
            </w:r>
          </w:p>
          <w:p>
            <w:pPr>
              <w:pStyle w:val="TableContents"/>
              <w:spacing w:before="0" w:after="0"/>
              <w:jc w:val="center"/>
              <w:rPr>
                <w:rFonts w:ascii="Times New Roman" w:hAnsi="Times New Roman"/>
                <w:sz w:val="17"/>
              </w:rPr>
            </w:pPr>
            <w:r>
              <w:rPr>
                <w:rFonts w:ascii="Times New Roman" w:hAnsi="Times New Roman"/>
                <w:sz w:val="17"/>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Maturity</w:t>
            </w:r>
          </w:p>
          <w:p>
            <w:pPr>
              <w:pStyle w:val="TableContents"/>
              <w:spacing w:before="0" w:after="0"/>
              <w:jc w:val="center"/>
              <w:rPr>
                <w:rFonts w:ascii="Times New Roman" w:hAnsi="Times New Roman"/>
                <w:sz w:val="17"/>
              </w:rPr>
            </w:pPr>
            <w:r>
              <w:rPr>
                <w:rFonts w:ascii="Times New Roman" w:hAnsi="Times New Roman"/>
                <w:sz w:val="17"/>
              </w:rPr>
              <w:t>(years)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0"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95" w:type="dxa"/>
            <w:tcBorders/>
            <w:shd w:fill="auto" w:val="clear"/>
            <w:vAlign w:val="bottom"/>
          </w:tcPr>
          <w:p>
            <w:pPr>
              <w:pStyle w:val="TableContents"/>
              <w:spacing w:before="0" w:after="283"/>
              <w:jc w:val="left"/>
              <w:rPr/>
            </w:pPr>
            <w:r>
              <w:rPr/>
              <w:t> </w:t>
            </w:r>
          </w:p>
        </w:tc>
      </w:tr>
      <w:tr>
        <w:trPr/>
        <w:tc>
          <w:tcPr>
            <w:tcW w:w="392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flow hedge designation</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280</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 rate cap agreements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150,000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2,245</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175,000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No hedge designation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Rate-lock mortgage loan commitments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32,473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687</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Mandatory commitments to sell mortgage loans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57,583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 - commercial</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94,451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405</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Pay-variable interest rate swap agreements - commercial</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94,451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(405</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Purchased options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116</w:t>
            </w:r>
          </w:p>
        </w:tc>
        <w:tc>
          <w:tcPr>
            <w:tcW w:w="95" w:type="dxa"/>
            <w:tcBorders/>
            <w:shd w:fill="FFFFFF" w:val="clear"/>
            <w:vAlign w:val="bottom"/>
          </w:tcPr>
          <w:p>
            <w:pPr>
              <w:pStyle w:val="TableContents"/>
              <w:spacing w:before="0" w:after="283"/>
              <w:jc w:val="left"/>
              <w:rPr/>
            </w:pPr>
            <w:r>
              <w:rPr/>
              <w:t> </w:t>
            </w:r>
          </w:p>
        </w:tc>
      </w:tr>
      <w:tr>
        <w:trPr/>
        <w:tc>
          <w:tcPr>
            <w:tcW w:w="392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Written options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4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92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285,148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c>
          <w:tcPr>
            <w:tcW w:w="4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304</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0" w:name="DSPFPageBreakArea29"/>
      <w:bookmarkStart w:id="311" w:name="DSPFPageBreakArea29"/>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12" w:name="DSPFPageNumber29"/>
      <w:bookmarkStart w:id="313" w:name="DSPFPageNumberArea28"/>
      <w:bookmarkEnd w:id="312"/>
      <w:bookmarkEnd w:id="313"/>
      <w:r>
        <w:rPr>
          <w:rFonts w:ascii="Times New Roman" w:hAnsi="Times New Roman"/>
          <w:b w:val="false"/>
          <w:i w:val="false"/>
          <w:caps w:val="false"/>
          <w:smallCaps w:val="false"/>
          <w:sz w:val="13"/>
        </w:rPr>
        <w:t>30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4" w:name="DSPFPageBreak29"/>
      <w:bookmarkStart w:id="315" w:name="DSPFPageBreak29"/>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16" w:name="DSPFPageHeader28"/>
        <w:bookmarkEnd w:id="31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$2.6 million at March 31, 2019 and $2.7 million at December 31,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$0.47 million, of unrealized gains on Cash Flow Hedges at March 31, 2019 will be reclassified to earnings over the next twelve months.  To the extent that the Cash Flow Hedges are not effective, the ineffective portion of the Cash Flow Hedges is immediately recognized in interest expense.  The maximum term of the Cash Flow Hedge at March 31, 2019 is 4.5 years.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7" w:name="DSPFPageBreakArea30"/>
      <w:bookmarkStart w:id="318" w:name="DSPFPageBreakArea30"/>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19" w:name="DSPFPageNumber30"/>
      <w:bookmarkStart w:id="320" w:name="DSPFPageNumberArea29"/>
      <w:bookmarkEnd w:id="319"/>
      <w:bookmarkEnd w:id="320"/>
      <w:r>
        <w:rPr>
          <w:rFonts w:ascii="Times New Roman" w:hAnsi="Times New Roman"/>
          <w:b w:val="false"/>
          <w:i w:val="false"/>
          <w:caps w:val="false"/>
          <w:smallCaps w:val="false"/>
          <w:sz w:val="13"/>
        </w:rPr>
        <w:t>31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1" w:name="DSPFPageBreak30"/>
      <w:bookmarkStart w:id="322" w:name="DSPFPageBreak30"/>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23" w:name="DSPFPageHeader29"/>
        <w:bookmarkEnd w:id="32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tables illustrate the impact that the derivative financial instruments discussed above have on individual line items in the Condensed Consolidated Statements of Financial Condition for the periods presented: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Fair Values of Derivative Instruments</w:t>
      </w:r>
    </w:p>
    <w:p>
      <w:pPr>
        <w:pStyle w:val="TextBody"/>
        <w:spacing w:before="0" w:after="0"/>
        <w:rPr/>
      </w:pPr>
      <w:r>
        <w:rPr/>
      </w:r>
    </w:p>
    <w:p>
      <w:pPr>
        <w:pStyle w:val="Normal"/>
        <w:spacing w:before="0" w:after="0"/>
        <w:rPr>
          <w:sz w:val="4"/>
          <w:szCs w:val="4"/>
        </w:rPr>
      </w:pPr>
      <w:r>
        <w:rPr>
          <w:sz w:val="4"/>
          <w:szCs w:val="4"/>
        </w:rPr>
      </w:r>
      <w:bookmarkStart w:id="324" w:name="z510ac4325f1f4322a6fd9ae5b82e464f"/>
      <w:bookmarkStart w:id="325" w:name="z510ac4325f1f4322a6fd9ae5b82e464f"/>
      <w:bookmarkEnd w:id="325"/>
    </w:p>
    <w:tbl>
      <w:tblPr>
        <w:tblW w:w="10205" w:type="dxa"/>
        <w:jc w:val="left"/>
        <w:tblInd w:w="0" w:type="dxa"/>
        <w:tblCellMar>
          <w:top w:w="0" w:type="dxa"/>
          <w:left w:w="0" w:type="dxa"/>
          <w:bottom w:w="0" w:type="dxa"/>
          <w:right w:w="0" w:type="dxa"/>
        </w:tblCellMar>
      </w:tblPr>
      <w:tblGrid>
        <w:gridCol w:w="3765"/>
        <w:gridCol w:w="823"/>
        <w:gridCol w:w="60"/>
        <w:gridCol w:w="110"/>
        <w:gridCol w:w="425"/>
        <w:gridCol w:w="60"/>
        <w:gridCol w:w="882"/>
        <w:gridCol w:w="60"/>
        <w:gridCol w:w="110"/>
        <w:gridCol w:w="425"/>
        <w:gridCol w:w="60"/>
        <w:gridCol w:w="1056"/>
        <w:gridCol w:w="60"/>
        <w:gridCol w:w="110"/>
        <w:gridCol w:w="425"/>
        <w:gridCol w:w="60"/>
        <w:gridCol w:w="1056"/>
        <w:gridCol w:w="60"/>
        <w:gridCol w:w="110"/>
        <w:gridCol w:w="425"/>
        <w:gridCol w:w="63"/>
      </w:tblGrid>
      <w:tr>
        <w:trPr/>
        <w:tc>
          <w:tcPr>
            <w:tcW w:w="3765" w:type="dxa"/>
            <w:tcBorders/>
            <w:shd w:fill="auto" w:val="clear"/>
            <w:vAlign w:val="bottom"/>
          </w:tcPr>
          <w:p>
            <w:pPr>
              <w:pStyle w:val="TableContents"/>
              <w:spacing w:before="0" w:after="283"/>
              <w:rPr/>
            </w:pPr>
            <w:r>
              <w:rPr/>
              <w:t> </w:t>
            </w:r>
          </w:p>
        </w:tc>
        <w:tc>
          <w:tcPr>
            <w:tcW w:w="2955" w:type="dxa"/>
            <w:gridSpan w:val="9"/>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Asset Derivatives</w:t>
            </w:r>
          </w:p>
        </w:tc>
        <w:tc>
          <w:tcPr>
            <w:tcW w:w="60" w:type="dxa"/>
            <w:tcBorders/>
            <w:shd w:fill="auto" w:val="clear"/>
            <w:vAlign w:val="bottom"/>
          </w:tcPr>
          <w:p>
            <w:pPr>
              <w:pStyle w:val="TableContents"/>
              <w:spacing w:before="0" w:after="283"/>
              <w:jc w:val="left"/>
              <w:rPr/>
            </w:pPr>
            <w:r>
              <w:rPr/>
              <w:t> </w:t>
            </w:r>
          </w:p>
        </w:tc>
        <w:tc>
          <w:tcPr>
            <w:tcW w:w="3362" w:type="dxa"/>
            <w:gridSpan w:val="9"/>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Liability Derivatives</w:t>
            </w:r>
          </w:p>
        </w:tc>
        <w:tc>
          <w:tcPr>
            <w:tcW w:w="63"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283"/>
              <w:rPr/>
            </w:pPr>
            <w:r>
              <w:rPr/>
              <w:t> </w:t>
            </w:r>
          </w:p>
        </w:tc>
        <w:tc>
          <w:tcPr>
            <w:tcW w:w="1418"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1477"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60" w:type="dxa"/>
            <w:tcBorders/>
            <w:shd w:fill="auto" w:val="clear"/>
            <w:vAlign w:val="bottom"/>
          </w:tcPr>
          <w:p>
            <w:pPr>
              <w:pStyle w:val="TableContents"/>
              <w:spacing w:before="0" w:after="283"/>
              <w:jc w:val="left"/>
              <w:rPr/>
            </w:pPr>
            <w:r>
              <w:rPr/>
              <w:t> </w:t>
            </w:r>
          </w:p>
        </w:tc>
        <w:tc>
          <w:tcPr>
            <w:tcW w:w="1651"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1651" w:type="dxa"/>
            <w:gridSpan w:val="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63"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283"/>
              <w:rPr/>
            </w:pPr>
            <w:r>
              <w:rPr/>
            </w:r>
          </w:p>
        </w:tc>
        <w:tc>
          <w:tcPr>
            <w:tcW w:w="823"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Balance</w:t>
            </w:r>
          </w:p>
          <w:p>
            <w:pPr>
              <w:pStyle w:val="TableContents"/>
              <w:spacing w:before="0" w:after="0"/>
              <w:jc w:val="center"/>
              <w:rPr>
                <w:rFonts w:ascii="Times New Roman" w:hAnsi="Times New Roman"/>
                <w:sz w:val="17"/>
              </w:rPr>
            </w:pPr>
            <w:r>
              <w:rPr>
                <w:rFonts w:ascii="Times New Roman" w:hAnsi="Times New Roman"/>
                <w:sz w:val="17"/>
              </w:rPr>
              <w:t>Sheet</w:t>
            </w:r>
          </w:p>
          <w:p>
            <w:pPr>
              <w:pStyle w:val="TableContents"/>
              <w:spacing w:before="0" w:after="0"/>
              <w:jc w:val="center"/>
              <w:rPr>
                <w:rFonts w:ascii="Times New Roman" w:hAnsi="Times New Roman"/>
                <w:sz w:val="17"/>
              </w:rPr>
            </w:pPr>
            <w:r>
              <w:rPr>
                <w:rFonts w:ascii="Times New Roman" w:hAnsi="Times New Roman"/>
                <w:sz w:val="17"/>
              </w:rPr>
              <w:t>Location</w:t>
            </w:r>
          </w:p>
        </w:tc>
        <w:tc>
          <w:tcPr>
            <w:tcW w:w="60" w:type="dxa"/>
            <w:tcBorders/>
            <w:shd w:fill="auto" w:val="clear"/>
            <w:vAlign w:val="bottom"/>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0" w:type="dxa"/>
            <w:tcBorders/>
            <w:shd w:fill="auto" w:val="clear"/>
            <w:vAlign w:val="bottom"/>
          </w:tcPr>
          <w:p>
            <w:pPr>
              <w:pStyle w:val="TableContents"/>
              <w:spacing w:before="0" w:after="283"/>
              <w:jc w:val="center"/>
              <w:rPr/>
            </w:pPr>
            <w:r>
              <w:rPr/>
              <w:t> </w:t>
            </w:r>
          </w:p>
        </w:tc>
        <w:tc>
          <w:tcPr>
            <w:tcW w:w="882" w:type="dxa"/>
            <w:tcBorders>
              <w:bottom w:val="single" w:sz="12" w:space="0" w:color="000000"/>
            </w:tcBorders>
            <w:shd w:fill="auto" w:val="clear"/>
            <w:tcMar>
              <w:bottom w:w="28" w:type="dxa"/>
            </w:tcMar>
            <w:vAlign w:val="bottom"/>
          </w:tcPr>
          <w:p>
            <w:pPr>
              <w:pStyle w:val="TableContents"/>
              <w:spacing w:before="0" w:after="0"/>
              <w:jc w:val="center"/>
              <w:rPr/>
            </w:pPr>
            <w:r>
              <w:rPr/>
              <w:t> </w:t>
            </w:r>
            <w:r>
              <w:rPr>
                <w:rFonts w:ascii="Times New Roman" w:hAnsi="Times New Roman"/>
                <w:sz w:val="17"/>
              </w:rPr>
              <w:t>Balance</w:t>
            </w:r>
          </w:p>
          <w:p>
            <w:pPr>
              <w:pStyle w:val="TableContents"/>
              <w:spacing w:before="0" w:after="0"/>
              <w:jc w:val="center"/>
              <w:rPr/>
            </w:pPr>
            <w:r>
              <w:rPr/>
              <w:t> </w:t>
            </w:r>
            <w:r>
              <w:rPr>
                <w:rFonts w:ascii="Times New Roman" w:hAnsi="Times New Roman"/>
                <w:sz w:val="17"/>
              </w:rPr>
              <w:t>Sheet</w:t>
            </w:r>
          </w:p>
          <w:p>
            <w:pPr>
              <w:pStyle w:val="TableContents"/>
              <w:spacing w:before="0" w:after="0"/>
              <w:jc w:val="center"/>
              <w:rPr>
                <w:rFonts w:ascii="Times New Roman" w:hAnsi="Times New Roman"/>
                <w:sz w:val="17"/>
              </w:rPr>
            </w:pPr>
            <w:r>
              <w:rPr>
                <w:rFonts w:ascii="Times New Roman" w:hAnsi="Times New Roman"/>
                <w:sz w:val="17"/>
              </w:rPr>
              <w:t>Location</w:t>
            </w:r>
          </w:p>
        </w:tc>
        <w:tc>
          <w:tcPr>
            <w:tcW w:w="60" w:type="dxa"/>
            <w:tcBorders/>
            <w:shd w:fill="auto" w:val="clear"/>
            <w:vAlign w:val="bottom"/>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0" w:type="dxa"/>
            <w:tcBorders/>
            <w:shd w:fill="auto" w:val="clear"/>
            <w:vAlign w:val="bottom"/>
          </w:tcPr>
          <w:p>
            <w:pPr>
              <w:pStyle w:val="TableContents"/>
              <w:spacing w:before="0" w:after="283"/>
              <w:jc w:val="center"/>
              <w:rPr/>
            </w:pPr>
            <w:r>
              <w:rPr/>
              <w:t> </w:t>
            </w:r>
          </w:p>
        </w:tc>
        <w:tc>
          <w:tcPr>
            <w:tcW w:w="1056" w:type="dxa"/>
            <w:tcBorders>
              <w:bottom w:val="single" w:sz="12" w:space="0" w:color="000000"/>
            </w:tcBorders>
            <w:shd w:fill="auto" w:val="clear"/>
            <w:tcMar>
              <w:bottom w:w="28" w:type="dxa"/>
            </w:tcMar>
            <w:vAlign w:val="bottom"/>
          </w:tcPr>
          <w:p>
            <w:pPr>
              <w:pStyle w:val="TableContents"/>
              <w:spacing w:before="0" w:after="0"/>
              <w:jc w:val="center"/>
              <w:rPr/>
            </w:pPr>
            <w:r>
              <w:rPr/>
              <w:t> </w:t>
            </w:r>
            <w:r>
              <w:rPr>
                <w:rFonts w:ascii="Times New Roman" w:hAnsi="Times New Roman"/>
                <w:sz w:val="17"/>
              </w:rPr>
              <w:t>Balance</w:t>
            </w:r>
          </w:p>
          <w:p>
            <w:pPr>
              <w:pStyle w:val="TableContents"/>
              <w:spacing w:before="0" w:after="0"/>
              <w:jc w:val="center"/>
              <w:rPr/>
            </w:pPr>
            <w:r>
              <w:rPr/>
              <w:t> </w:t>
            </w:r>
            <w:r>
              <w:rPr>
                <w:rFonts w:ascii="Times New Roman" w:hAnsi="Times New Roman"/>
                <w:sz w:val="17"/>
              </w:rPr>
              <w:t>Sheet</w:t>
            </w:r>
          </w:p>
          <w:p>
            <w:pPr>
              <w:pStyle w:val="TableContents"/>
              <w:spacing w:before="0" w:after="0"/>
              <w:jc w:val="center"/>
              <w:rPr>
                <w:rFonts w:ascii="Times New Roman" w:hAnsi="Times New Roman"/>
                <w:sz w:val="17"/>
              </w:rPr>
            </w:pPr>
            <w:r>
              <w:rPr>
                <w:rFonts w:ascii="Times New Roman" w:hAnsi="Times New Roman"/>
                <w:sz w:val="17"/>
              </w:rPr>
              <w:t>Location</w:t>
            </w:r>
          </w:p>
        </w:tc>
        <w:tc>
          <w:tcPr>
            <w:tcW w:w="60" w:type="dxa"/>
            <w:tcBorders/>
            <w:shd w:fill="auto" w:val="clear"/>
            <w:vAlign w:val="bottom"/>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0" w:type="dxa"/>
            <w:tcBorders/>
            <w:shd w:fill="auto" w:val="clear"/>
            <w:vAlign w:val="bottom"/>
          </w:tcPr>
          <w:p>
            <w:pPr>
              <w:pStyle w:val="TableContents"/>
              <w:spacing w:before="0" w:after="283"/>
              <w:jc w:val="center"/>
              <w:rPr/>
            </w:pPr>
            <w:r>
              <w:rPr/>
              <w:t> </w:t>
            </w:r>
          </w:p>
        </w:tc>
        <w:tc>
          <w:tcPr>
            <w:tcW w:w="1056" w:type="dxa"/>
            <w:tcBorders>
              <w:bottom w:val="single" w:sz="12" w:space="0" w:color="000000"/>
            </w:tcBorders>
            <w:shd w:fill="auto" w:val="clear"/>
            <w:tcMar>
              <w:bottom w:w="28" w:type="dxa"/>
            </w:tcMar>
            <w:vAlign w:val="bottom"/>
          </w:tcPr>
          <w:p>
            <w:pPr>
              <w:pStyle w:val="TableContents"/>
              <w:spacing w:before="0" w:after="0"/>
              <w:jc w:val="center"/>
              <w:rPr/>
            </w:pPr>
            <w:r>
              <w:rPr/>
              <w:t> </w:t>
            </w:r>
            <w:r>
              <w:rPr>
                <w:rFonts w:ascii="Times New Roman" w:hAnsi="Times New Roman"/>
                <w:sz w:val="17"/>
              </w:rPr>
              <w:t>Balance</w:t>
            </w:r>
          </w:p>
          <w:p>
            <w:pPr>
              <w:pStyle w:val="TableContents"/>
              <w:spacing w:before="0" w:after="0"/>
              <w:jc w:val="center"/>
              <w:rPr/>
            </w:pPr>
            <w:r>
              <w:rPr/>
              <w:t> </w:t>
            </w:r>
            <w:r>
              <w:rPr>
                <w:rFonts w:ascii="Times New Roman" w:hAnsi="Times New Roman"/>
                <w:sz w:val="17"/>
              </w:rPr>
              <w:t>Sheet</w:t>
            </w:r>
          </w:p>
          <w:p>
            <w:pPr>
              <w:pStyle w:val="TableContents"/>
              <w:spacing w:before="0" w:after="0"/>
              <w:jc w:val="center"/>
              <w:rPr>
                <w:rFonts w:ascii="Times New Roman" w:hAnsi="Times New Roman"/>
                <w:sz w:val="17"/>
              </w:rPr>
            </w:pPr>
            <w:r>
              <w:rPr>
                <w:rFonts w:ascii="Times New Roman" w:hAnsi="Times New Roman"/>
                <w:sz w:val="17"/>
              </w:rPr>
              <w:t>Location</w:t>
            </w:r>
          </w:p>
        </w:tc>
        <w:tc>
          <w:tcPr>
            <w:tcW w:w="60" w:type="dxa"/>
            <w:tcBorders/>
            <w:shd w:fill="auto" w:val="clear"/>
            <w:vAlign w:val="bottom"/>
          </w:tcPr>
          <w:p>
            <w:pPr>
              <w:pStyle w:val="TableContents"/>
              <w:spacing w:before="0" w:after="283"/>
              <w:jc w:val="center"/>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3"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283"/>
              <w:rPr/>
            </w:pPr>
            <w:r>
              <w:rPr/>
              <w:t> </w:t>
            </w:r>
          </w:p>
        </w:tc>
        <w:tc>
          <w:tcPr>
            <w:tcW w:w="6377" w:type="dxa"/>
            <w:gridSpan w:val="19"/>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3"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r>
      <w:tr>
        <w:trPr/>
        <w:tc>
          <w:tcPr>
            <w:tcW w:w="376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Derivatives designated as hedging instruments</w:t>
            </w:r>
          </w:p>
        </w:tc>
        <w:tc>
          <w:tcPr>
            <w:tcW w:w="8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w:t>
            </w:r>
          </w:p>
        </w:tc>
        <w:tc>
          <w:tcPr>
            <w:tcW w:w="8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122</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280</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Interest rate cap agreements</w:t>
            </w:r>
          </w:p>
        </w:tc>
        <w:tc>
          <w:tcPr>
            <w:tcW w:w="82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1,255</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2,245</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1,377</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Derivatives not designated as hedging instruments</w:t>
            </w:r>
          </w:p>
        </w:tc>
        <w:tc>
          <w:tcPr>
            <w:tcW w:w="82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63" w:type="dxa"/>
            <w:tcBorders/>
            <w:shd w:fill="FFFFFF"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Rate-lock mortgage loan commitments</w:t>
            </w:r>
          </w:p>
        </w:tc>
        <w:tc>
          <w:tcPr>
            <w:tcW w:w="8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1,316</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687</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Mandatory commitments to sell mortgage loans</w:t>
            </w:r>
          </w:p>
        </w:tc>
        <w:tc>
          <w:tcPr>
            <w:tcW w:w="82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209</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383</w:t>
            </w:r>
          </w:p>
        </w:tc>
        <w:tc>
          <w:tcPr>
            <w:tcW w:w="63" w:type="dxa"/>
            <w:tcBorders/>
            <w:shd w:fill="FFFFFF"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Pay-fixed interest rate swap agreements -commercial</w:t>
            </w:r>
          </w:p>
        </w:tc>
        <w:tc>
          <w:tcPr>
            <w:tcW w:w="8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534</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1,116</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1,276</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711</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Pay-variable interest rate swap agreements -commercial</w:t>
            </w:r>
          </w:p>
        </w:tc>
        <w:tc>
          <w:tcPr>
            <w:tcW w:w="82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1,276</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711</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534</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1,116</w:t>
            </w:r>
          </w:p>
        </w:tc>
        <w:tc>
          <w:tcPr>
            <w:tcW w:w="63" w:type="dxa"/>
            <w:tcBorders/>
            <w:shd w:fill="FFFFFF"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Purchased options</w:t>
            </w:r>
          </w:p>
        </w:tc>
        <w:tc>
          <w:tcPr>
            <w:tcW w:w="8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202</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0"/>
              <w:jc w:val="left"/>
              <w:rPr/>
            </w:pPr>
            <w:r>
              <w:rPr/>
              <w:t> </w:t>
            </w:r>
            <w:r>
              <w:rPr>
                <w:rFonts w:ascii="Times New Roman" w:hAnsi="Times New Roman"/>
                <w:sz w:val="17"/>
              </w:rPr>
              <w:t>Other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116</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Written options</w:t>
            </w:r>
          </w:p>
        </w:tc>
        <w:tc>
          <w:tcPr>
            <w:tcW w:w="82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assets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200</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116</w:t>
            </w:r>
          </w:p>
        </w:tc>
        <w:tc>
          <w:tcPr>
            <w:tcW w:w="63" w:type="dxa"/>
            <w:tcBorders/>
            <w:shd w:fill="FFFFFF" w:val="clear"/>
            <w:vAlign w:val="bottom"/>
          </w:tcPr>
          <w:p>
            <w:pPr>
              <w:pStyle w:val="TableContents"/>
              <w:spacing w:before="0" w:after="283"/>
              <w:jc w:val="left"/>
              <w:rPr/>
            </w:pPr>
            <w:r>
              <w:rPr/>
              <w:t> </w:t>
            </w:r>
          </w:p>
        </w:tc>
      </w:tr>
      <w:tr>
        <w:trPr/>
        <w:tc>
          <w:tcPr>
            <w:tcW w:w="3765"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3,328</w:t>
            </w:r>
          </w:p>
        </w:tc>
        <w:tc>
          <w:tcPr>
            <w:tcW w:w="60"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2,630</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3" w:type="dxa"/>
            <w:tcBorders/>
            <w:shd w:fill="CCEEFF" w:val="clear"/>
            <w:vAlign w:val="bottom"/>
          </w:tcPr>
          <w:p>
            <w:pPr>
              <w:pStyle w:val="TableContents"/>
              <w:spacing w:before="0" w:after="283"/>
              <w:jc w:val="left"/>
              <w:rPr/>
            </w:pPr>
            <w:r>
              <w:rPr/>
              <w:t> </w:t>
            </w:r>
          </w:p>
        </w:tc>
      </w:tr>
      <w:tr>
        <w:trPr/>
        <w:tc>
          <w:tcPr>
            <w:tcW w:w="376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Total derivatives</w:t>
            </w:r>
          </w:p>
        </w:tc>
        <w:tc>
          <w:tcPr>
            <w:tcW w:w="82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60" w:type="dxa"/>
            <w:tcBorders/>
            <w:shd w:fill="FFFFFF" w:val="clear"/>
            <w:vAlign w:val="bottom"/>
          </w:tcPr>
          <w:p>
            <w:pPr>
              <w:pStyle w:val="TableContents"/>
              <w:spacing w:before="0" w:after="283"/>
              <w:jc w:val="left"/>
              <w:rPr/>
            </w:pPr>
            <w:r>
              <w:rPr/>
              <w:t> </w:t>
            </w:r>
          </w:p>
        </w:tc>
        <w:tc>
          <w:tcPr>
            <w:tcW w:w="88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3"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6" w:name="DSPFPageBreakArea31"/>
      <w:bookmarkStart w:id="327" w:name="DSPFPageBreakArea31"/>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28" w:name="DSPFPageNumber31"/>
      <w:bookmarkStart w:id="329" w:name="DSPFPageNumberArea30"/>
      <w:bookmarkEnd w:id="328"/>
      <w:bookmarkEnd w:id="329"/>
      <w:r>
        <w:rPr>
          <w:rFonts w:ascii="Times New Roman" w:hAnsi="Times New Roman"/>
          <w:b w:val="false"/>
          <w:i w:val="false"/>
          <w:caps w:val="false"/>
          <w:smallCaps w:val="false"/>
          <w:sz w:val="13"/>
        </w:rPr>
        <w:t>32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0" w:name="DSPFPageBreak31"/>
      <w:bookmarkStart w:id="331" w:name="DSPFPageBreak31"/>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32" w:name="DSPFPageHeader30"/>
        <w:bookmarkEnd w:id="33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effect of derivative financial instruments on the Condensed Consolidated Statements of Operations follows:</w:t>
      </w:r>
    </w:p>
    <w:p>
      <w:pPr>
        <w:pStyle w:val="TextBody"/>
        <w:spacing w:before="0" w:after="0"/>
        <w:rPr/>
      </w:pPr>
      <w:r>
        <w:rPr/>
      </w:r>
    </w:p>
    <w:p>
      <w:pPr>
        <w:pStyle w:val="Normal"/>
        <w:spacing w:before="0" w:after="0"/>
        <w:rPr>
          <w:sz w:val="4"/>
          <w:szCs w:val="4"/>
        </w:rPr>
      </w:pPr>
      <w:r>
        <w:rPr>
          <w:sz w:val="4"/>
          <w:szCs w:val="4"/>
        </w:rPr>
      </w:r>
      <w:bookmarkStart w:id="333" w:name="z369ea64e1358464e9f72600c56a8d4be"/>
      <w:bookmarkStart w:id="334" w:name="z369ea64e1358464e9f72600c56a8d4be"/>
      <w:bookmarkEnd w:id="334"/>
    </w:p>
    <w:tbl>
      <w:tblPr>
        <w:tblW w:w="10205" w:type="dxa"/>
        <w:jc w:val="left"/>
        <w:tblInd w:w="0" w:type="dxa"/>
        <w:tblCellMar>
          <w:top w:w="0" w:type="dxa"/>
          <w:left w:w="0" w:type="dxa"/>
          <w:bottom w:w="28" w:type="dxa"/>
          <w:right w:w="0" w:type="dxa"/>
        </w:tblCellMar>
      </w:tblPr>
      <w:tblGrid>
        <w:gridCol w:w="3109"/>
        <w:gridCol w:w="60"/>
        <w:gridCol w:w="145"/>
        <w:gridCol w:w="463"/>
        <w:gridCol w:w="106"/>
        <w:gridCol w:w="79"/>
        <w:gridCol w:w="145"/>
        <w:gridCol w:w="387"/>
        <w:gridCol w:w="60"/>
        <w:gridCol w:w="1160"/>
        <w:gridCol w:w="60"/>
        <w:gridCol w:w="188"/>
        <w:gridCol w:w="496"/>
        <w:gridCol w:w="102"/>
        <w:gridCol w:w="102"/>
        <w:gridCol w:w="188"/>
        <w:gridCol w:w="294"/>
        <w:gridCol w:w="80"/>
        <w:gridCol w:w="1510"/>
        <w:gridCol w:w="60"/>
        <w:gridCol w:w="110"/>
        <w:gridCol w:w="485"/>
        <w:gridCol w:w="80"/>
        <w:gridCol w:w="60"/>
        <w:gridCol w:w="110"/>
        <w:gridCol w:w="485"/>
        <w:gridCol w:w="81"/>
      </w:tblGrid>
      <w:tr>
        <w:trPr/>
        <w:tc>
          <w:tcPr>
            <w:tcW w:w="10124" w:type="dxa"/>
            <w:gridSpan w:val="26"/>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 Periods Ended March 31,</w:t>
            </w:r>
          </w:p>
        </w:tc>
        <w:tc>
          <w:tcPr>
            <w:tcW w:w="81" w:type="dxa"/>
            <w:tcBorders/>
            <w:shd w:fill="auto" w:val="clear"/>
            <w:tcMar>
              <w:bottom w:w="0" w:type="dxa"/>
            </w:tcMar>
            <w:vAlign w:val="bottom"/>
          </w:tcPr>
          <w:p>
            <w:pPr>
              <w:pStyle w:val="TableContents"/>
              <w:spacing w:before="0" w:after="283"/>
              <w:jc w:val="left"/>
              <w:rPr/>
            </w:pPr>
            <w:r>
              <w:rPr/>
              <w:t> </w:t>
            </w:r>
          </w:p>
        </w:tc>
      </w:tr>
      <w:tr>
        <w:trPr/>
        <w:tc>
          <w:tcPr>
            <w:tcW w:w="3109" w:type="dxa"/>
            <w:vMerge w:val="restart"/>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325" w:type="dxa"/>
            <w:gridSpan w:val="6"/>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Gain (Loss)</w:t>
            </w:r>
          </w:p>
          <w:p>
            <w:pPr>
              <w:pStyle w:val="TableContents"/>
              <w:spacing w:before="0" w:after="0"/>
              <w:jc w:val="center"/>
              <w:rPr>
                <w:rFonts w:ascii="Times New Roman" w:hAnsi="Times New Roman"/>
                <w:sz w:val="17"/>
              </w:rPr>
            </w:pPr>
            <w:r>
              <w:rPr>
                <w:rFonts w:ascii="Times New Roman" w:hAnsi="Times New Roman"/>
                <w:sz w:val="17"/>
              </w:rPr>
              <w:t>Recognized in</w:t>
            </w:r>
          </w:p>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Comprehensive</w:t>
            </w:r>
          </w:p>
          <w:p>
            <w:pPr>
              <w:pStyle w:val="TableContents"/>
              <w:spacing w:before="0" w:after="0"/>
              <w:jc w:val="center"/>
              <w:rPr>
                <w:rFonts w:ascii="Times New Roman" w:hAnsi="Times New Roman"/>
                <w:sz w:val="17"/>
              </w:rPr>
            </w:pPr>
            <w:r>
              <w:rPr>
                <w:rFonts w:ascii="Times New Roman" w:hAnsi="Times New Roman"/>
                <w:sz w:val="17"/>
              </w:rPr>
              <w:t>Income (Loss)</w:t>
            </w:r>
          </w:p>
          <w:p>
            <w:pPr>
              <w:pStyle w:val="TableContents"/>
              <w:spacing w:before="0" w:after="0"/>
              <w:jc w:val="center"/>
              <w:rPr>
                <w:rFonts w:ascii="Times New Roman" w:hAnsi="Times New Roman"/>
                <w:sz w:val="17"/>
              </w:rPr>
            </w:pPr>
            <w:r>
              <w:rPr>
                <w:rFonts w:ascii="Times New Roman" w:hAnsi="Times New Roman"/>
                <w:sz w:val="17"/>
              </w:rPr>
              <w:t>(Effective Portion)</w:t>
            </w:r>
          </w:p>
        </w:tc>
        <w:tc>
          <w:tcPr>
            <w:tcW w:w="60" w:type="dxa"/>
            <w:tcBorders/>
            <w:shd w:fill="auto" w:val="clear"/>
            <w:tcMar>
              <w:bottom w:w="0" w:type="dxa"/>
            </w:tcMar>
            <w:vAlign w:val="bottom"/>
          </w:tcPr>
          <w:p>
            <w:pPr>
              <w:pStyle w:val="TableContents"/>
              <w:spacing w:before="0" w:after="283"/>
              <w:jc w:val="left"/>
              <w:rPr/>
            </w:pPr>
            <w:r>
              <w:rPr/>
              <w:t> </w:t>
            </w:r>
          </w:p>
        </w:tc>
        <w:tc>
          <w:tcPr>
            <w:tcW w:w="1160" w:type="dxa"/>
            <w:vMerge w:val="restart"/>
            <w:tcBorders>
              <w:bottom w:val="single" w:sz="12" w:space="0" w:color="000000"/>
            </w:tcBorders>
            <w:shd w:fill="auto" w:val="clear"/>
            <w:vAlign w:val="bottom"/>
          </w:tcPr>
          <w:p>
            <w:pPr>
              <w:pStyle w:val="TableContents"/>
              <w:spacing w:before="0" w:after="0"/>
              <w:jc w:val="center"/>
              <w:rPr/>
            </w:pPr>
            <w:r>
              <w:rPr/>
              <w:t> </w:t>
            </w:r>
            <w:r>
              <w:rPr>
                <w:rFonts w:ascii="Times New Roman" w:hAnsi="Times New Roman"/>
                <w:sz w:val="17"/>
              </w:rPr>
              <w:t>Location of</w:t>
            </w:r>
          </w:p>
          <w:p>
            <w:pPr>
              <w:pStyle w:val="TableContents"/>
              <w:spacing w:before="0" w:after="0"/>
              <w:jc w:val="center"/>
              <w:rPr/>
            </w:pPr>
            <w:r>
              <w:rPr/>
              <w:t> </w:t>
            </w:r>
            <w:r>
              <w:rPr>
                <w:rFonts w:ascii="Times New Roman" w:hAnsi="Times New Roman"/>
                <w:sz w:val="17"/>
              </w:rPr>
              <w:t>Gain (Loss)</w:t>
            </w:r>
          </w:p>
          <w:p>
            <w:pPr>
              <w:pStyle w:val="TableContents"/>
              <w:spacing w:before="0" w:after="0"/>
              <w:jc w:val="center"/>
              <w:rPr/>
            </w:pPr>
            <w:r>
              <w:rPr/>
              <w:t> </w:t>
            </w:r>
            <w:r>
              <w:rPr>
                <w:rFonts w:ascii="Times New Roman" w:hAnsi="Times New Roman"/>
                <w:sz w:val="17"/>
              </w:rPr>
              <w:t>Reclassified</w:t>
            </w:r>
          </w:p>
          <w:p>
            <w:pPr>
              <w:pStyle w:val="TableContents"/>
              <w:spacing w:before="0" w:after="0"/>
              <w:jc w:val="center"/>
              <w:rPr/>
            </w:pPr>
            <w:r>
              <w:rPr/>
              <w:t> </w:t>
            </w:r>
            <w:r>
              <w:rPr>
                <w:rFonts w:ascii="Times New Roman" w:hAnsi="Times New Roman"/>
                <w:sz w:val="17"/>
              </w:rPr>
              <w:t>from</w:t>
            </w:r>
          </w:p>
          <w:p>
            <w:pPr>
              <w:pStyle w:val="TableContents"/>
              <w:spacing w:before="0" w:after="0"/>
              <w:jc w:val="center"/>
              <w:rPr/>
            </w:pPr>
            <w:r>
              <w:rPr/>
              <w:t> </w:t>
            </w:r>
            <w:r>
              <w:rPr>
                <w:rFonts w:ascii="Times New Roman" w:hAnsi="Times New Roman"/>
                <w:sz w:val="17"/>
              </w:rPr>
              <w:t>Accumulated</w:t>
            </w:r>
          </w:p>
          <w:p>
            <w:pPr>
              <w:pStyle w:val="TableContents"/>
              <w:spacing w:before="0" w:after="0"/>
              <w:jc w:val="center"/>
              <w:rPr/>
            </w:pPr>
            <w:r>
              <w:rPr/>
              <w:t> </w:t>
            </w:r>
            <w:r>
              <w:rPr>
                <w:rFonts w:ascii="Times New Roman" w:hAnsi="Times New Roman"/>
                <w:sz w:val="17"/>
              </w:rPr>
              <w:t>Other</w:t>
            </w:r>
          </w:p>
          <w:p>
            <w:pPr>
              <w:pStyle w:val="TableContents"/>
              <w:spacing w:before="0" w:after="0"/>
              <w:jc w:val="center"/>
              <w:rPr/>
            </w:pPr>
            <w:r>
              <w:rPr/>
              <w:t> </w:t>
            </w:r>
            <w:r>
              <w:rPr>
                <w:rFonts w:ascii="Times New Roman" w:hAnsi="Times New Roman"/>
                <w:sz w:val="17"/>
              </w:rPr>
              <w:t>Comprehensive</w:t>
            </w:r>
          </w:p>
          <w:p>
            <w:pPr>
              <w:pStyle w:val="TableContents"/>
              <w:spacing w:before="0" w:after="0"/>
              <w:jc w:val="center"/>
              <w:rPr/>
            </w:pPr>
            <w:r>
              <w:rPr/>
              <w:t> </w:t>
            </w:r>
            <w:r>
              <w:rPr>
                <w:rFonts w:ascii="Times New Roman" w:hAnsi="Times New Roman"/>
                <w:sz w:val="17"/>
              </w:rPr>
              <w:t>Loss into</w:t>
            </w:r>
          </w:p>
          <w:p>
            <w:pPr>
              <w:pStyle w:val="TableContents"/>
              <w:spacing w:before="0" w:after="0"/>
              <w:jc w:val="center"/>
              <w:rPr/>
            </w:pPr>
            <w:r>
              <w:rPr/>
              <w:t> </w:t>
            </w:r>
            <w:r>
              <w:rPr>
                <w:rFonts w:ascii="Times New Roman" w:hAnsi="Times New Roman"/>
                <w:sz w:val="17"/>
              </w:rPr>
              <w:t>Income</w:t>
            </w:r>
          </w:p>
          <w:p>
            <w:pPr>
              <w:pStyle w:val="TableContents"/>
              <w:spacing w:before="0" w:after="0"/>
              <w:jc w:val="center"/>
              <w:rPr/>
            </w:pPr>
            <w:r>
              <w:rPr/>
              <w:t> </w:t>
            </w:r>
            <w:r>
              <w:rPr>
                <w:rFonts w:ascii="Times New Roman" w:hAnsi="Times New Roman"/>
                <w:sz w:val="17"/>
              </w:rPr>
              <w:t>(Effective</w:t>
            </w:r>
          </w:p>
          <w:p>
            <w:pPr>
              <w:pStyle w:val="TableContents"/>
              <w:spacing w:before="0" w:after="0"/>
              <w:jc w:val="center"/>
              <w:rPr/>
            </w:pPr>
            <w:r>
              <w:rPr/>
              <w:t> </w:t>
            </w:r>
            <w:r>
              <w:rPr>
                <w:rFonts w:ascii="Times New Roman" w:hAnsi="Times New Roman"/>
                <w:sz w:val="17"/>
              </w:rPr>
              <w:t>Portion)</w:t>
            </w:r>
          </w:p>
        </w:tc>
        <w:tc>
          <w:tcPr>
            <w:tcW w:w="60" w:type="dxa"/>
            <w:tcBorders/>
            <w:shd w:fill="auto" w:val="clear"/>
            <w:tcMar>
              <w:bottom w:w="0" w:type="dxa"/>
            </w:tcMar>
            <w:vAlign w:val="bottom"/>
          </w:tcPr>
          <w:p>
            <w:pPr>
              <w:pStyle w:val="TableContents"/>
              <w:spacing w:before="0" w:after="283"/>
              <w:rPr/>
            </w:pPr>
            <w:r>
              <w:rPr/>
              <w:t> </w:t>
            </w:r>
          </w:p>
        </w:tc>
        <w:tc>
          <w:tcPr>
            <w:tcW w:w="1370" w:type="dxa"/>
            <w:gridSpan w:val="6"/>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Gain (Loss)</w:t>
            </w:r>
          </w:p>
          <w:p>
            <w:pPr>
              <w:pStyle w:val="TableContents"/>
              <w:spacing w:before="0" w:after="0"/>
              <w:jc w:val="center"/>
              <w:rPr>
                <w:rFonts w:ascii="Times New Roman" w:hAnsi="Times New Roman"/>
                <w:sz w:val="17"/>
              </w:rPr>
            </w:pPr>
            <w:r>
              <w:rPr>
                <w:rFonts w:ascii="Times New Roman" w:hAnsi="Times New Roman"/>
                <w:sz w:val="17"/>
              </w:rPr>
              <w:t>Reclassified from</w:t>
            </w:r>
          </w:p>
          <w:p>
            <w:pPr>
              <w:pStyle w:val="TableContents"/>
              <w:spacing w:before="0" w:after="0"/>
              <w:jc w:val="center"/>
              <w:rPr>
                <w:rFonts w:ascii="Times New Roman" w:hAnsi="Times New Roman"/>
                <w:sz w:val="17"/>
              </w:rPr>
            </w:pPr>
            <w:r>
              <w:rPr>
                <w:rFonts w:ascii="Times New Roman" w:hAnsi="Times New Roman"/>
                <w:sz w:val="17"/>
              </w:rPr>
              <w:t>Accumulated Other</w:t>
            </w:r>
          </w:p>
          <w:p>
            <w:pPr>
              <w:pStyle w:val="TableContents"/>
              <w:spacing w:before="0" w:after="0"/>
              <w:jc w:val="center"/>
              <w:rPr>
                <w:rFonts w:ascii="Times New Roman" w:hAnsi="Times New Roman"/>
                <w:sz w:val="17"/>
              </w:rPr>
            </w:pPr>
            <w:r>
              <w:rPr>
                <w:rFonts w:ascii="Times New Roman" w:hAnsi="Times New Roman"/>
                <w:sz w:val="17"/>
              </w:rPr>
              <w:t>Comprehensive</w:t>
            </w:r>
          </w:p>
          <w:p>
            <w:pPr>
              <w:pStyle w:val="TableContents"/>
              <w:spacing w:before="0" w:after="0"/>
              <w:jc w:val="center"/>
              <w:rPr>
                <w:rFonts w:ascii="Times New Roman" w:hAnsi="Times New Roman"/>
                <w:sz w:val="17"/>
              </w:rPr>
            </w:pPr>
            <w:r>
              <w:rPr>
                <w:rFonts w:ascii="Times New Roman" w:hAnsi="Times New Roman"/>
                <w:sz w:val="17"/>
              </w:rPr>
              <w:t>Loss into Income</w:t>
            </w:r>
          </w:p>
          <w:p>
            <w:pPr>
              <w:pStyle w:val="TableContents"/>
              <w:spacing w:before="0" w:after="0"/>
              <w:jc w:val="center"/>
              <w:rPr>
                <w:rFonts w:ascii="Times New Roman" w:hAnsi="Times New Roman"/>
                <w:sz w:val="17"/>
              </w:rPr>
            </w:pPr>
            <w:r>
              <w:rPr>
                <w:rFonts w:ascii="Times New Roman" w:hAnsi="Times New Roman"/>
                <w:sz w:val="17"/>
              </w:rPr>
              <w:t>(Effective Portion)</w:t>
            </w:r>
          </w:p>
        </w:tc>
        <w:tc>
          <w:tcPr>
            <w:tcW w:w="80" w:type="dxa"/>
            <w:tcBorders/>
            <w:shd w:fill="auto" w:val="clear"/>
            <w:tcMar>
              <w:bottom w:w="0" w:type="dxa"/>
            </w:tcMar>
            <w:vAlign w:val="bottom"/>
          </w:tcPr>
          <w:p>
            <w:pPr>
              <w:pStyle w:val="TableContents"/>
              <w:spacing w:before="0" w:after="283"/>
              <w:jc w:val="left"/>
              <w:rPr/>
            </w:pPr>
            <w:r>
              <w:rPr/>
              <w:t> </w:t>
            </w:r>
          </w:p>
        </w:tc>
        <w:tc>
          <w:tcPr>
            <w:tcW w:w="1510" w:type="dxa"/>
            <w:vMerge w:val="restart"/>
            <w:tcBorders>
              <w:bottom w:val="single" w:sz="12" w:space="0" w:color="000000"/>
            </w:tcBorders>
            <w:shd w:fill="auto" w:val="clear"/>
            <w:vAlign w:val="bottom"/>
          </w:tcPr>
          <w:p>
            <w:pPr>
              <w:pStyle w:val="TableContents"/>
              <w:spacing w:before="0" w:after="0"/>
              <w:jc w:val="center"/>
              <w:rPr/>
            </w:pPr>
            <w:r>
              <w:rPr/>
              <w:t> </w:t>
            </w:r>
            <w:r>
              <w:rPr>
                <w:rFonts w:ascii="Times New Roman" w:hAnsi="Times New Roman"/>
                <w:sz w:val="17"/>
              </w:rPr>
              <w:t>Location of</w:t>
            </w:r>
          </w:p>
          <w:p>
            <w:pPr>
              <w:pStyle w:val="TableContents"/>
              <w:spacing w:before="0" w:after="0"/>
              <w:jc w:val="center"/>
              <w:rPr/>
            </w:pPr>
            <w:r>
              <w:rPr/>
              <w:t> </w:t>
            </w:r>
            <w:r>
              <w:rPr>
                <w:rFonts w:ascii="Times New Roman" w:hAnsi="Times New Roman"/>
                <w:sz w:val="17"/>
              </w:rPr>
              <w:t>Gain (Loss)</w:t>
            </w:r>
          </w:p>
          <w:p>
            <w:pPr>
              <w:pStyle w:val="TableContents"/>
              <w:spacing w:before="0" w:after="0"/>
              <w:jc w:val="center"/>
              <w:rPr/>
            </w:pPr>
            <w:r>
              <w:rPr/>
              <w:t> </w:t>
            </w:r>
            <w:r>
              <w:rPr>
                <w:rFonts w:ascii="Times New Roman" w:hAnsi="Times New Roman"/>
                <w:sz w:val="17"/>
              </w:rPr>
              <w:t>Recognized</w:t>
            </w:r>
          </w:p>
          <w:p>
            <w:pPr>
              <w:pStyle w:val="TableContents"/>
              <w:spacing w:before="0" w:after="0"/>
              <w:jc w:val="center"/>
              <w:rPr/>
            </w:pPr>
            <w:r>
              <w:rPr/>
              <w:t> </w:t>
            </w:r>
            <w:r>
              <w:rPr>
                <w:rFonts w:ascii="Times New Roman" w:hAnsi="Times New Roman"/>
                <w:sz w:val="17"/>
              </w:rPr>
              <w:t>in Income (1)</w:t>
            </w:r>
          </w:p>
        </w:tc>
        <w:tc>
          <w:tcPr>
            <w:tcW w:w="60" w:type="dxa"/>
            <w:tcBorders/>
            <w:shd w:fill="auto" w:val="clear"/>
            <w:tcMar>
              <w:bottom w:w="0" w:type="dxa"/>
            </w:tcMar>
            <w:vAlign w:val="bottom"/>
          </w:tcPr>
          <w:p>
            <w:pPr>
              <w:pStyle w:val="TableContents"/>
              <w:spacing w:before="0" w:after="283"/>
              <w:rPr/>
            </w:pPr>
            <w:r>
              <w:rPr/>
              <w:t> </w:t>
            </w:r>
          </w:p>
        </w:tc>
        <w:tc>
          <w:tcPr>
            <w:tcW w:w="1330" w:type="dxa"/>
            <w:gridSpan w:val="6"/>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Gain (Loss)</w:t>
            </w:r>
          </w:p>
          <w:p>
            <w:pPr>
              <w:pStyle w:val="TableContents"/>
              <w:spacing w:before="0" w:after="0"/>
              <w:jc w:val="center"/>
              <w:rPr>
                <w:rFonts w:ascii="Times New Roman" w:hAnsi="Times New Roman"/>
                <w:sz w:val="17"/>
              </w:rPr>
            </w:pPr>
            <w:r>
              <w:rPr>
                <w:rFonts w:ascii="Times New Roman" w:hAnsi="Times New Roman"/>
                <w:sz w:val="17"/>
              </w:rPr>
              <w:t>Recognized</w:t>
            </w:r>
          </w:p>
          <w:p>
            <w:pPr>
              <w:pStyle w:val="TableContents"/>
              <w:spacing w:before="0" w:after="0"/>
              <w:jc w:val="center"/>
              <w:rPr>
                <w:rFonts w:ascii="Times New Roman" w:hAnsi="Times New Roman"/>
                <w:sz w:val="17"/>
              </w:rPr>
            </w:pPr>
            <w:r>
              <w:rPr>
                <w:rFonts w:ascii="Times New Roman" w:hAnsi="Times New Roman"/>
                <w:sz w:val="17"/>
              </w:rPr>
              <w:t>in Income (1)</w:t>
            </w:r>
          </w:p>
        </w:tc>
        <w:tc>
          <w:tcPr>
            <w:tcW w:w="81" w:type="dxa"/>
            <w:tcBorders/>
            <w:shd w:fill="auto" w:val="clear"/>
            <w:tcMar>
              <w:bottom w:w="0" w:type="dxa"/>
            </w:tcMar>
            <w:vAlign w:val="bottom"/>
          </w:tcPr>
          <w:p>
            <w:pPr>
              <w:pStyle w:val="TableContents"/>
              <w:spacing w:before="0" w:after="283"/>
              <w:jc w:val="left"/>
              <w:rPr/>
            </w:pPr>
            <w:r>
              <w:rPr/>
              <w:t> </w:t>
            </w:r>
          </w:p>
        </w:tc>
      </w:tr>
      <w:tr>
        <w:trPr/>
        <w:tc>
          <w:tcPr>
            <w:tcW w:w="3109" w:type="dxa"/>
            <w:vMerge w:val="continue"/>
            <w:tcBorders/>
            <w:shd w:fill="auto" w:val="clear"/>
            <w:tcMar>
              <w:bottom w:w="0" w:type="dxa"/>
            </w:tcMar>
            <w:vAlign w:val="bottom"/>
          </w:tcPr>
          <w:p>
            <w:pPr>
              <w:pStyle w:val="Normal"/>
              <w:rPr/>
            </w:pPr>
            <w:r>
              <w:rPr/>
            </w:r>
          </w:p>
        </w:tc>
        <w:tc>
          <w:tcPr>
            <w:tcW w:w="60" w:type="dxa"/>
            <w:tcBorders/>
            <w:shd w:fill="auto" w:val="clear"/>
            <w:tcMar>
              <w:bottom w:w="0" w:type="dxa"/>
            </w:tcMar>
            <w:vAlign w:val="bottom"/>
          </w:tcPr>
          <w:p>
            <w:pPr>
              <w:pStyle w:val="TableContents"/>
              <w:spacing w:before="0" w:after="283"/>
              <w:rPr/>
            </w:pPr>
            <w:r>
              <w:rPr/>
              <w:t> </w:t>
            </w:r>
          </w:p>
        </w:tc>
        <w:tc>
          <w:tcPr>
            <w:tcW w:w="608"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532"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60" w:type="dxa"/>
            <w:tcBorders/>
            <w:shd w:fill="auto" w:val="clear"/>
            <w:tcMar>
              <w:bottom w:w="0" w:type="dxa"/>
            </w:tcMar>
            <w:vAlign w:val="bottom"/>
          </w:tcPr>
          <w:p>
            <w:pPr>
              <w:pStyle w:val="TableContents"/>
              <w:spacing w:before="0" w:after="283"/>
              <w:jc w:val="left"/>
              <w:rPr/>
            </w:pPr>
            <w:r>
              <w:rPr/>
              <w:t> </w:t>
            </w:r>
          </w:p>
        </w:tc>
        <w:tc>
          <w:tcPr>
            <w:tcW w:w="1160" w:type="dxa"/>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rPr/>
            </w:pPr>
            <w:r>
              <w:rPr/>
              <w:t> </w:t>
            </w:r>
          </w:p>
        </w:tc>
        <w:tc>
          <w:tcPr>
            <w:tcW w:w="684"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482"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80" w:type="dxa"/>
            <w:tcBorders/>
            <w:shd w:fill="auto" w:val="clear"/>
            <w:tcMar>
              <w:bottom w:w="0" w:type="dxa"/>
            </w:tcMar>
            <w:vAlign w:val="bottom"/>
          </w:tcPr>
          <w:p>
            <w:pPr>
              <w:pStyle w:val="TableContents"/>
              <w:spacing w:before="0" w:after="283"/>
              <w:jc w:val="left"/>
              <w:rPr/>
            </w:pPr>
            <w:r>
              <w:rPr/>
              <w:t> </w:t>
            </w:r>
          </w:p>
        </w:tc>
        <w:tc>
          <w:tcPr>
            <w:tcW w:w="1510" w:type="dxa"/>
            <w:vMerge w:val="continue"/>
            <w:tcBorders>
              <w:bottom w:val="single" w:sz="12" w:space="0" w:color="000000"/>
            </w:tcBorders>
            <w:shd w:fill="auto" w:val="clear"/>
            <w:vAlign w:val="bottom"/>
          </w:tcPr>
          <w:p>
            <w:pPr>
              <w:pStyle w:val="Normal"/>
              <w:rPr/>
            </w:pPr>
            <w:r>
              <w:rPr/>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8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81" w:type="dxa"/>
            <w:tcBorders/>
            <w:shd w:fill="auto" w:val="clear"/>
            <w:tcMar>
              <w:bottom w:w="0" w:type="dxa"/>
            </w:tcMar>
            <w:vAlign w:val="bottom"/>
          </w:tcPr>
          <w:p>
            <w:pPr>
              <w:pStyle w:val="TableContents"/>
              <w:spacing w:before="0" w:after="283"/>
              <w:jc w:val="left"/>
              <w:rPr/>
            </w:pPr>
            <w:r>
              <w:rPr/>
              <w:t> </w:t>
            </w:r>
          </w:p>
        </w:tc>
      </w:tr>
      <w:tr>
        <w:trPr/>
        <w:tc>
          <w:tcPr>
            <w:tcW w:w="3109"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955" w:type="dxa"/>
            <w:gridSpan w:val="24"/>
            <w:tcBorders/>
            <w:shd w:fill="auto" w:val="clear"/>
            <w:tcMar>
              <w:bottom w:w="0" w:type="dxa"/>
            </w:tcM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81" w:type="dxa"/>
            <w:tcBorders/>
            <w:shd w:fill="auto" w:val="clear"/>
            <w:tcMar>
              <w:bottom w:w="0" w:type="dxa"/>
            </w:tcMar>
            <w:vAlign w:val="bottom"/>
          </w:tcPr>
          <w:p>
            <w:pPr>
              <w:pStyle w:val="TableContents"/>
              <w:spacing w:before="0" w:after="283"/>
              <w:jc w:val="left"/>
              <w:rPr/>
            </w:pPr>
            <w:r>
              <w:rPr/>
              <w:t> </w:t>
            </w:r>
          </w:p>
        </w:tc>
      </w:tr>
      <w:tr>
        <w:trPr/>
        <w:tc>
          <w:tcPr>
            <w:tcW w:w="3109" w:type="dxa"/>
            <w:tcBorders/>
            <w:shd w:fill="auto" w:val="clear"/>
            <w:tcMar>
              <w:bottom w:w="0" w:type="dxa"/>
            </w:tcMar>
            <w:vAlign w:val="bottom"/>
          </w:tcPr>
          <w:p>
            <w:pPr>
              <w:pStyle w:val="TableContents"/>
              <w:spacing w:before="0" w:after="0"/>
              <w:ind w:left="180" w:right="0" w:hanging="180"/>
              <w:jc w:val="left"/>
              <w:rPr>
                <w:rFonts w:ascii="quot" w:hAnsi="quot"/>
                <w:sz w:val="17"/>
              </w:rPr>
            </w:pPr>
            <w:r>
              <w:rPr>
                <w:rFonts w:ascii="quot" w:hAnsi="quot"/>
                <w:sz w:val="17"/>
              </w:rPr>
              <w:t>Cash Flow Hedges</w:t>
            </w:r>
          </w:p>
        </w:tc>
        <w:tc>
          <w:tcPr>
            <w:tcW w:w="60" w:type="dxa"/>
            <w:tcBorders/>
            <w:shd w:fill="auto" w:val="clear"/>
            <w:tcMar>
              <w:bottom w:w="0" w:type="dxa"/>
            </w:tcMar>
            <w:vAlign w:val="bottom"/>
          </w:tcPr>
          <w:p>
            <w:pPr>
              <w:pStyle w:val="TableContents"/>
              <w:spacing w:before="0" w:after="283"/>
              <w:rPr/>
            </w:pPr>
            <w:r>
              <w:rPr/>
              <w:t> </w:t>
            </w:r>
          </w:p>
        </w:tc>
        <w:tc>
          <w:tcPr>
            <w:tcW w:w="608"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532"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1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84" w:type="dxa"/>
            <w:gridSpan w:val="2"/>
            <w:tcBorders/>
            <w:shd w:fill="auto" w:val="clear"/>
            <w:tcMar>
              <w:bottom w:w="0" w:type="dxa"/>
            </w:tcMar>
            <w:vAlign w:val="bottom"/>
          </w:tcPr>
          <w:p>
            <w:pPr>
              <w:pStyle w:val="TableContents"/>
              <w:spacing w:before="0" w:after="283"/>
              <w:rPr/>
            </w:pPr>
            <w:r>
              <w:rPr/>
              <w:t>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482"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151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ind w:left="180" w:right="0" w:hanging="180"/>
              <w:jc w:val="left"/>
              <w:rPr/>
            </w:pPr>
            <w:r>
              <w:rPr/>
              <w:t> </w:t>
            </w:r>
          </w:p>
        </w:tc>
      </w:tr>
      <w:tr>
        <w:trPr/>
        <w:tc>
          <w:tcPr>
            <w:tcW w:w="3109"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8"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79" w:type="dxa"/>
            <w:tcBorders/>
            <w:shd w:fill="auto" w:val="clear"/>
            <w:tcMar>
              <w:bottom w:w="0" w:type="dxa"/>
            </w:tcMar>
            <w:vAlign w:val="bottom"/>
          </w:tcPr>
          <w:p>
            <w:pPr>
              <w:pStyle w:val="TableContents"/>
              <w:spacing w:before="0" w:after="283"/>
              <w:rPr/>
            </w:pPr>
            <w:r>
              <w:rPr/>
              <w:t> </w:t>
            </w:r>
          </w:p>
        </w:tc>
        <w:tc>
          <w:tcPr>
            <w:tcW w:w="532"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1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84" w:type="dxa"/>
            <w:gridSpan w:val="2"/>
            <w:tcBorders/>
            <w:shd w:fill="auto" w:val="clear"/>
            <w:tcMar>
              <w:bottom w:w="0" w:type="dxa"/>
            </w:tcMar>
            <w:vAlign w:val="bottom"/>
          </w:tcPr>
          <w:p>
            <w:pPr>
              <w:pStyle w:val="TableContents"/>
              <w:spacing w:before="0" w:after="283"/>
              <w:rPr/>
            </w:pPr>
            <w:r>
              <w:rPr/>
              <w:t>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482"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151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r>
      <w:tr>
        <w:trPr/>
        <w:tc>
          <w:tcPr>
            <w:tcW w:w="3109" w:type="dxa"/>
            <w:tcBorders/>
            <w:shd w:fill="CCEE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Interest rate cap agreements</w:t>
            </w:r>
          </w:p>
        </w:tc>
        <w:tc>
          <w:tcPr>
            <w:tcW w:w="60"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63"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(785</w:t>
            </w:r>
          </w:p>
        </w:tc>
        <w:tc>
          <w:tcPr>
            <w:tcW w:w="106"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87"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513</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Interest expense</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96"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118</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294"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Interest expense</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1" w:type="dxa"/>
            <w:tcBorders/>
            <w:shd w:fill="CCEEFF" w:val="clear"/>
            <w:tcMar>
              <w:bottom w:w="0" w:type="dxa"/>
            </w:tcMar>
            <w:vAlign w:val="bottom"/>
          </w:tcPr>
          <w:p>
            <w:pPr>
              <w:pStyle w:val="TableContents"/>
              <w:spacing w:before="0" w:after="283"/>
              <w:jc w:val="left"/>
              <w:rPr/>
            </w:pPr>
            <w:r>
              <w:rPr/>
              <w:t> </w:t>
            </w:r>
          </w:p>
        </w:tc>
      </w:tr>
      <w:tr>
        <w:trPr/>
        <w:tc>
          <w:tcPr>
            <w:tcW w:w="3109" w:type="dxa"/>
            <w:tcBorders/>
            <w:shd w:fill="FFFF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Pay-fixed interest rate swap agreements</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463"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w:t>
            </w:r>
          </w:p>
        </w:tc>
        <w:tc>
          <w:tcPr>
            <w:tcW w:w="106"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387"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171</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Interest expense</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bottom w:val="single" w:sz="12" w:space="0" w:color="000000"/>
            </w:tcBorders>
            <w:shd w:fill="FFFFFF" w:val="clear"/>
            <w:vAlign w:val="bottom"/>
          </w:tcPr>
          <w:p>
            <w:pPr>
              <w:pStyle w:val="TableContents"/>
              <w:spacing w:before="0" w:after="283"/>
              <w:jc w:val="left"/>
              <w:rPr/>
            </w:pPr>
            <w:r>
              <w:rPr/>
              <w:t> </w:t>
            </w:r>
          </w:p>
        </w:tc>
        <w:tc>
          <w:tcPr>
            <w:tcW w:w="496"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bottom w:val="single" w:sz="12" w:space="0" w:color="000000"/>
            </w:tcBorders>
            <w:shd w:fill="FFFFFF" w:val="clear"/>
            <w:vAlign w:val="bottom"/>
          </w:tcPr>
          <w:p>
            <w:pPr>
              <w:pStyle w:val="TableContents"/>
              <w:spacing w:before="0" w:after="283"/>
              <w:jc w:val="left"/>
              <w:rPr/>
            </w:pPr>
            <w:r>
              <w:rPr/>
              <w:t> </w:t>
            </w:r>
          </w:p>
        </w:tc>
        <w:tc>
          <w:tcPr>
            <w:tcW w:w="294"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51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Interest expense</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bottom w:val="single" w:sz="12" w:space="0" w:color="000000"/>
            </w:tcBorders>
            <w:shd w:fill="FFFFFF" w:val="clear"/>
            <w:vAlign w:val="bottom"/>
          </w:tcPr>
          <w:p>
            <w:pPr>
              <w:pStyle w:val="TableContents"/>
              <w:spacing w:before="0" w:after="283"/>
              <w:jc w:val="left"/>
              <w:rPr/>
            </w:pPr>
            <w:r>
              <w:rPr/>
              <w:t> </w:t>
            </w:r>
          </w:p>
        </w:tc>
        <w:tc>
          <w:tcPr>
            <w:tcW w:w="485"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bottom w:val="single" w:sz="12" w:space="0" w:color="000000"/>
            </w:tcBorders>
            <w:shd w:fill="FFFFFF" w:val="clear"/>
            <w:vAlign w:val="bottom"/>
          </w:tcPr>
          <w:p>
            <w:pPr>
              <w:pStyle w:val="TableContents"/>
              <w:spacing w:before="0" w:after="283"/>
              <w:jc w:val="left"/>
              <w:rPr/>
            </w:pPr>
            <w:r>
              <w:rPr/>
              <w:t> </w:t>
            </w:r>
          </w:p>
        </w:tc>
        <w:tc>
          <w:tcPr>
            <w:tcW w:w="485"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w:t>
            </w:r>
          </w:p>
        </w:tc>
        <w:tc>
          <w:tcPr>
            <w:tcW w:w="81" w:type="dxa"/>
            <w:tcBorders/>
            <w:shd w:fill="FFFFFF" w:val="clear"/>
            <w:tcMar>
              <w:bottom w:w="0" w:type="dxa"/>
            </w:tcMar>
            <w:vAlign w:val="bottom"/>
          </w:tcPr>
          <w:p>
            <w:pPr>
              <w:pStyle w:val="TableContents"/>
              <w:spacing w:before="0" w:after="283"/>
              <w:jc w:val="left"/>
              <w:rPr/>
            </w:pPr>
            <w:r>
              <w:rPr/>
              <w:t> </w:t>
            </w:r>
          </w:p>
        </w:tc>
      </w:tr>
      <w:tr>
        <w:trPr/>
        <w:tc>
          <w:tcPr>
            <w:tcW w:w="3109" w:type="dxa"/>
            <w:tcBorders/>
            <w:shd w:fill="CCEEFF" w:val="clear"/>
            <w:tcMar>
              <w:bottom w:w="0" w:type="dxa"/>
            </w:tcMar>
            <w:vAlign w:val="bottom"/>
          </w:tcPr>
          <w:p>
            <w:pPr>
              <w:pStyle w:val="TableContents"/>
              <w:spacing w:before="0" w:after="0"/>
              <w:ind w:left="540" w:right="0" w:hanging="180"/>
              <w:jc w:val="left"/>
              <w:rPr>
                <w:rFonts w:ascii="quot" w:hAnsi="quot"/>
                <w:sz w:val="17"/>
              </w:rPr>
            </w:pPr>
            <w:r>
              <w:rPr>
                <w:rFonts w:ascii="quot" w:hAnsi="quot"/>
                <w:sz w:val="17"/>
              </w:rPr>
              <w:t>Total</w:t>
            </w:r>
          </w:p>
        </w:tc>
        <w:tc>
          <w:tcPr>
            <w:tcW w:w="60" w:type="dxa"/>
            <w:tcBorders/>
            <w:shd w:fill="CCEEFF" w:val="clear"/>
            <w:tcMar>
              <w:bottom w:w="0" w:type="dxa"/>
            </w:tcMar>
            <w:vAlign w:val="bottom"/>
          </w:tcPr>
          <w:p>
            <w:pPr>
              <w:pStyle w:val="TableContents"/>
              <w:spacing w:before="0" w:after="283"/>
              <w:jc w:val="right"/>
              <w:rPr/>
            </w:pPr>
            <w:r>
              <w:rPr/>
              <w:t> </w:t>
            </w:r>
          </w:p>
        </w:tc>
        <w:tc>
          <w:tcPr>
            <w:tcW w:w="145"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63"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(912</w:t>
            </w:r>
          </w:p>
        </w:tc>
        <w:tc>
          <w:tcPr>
            <w:tcW w:w="106"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87"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684</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96"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149</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294"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w:t>
            </w:r>
          </w:p>
        </w:tc>
        <w:tc>
          <w:tcPr>
            <w:tcW w:w="81" w:type="dxa"/>
            <w:tcBorders/>
            <w:shd w:fill="CCEEFF" w:val="clear"/>
            <w:tcMar>
              <w:bottom w:w="0" w:type="dxa"/>
            </w:tcMar>
            <w:vAlign w:val="bottom"/>
          </w:tcPr>
          <w:p>
            <w:pPr>
              <w:pStyle w:val="TableContents"/>
              <w:spacing w:before="0" w:after="283"/>
              <w:ind w:left="180" w:right="0" w:hanging="180"/>
              <w:jc w:val="left"/>
              <w:rPr/>
            </w:pPr>
            <w:r>
              <w:rPr/>
              <w:t> </w:t>
            </w:r>
          </w:p>
        </w:tc>
      </w:tr>
      <w:tr>
        <w:trPr/>
        <w:tc>
          <w:tcPr>
            <w:tcW w:w="3109"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463"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387"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49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294"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151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283"/>
              <w:jc w:val="right"/>
              <w:rPr/>
            </w:pPr>
            <w:r>
              <w:rPr/>
              <w:t> </w:t>
            </w:r>
          </w:p>
        </w:tc>
        <w:tc>
          <w:tcPr>
            <w:tcW w:w="81" w:type="dxa"/>
            <w:tcBorders/>
            <w:shd w:fill="FFFFFF" w:val="clear"/>
            <w:tcMar>
              <w:bottom w:w="0" w:type="dxa"/>
            </w:tcMar>
            <w:vAlign w:val="bottom"/>
          </w:tcPr>
          <w:p>
            <w:pPr>
              <w:pStyle w:val="TableContents"/>
              <w:spacing w:before="0" w:after="283"/>
              <w:jc w:val="left"/>
              <w:rPr/>
            </w:pPr>
            <w:r>
              <w:rPr/>
              <w:t> </w:t>
            </w:r>
          </w:p>
        </w:tc>
      </w:tr>
      <w:tr>
        <w:trPr/>
        <w:tc>
          <w:tcPr>
            <w:tcW w:w="3777" w:type="dxa"/>
            <w:gridSpan w:val="4"/>
            <w:tcBorders/>
            <w:shd w:fill="CCEEFF" w:val="clear"/>
            <w:tcMar>
              <w:bottom w:w="0" w:type="dxa"/>
            </w:tcMar>
            <w:vAlign w:val="bottom"/>
          </w:tcPr>
          <w:p>
            <w:pPr>
              <w:pStyle w:val="TableContents"/>
              <w:spacing w:before="0" w:after="0"/>
              <w:jc w:val="left"/>
              <w:rPr>
                <w:sz w:val="17"/>
              </w:rPr>
            </w:pPr>
            <w:r>
              <w:rPr>
                <w:sz w:val="17"/>
              </w:rPr>
              <w:t>No hedge designation</w:t>
            </w:r>
          </w:p>
        </w:tc>
        <w:tc>
          <w:tcPr>
            <w:tcW w:w="106"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387"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496" w:type="dxa"/>
            <w:tcBorders/>
            <w:shd w:fill="CCEEFF" w:val="clear"/>
            <w:tcMar>
              <w:bottom w:w="0" w:type="dxa"/>
            </w:tcM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294"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283"/>
              <w:jc w:val="right"/>
              <w:rPr/>
            </w:pPr>
            <w:r>
              <w:rPr/>
              <w:t> </w:t>
            </w:r>
          </w:p>
        </w:tc>
        <w:tc>
          <w:tcPr>
            <w:tcW w:w="81" w:type="dxa"/>
            <w:tcBorders/>
            <w:shd w:fill="CCEEFF" w:val="clear"/>
            <w:tcMar>
              <w:bottom w:w="0" w:type="dxa"/>
            </w:tcMar>
            <w:vAlign w:val="bottom"/>
          </w:tcPr>
          <w:p>
            <w:pPr>
              <w:pStyle w:val="TableContents"/>
              <w:spacing w:before="0" w:after="283"/>
              <w:jc w:val="left"/>
              <w:rPr/>
            </w:pPr>
            <w:r>
              <w:rPr/>
              <w:t> </w:t>
            </w:r>
          </w:p>
        </w:tc>
      </w:tr>
      <w:tr>
        <w:trPr/>
        <w:tc>
          <w:tcPr>
            <w:tcW w:w="3109" w:type="dxa"/>
            <w:tcBorders/>
            <w:shd w:fill="FFFF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Rate-lock mortgage loan commitments</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463"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387"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49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294"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1510" w:type="dxa"/>
            <w:tcBorders/>
            <w:shd w:fill="FFFF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gains on mortgage loans</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629</w:t>
            </w:r>
          </w:p>
        </w:tc>
        <w:tc>
          <w:tcPr>
            <w:tcW w:w="8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428</w:t>
            </w:r>
          </w:p>
        </w:tc>
        <w:tc>
          <w:tcPr>
            <w:tcW w:w="81" w:type="dxa"/>
            <w:tcBorders/>
            <w:shd w:fill="FFFFFF" w:val="clear"/>
            <w:tcMar>
              <w:bottom w:w="0" w:type="dxa"/>
            </w:tcMar>
            <w:vAlign w:val="bottom"/>
          </w:tcPr>
          <w:p>
            <w:pPr>
              <w:pStyle w:val="TableContents"/>
              <w:spacing w:before="0" w:after="283"/>
              <w:jc w:val="left"/>
              <w:rPr/>
            </w:pPr>
            <w:r>
              <w:rPr/>
              <w:t> </w:t>
            </w:r>
          </w:p>
        </w:tc>
      </w:tr>
      <w:tr>
        <w:trPr/>
        <w:tc>
          <w:tcPr>
            <w:tcW w:w="3109" w:type="dxa"/>
            <w:tcBorders/>
            <w:shd w:fill="CCEEFF" w:val="clear"/>
            <w:tcMar>
              <w:bottom w:w="0" w:type="dxa"/>
            </w:tcMar>
            <w:vAlign w:val="center"/>
          </w:tcPr>
          <w:p>
            <w:pPr>
              <w:pStyle w:val="TableContents"/>
              <w:spacing w:before="0" w:after="0"/>
              <w:ind w:left="180" w:right="0" w:hanging="0"/>
              <w:jc w:val="left"/>
              <w:rPr>
                <w:sz w:val="17"/>
              </w:rPr>
            </w:pPr>
            <w:r>
              <w:rPr>
                <w:sz w:val="17"/>
              </w:rPr>
              <w:t>Mandatory commitments to sell mortgage loans</w:t>
            </w:r>
          </w:p>
        </w:tc>
        <w:tc>
          <w:tcPr>
            <w:tcW w:w="60" w:type="dxa"/>
            <w:tcBorders/>
            <w:shd w:fill="CCEEFF" w:val="clear"/>
            <w:tcMar>
              <w:bottom w:w="0" w:type="dxa"/>
            </w:tcMar>
            <w:vAlign w:val="center"/>
          </w:tcPr>
          <w:p>
            <w:pPr>
              <w:pStyle w:val="TableContents"/>
              <w:spacing w:before="0" w:after="283"/>
              <w:jc w:val="left"/>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463" w:type="dxa"/>
            <w:tcBorders/>
            <w:shd w:fill="CCEEFF" w:val="clear"/>
            <w:tcMar>
              <w:bottom w:w="0" w:type="dxa"/>
            </w:tcMar>
            <w:vAlign w:val="center"/>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387"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496" w:type="dxa"/>
            <w:tcBorders/>
            <w:shd w:fill="CCEEFF" w:val="clear"/>
            <w:tcMar>
              <w:bottom w:w="0" w:type="dxa"/>
            </w:tcM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294"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Net gains on mortgage loans</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174</w:t>
            </w:r>
          </w:p>
        </w:tc>
        <w:tc>
          <w:tcPr>
            <w:tcW w:w="8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(160</w:t>
            </w:r>
          </w:p>
        </w:tc>
        <w:tc>
          <w:tcPr>
            <w:tcW w:w="81"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109" w:type="dxa"/>
            <w:tcBorders/>
            <w:shd w:fill="FFFF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Pay-fixed interest rate swap agreements -commercial</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463"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387"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49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294"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1510" w:type="dxa"/>
            <w:tcBorders/>
            <w:shd w:fill="FFFF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income</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(1,147</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1,056</w:t>
            </w:r>
          </w:p>
        </w:tc>
        <w:tc>
          <w:tcPr>
            <w:tcW w:w="81" w:type="dxa"/>
            <w:tcBorders/>
            <w:shd w:fill="FFFFFF" w:val="clear"/>
            <w:tcMar>
              <w:bottom w:w="0" w:type="dxa"/>
            </w:tcMar>
            <w:vAlign w:val="bottom"/>
          </w:tcPr>
          <w:p>
            <w:pPr>
              <w:pStyle w:val="TableContents"/>
              <w:spacing w:before="0" w:after="283"/>
              <w:jc w:val="left"/>
              <w:rPr/>
            </w:pPr>
            <w:r>
              <w:rPr/>
              <w:t> </w:t>
            </w:r>
          </w:p>
        </w:tc>
      </w:tr>
      <w:tr>
        <w:trPr/>
        <w:tc>
          <w:tcPr>
            <w:tcW w:w="3109" w:type="dxa"/>
            <w:tcBorders/>
            <w:shd w:fill="CCEE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Pay-variable interest rate swap agreements -commercial</w:t>
            </w:r>
          </w:p>
        </w:tc>
        <w:tc>
          <w:tcPr>
            <w:tcW w:w="60"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463"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387"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496" w:type="dxa"/>
            <w:tcBorders/>
            <w:shd w:fill="CCEEFF" w:val="clear"/>
            <w:tcMar>
              <w:bottom w:w="0" w:type="dxa"/>
            </w:tcM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294"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income</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1,147</w:t>
            </w:r>
          </w:p>
        </w:tc>
        <w:tc>
          <w:tcPr>
            <w:tcW w:w="8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48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(1,056</w:t>
            </w:r>
          </w:p>
        </w:tc>
        <w:tc>
          <w:tcPr>
            <w:tcW w:w="81"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109" w:type="dxa"/>
            <w:tcBorders/>
            <w:shd w:fill="FFFF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Purchased options</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463"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387"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49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294"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1510" w:type="dxa"/>
            <w:tcBorders/>
            <w:shd w:fill="FFFF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expense</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86</w:t>
            </w:r>
          </w:p>
        </w:tc>
        <w:tc>
          <w:tcPr>
            <w:tcW w:w="8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48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(93</w:t>
            </w:r>
          </w:p>
        </w:tc>
        <w:tc>
          <w:tcPr>
            <w:tcW w:w="81"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109" w:type="dxa"/>
            <w:tcBorders/>
            <w:shd w:fill="CCEEFF" w:val="clear"/>
            <w:tcMar>
              <w:bottom w:w="0" w:type="dxa"/>
            </w:tcMar>
            <w:vAlign w:val="bottom"/>
          </w:tcPr>
          <w:p>
            <w:pPr>
              <w:pStyle w:val="TableContents"/>
              <w:spacing w:before="0" w:after="0"/>
              <w:ind w:left="360" w:right="0" w:hanging="180"/>
              <w:jc w:val="left"/>
              <w:rPr>
                <w:rFonts w:ascii="quot" w:hAnsi="quot"/>
                <w:sz w:val="17"/>
              </w:rPr>
            </w:pPr>
            <w:r>
              <w:rPr>
                <w:rFonts w:ascii="quot" w:hAnsi="quot"/>
                <w:sz w:val="17"/>
              </w:rPr>
              <w:t>Written options</w:t>
            </w:r>
          </w:p>
        </w:tc>
        <w:tc>
          <w:tcPr>
            <w:tcW w:w="60"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463"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79"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387"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496" w:type="dxa"/>
            <w:tcBorders/>
            <w:shd w:fill="CCEEFF" w:val="clear"/>
            <w:tcMar>
              <w:bottom w:w="0" w:type="dxa"/>
            </w:tcM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294"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1510" w:type="dxa"/>
            <w:tcBorders/>
            <w:shd w:fill="CCEE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Interest expense</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485"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tcMar>
              <w:bottom w:w="0" w:type="dxa"/>
            </w:tcMar>
            <w:vAlign w:val="bottom"/>
          </w:tcPr>
          <w:p>
            <w:pPr>
              <w:pStyle w:val="TableContents"/>
              <w:spacing w:before="0" w:after="283"/>
              <w:jc w:val="right"/>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485"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93</w:t>
            </w:r>
          </w:p>
        </w:tc>
        <w:tc>
          <w:tcPr>
            <w:tcW w:w="81" w:type="dxa"/>
            <w:tcBorders/>
            <w:shd w:fill="CCEEFF" w:val="clear"/>
            <w:tcMar>
              <w:bottom w:w="0" w:type="dxa"/>
            </w:tcMar>
            <w:vAlign w:val="bottom"/>
          </w:tcPr>
          <w:p>
            <w:pPr>
              <w:pStyle w:val="TableContents"/>
              <w:spacing w:before="0" w:after="283"/>
              <w:jc w:val="left"/>
              <w:rPr/>
            </w:pPr>
            <w:r>
              <w:rPr/>
              <w:t> </w:t>
            </w:r>
          </w:p>
        </w:tc>
      </w:tr>
      <w:tr>
        <w:trPr/>
        <w:tc>
          <w:tcPr>
            <w:tcW w:w="3109" w:type="dxa"/>
            <w:tcBorders/>
            <w:shd w:fill="FFFFFF" w:val="clear"/>
            <w:tcMar>
              <w:bottom w:w="0" w:type="dxa"/>
            </w:tcMar>
            <w:vAlign w:val="bottom"/>
          </w:tcPr>
          <w:p>
            <w:pPr>
              <w:pStyle w:val="TableContents"/>
              <w:spacing w:before="0" w:after="0"/>
              <w:ind w:left="540" w:right="0" w:hanging="180"/>
              <w:jc w:val="left"/>
              <w:rPr>
                <w:rFonts w:ascii="quot" w:hAnsi="quot"/>
                <w:sz w:val="17"/>
              </w:rPr>
            </w:pPr>
            <w:r>
              <w:rPr>
                <w:rFonts w:ascii="quot" w:hAnsi="quot"/>
                <w:sz w:val="17"/>
              </w:rPr>
              <w:t>Total</w:t>
            </w:r>
          </w:p>
        </w:tc>
        <w:tc>
          <w:tcPr>
            <w:tcW w:w="60"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463"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79"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387"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49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right"/>
              <w:rPr/>
            </w:pPr>
            <w:r>
              <w:rPr/>
              <w:t> </w:t>
            </w:r>
          </w:p>
        </w:tc>
        <w:tc>
          <w:tcPr>
            <w:tcW w:w="188" w:type="dxa"/>
            <w:tcBorders/>
            <w:shd w:fill="FFFFFF" w:val="clear"/>
            <w:tcMar>
              <w:bottom w:w="0" w:type="dxa"/>
            </w:tcMar>
            <w:vAlign w:val="bottom"/>
          </w:tcPr>
          <w:p>
            <w:pPr>
              <w:pStyle w:val="TableContents"/>
              <w:spacing w:before="0" w:after="283"/>
              <w:jc w:val="left"/>
              <w:rPr/>
            </w:pPr>
            <w:r>
              <w:rPr/>
              <w:t> </w:t>
            </w:r>
          </w:p>
        </w:tc>
        <w:tc>
          <w:tcPr>
            <w:tcW w:w="294"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151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805</w:t>
            </w:r>
          </w:p>
        </w:tc>
        <w:tc>
          <w:tcPr>
            <w:tcW w:w="8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jc w:val="right"/>
              <w:rPr/>
            </w:pPr>
            <w:r>
              <w:rPr/>
              <w:t> </w:t>
            </w:r>
          </w:p>
        </w:tc>
        <w:tc>
          <w:tcPr>
            <w:tcW w:w="110"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5"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268</w:t>
            </w:r>
          </w:p>
        </w:tc>
        <w:tc>
          <w:tcPr>
            <w:tcW w:w="8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335" w:name="z8c58de265785462da80135d0921f2db3"/>
      <w:bookmarkStart w:id="336" w:name="z8c58de265785462da80135d0921f2db3"/>
      <w:bookmarkEnd w:id="336"/>
    </w:p>
    <w:tbl>
      <w:tblPr>
        <w:tblW w:w="5800" w:type="dxa"/>
        <w:jc w:val="left"/>
        <w:tblInd w:w="0" w:type="dxa"/>
        <w:tblCellMar>
          <w:top w:w="0" w:type="dxa"/>
          <w:left w:w="0" w:type="dxa"/>
          <w:bottom w:w="0" w:type="dxa"/>
          <w:right w:w="0" w:type="dxa"/>
        </w:tblCellMar>
      </w:tblPr>
      <w:tblGrid>
        <w:gridCol w:w="245"/>
        <w:gridCol w:w="5555"/>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555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For cash flow hedges, this location and amount refers to the ineffective portion.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7" w:name="DSPFPageBreakArea32"/>
      <w:bookmarkStart w:id="338" w:name="DSPFPageBreakArea32"/>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39" w:name="DSPFPageNumber32"/>
      <w:bookmarkStart w:id="340" w:name="DSPFPageNumberArea31"/>
      <w:bookmarkEnd w:id="339"/>
      <w:bookmarkEnd w:id="340"/>
      <w:r>
        <w:rPr>
          <w:rFonts w:ascii="Times New Roman" w:hAnsi="Times New Roman"/>
          <w:b w:val="false"/>
          <w:i w:val="false"/>
          <w:caps w:val="false"/>
          <w:smallCaps w:val="false"/>
          <w:sz w:val="13"/>
        </w:rPr>
        <w:t>33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1" w:name="DSPFPageBreak32"/>
      <w:bookmarkStart w:id="342" w:name="DSPFPageBreak32"/>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43" w:name="DSPFPageHeader31"/>
        <w:bookmarkEnd w:id="34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7.   </w:t>
      </w:r>
      <w:r>
        <w:rPr>
          <w:rFonts w:ascii="Times New Roman" w:hAnsi="Times New Roman"/>
          <w:sz w:val="17"/>
          <w:u w:val="single"/>
        </w:rPr>
        <w:t>Goodwill and Other Intangibles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 summarizes intangible assets, net of amortization:</w:t>
      </w:r>
    </w:p>
    <w:p>
      <w:pPr>
        <w:pStyle w:val="TextBody"/>
        <w:spacing w:before="0" w:after="0"/>
        <w:rPr/>
      </w:pPr>
      <w:r>
        <w:rPr/>
      </w:r>
    </w:p>
    <w:p>
      <w:pPr>
        <w:pStyle w:val="Normal"/>
        <w:spacing w:before="0" w:after="0"/>
        <w:rPr>
          <w:sz w:val="4"/>
          <w:szCs w:val="4"/>
        </w:rPr>
      </w:pPr>
      <w:r>
        <w:rPr>
          <w:sz w:val="4"/>
          <w:szCs w:val="4"/>
        </w:rPr>
      </w:r>
      <w:bookmarkStart w:id="344" w:name="zb446bff39ac54c32af294a9e3df83156"/>
      <w:bookmarkStart w:id="345" w:name="zb446bff39ac54c32af294a9e3df83156"/>
      <w:bookmarkEnd w:id="345"/>
    </w:p>
    <w:tbl>
      <w:tblPr>
        <w:tblW w:w="6668" w:type="dxa"/>
        <w:jc w:val="left"/>
        <w:tblInd w:w="0" w:type="dxa"/>
        <w:tblCellMar>
          <w:top w:w="0" w:type="dxa"/>
          <w:left w:w="0" w:type="dxa"/>
          <w:bottom w:w="0" w:type="dxa"/>
          <w:right w:w="0" w:type="dxa"/>
        </w:tblCellMar>
      </w:tblPr>
      <w:tblGrid>
        <w:gridCol w:w="2975"/>
        <w:gridCol w:w="60"/>
        <w:gridCol w:w="111"/>
        <w:gridCol w:w="524"/>
        <w:gridCol w:w="60"/>
        <w:gridCol w:w="60"/>
        <w:gridCol w:w="192"/>
        <w:gridCol w:w="743"/>
        <w:gridCol w:w="60"/>
        <w:gridCol w:w="60"/>
        <w:gridCol w:w="120"/>
        <w:gridCol w:w="563"/>
        <w:gridCol w:w="65"/>
        <w:gridCol w:w="65"/>
        <w:gridCol w:w="191"/>
        <w:gridCol w:w="744"/>
        <w:gridCol w:w="75"/>
      </w:tblGrid>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48"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 2018</w:t>
            </w:r>
          </w:p>
        </w:tc>
        <w:tc>
          <w:tcPr>
            <w:tcW w:w="75" w:type="dxa"/>
            <w:tcBorders/>
            <w:shd w:fill="auto"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Gross</w:t>
            </w:r>
          </w:p>
          <w:p>
            <w:pPr>
              <w:pStyle w:val="TableContents"/>
              <w:spacing w:before="0" w:after="0"/>
              <w:jc w:val="center"/>
              <w:rPr>
                <w:rFonts w:ascii="Times New Roman" w:hAnsi="Times New Roman"/>
                <w:sz w:val="17"/>
              </w:rPr>
            </w:pPr>
            <w:r>
              <w:rPr>
                <w:rFonts w:ascii="Times New Roman" w:hAnsi="Times New Roman"/>
                <w:sz w:val="17"/>
              </w:rPr>
              <w:t>Carrying</w:t>
            </w:r>
          </w:p>
          <w:p>
            <w:pPr>
              <w:pStyle w:val="TableContents"/>
              <w:spacing w:before="0" w:after="0"/>
              <w:jc w:val="center"/>
              <w:rPr>
                <w:rFonts w:ascii="Times New Roman" w:hAnsi="Times New Roman"/>
                <w:sz w:val="17"/>
              </w:rPr>
            </w:pPr>
            <w:r>
              <w:rPr>
                <w:rFonts w:ascii="Times New Roman" w:hAnsi="Times New Roman"/>
                <w:sz w:val="17"/>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Accumulated</w:t>
            </w:r>
          </w:p>
          <w:p>
            <w:pPr>
              <w:pStyle w:val="TableContents"/>
              <w:spacing w:before="0" w:after="0"/>
              <w:jc w:val="center"/>
              <w:rPr>
                <w:rFonts w:ascii="Times New Roman" w:hAnsi="Times New Roman"/>
                <w:sz w:val="17"/>
              </w:rPr>
            </w:pPr>
            <w:r>
              <w:rPr>
                <w:rFonts w:ascii="Times New Roman" w:hAnsi="Times New Roman"/>
                <w:sz w:val="17"/>
              </w:rPr>
              <w:t>Amortization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Gross</w:t>
            </w:r>
          </w:p>
          <w:p>
            <w:pPr>
              <w:pStyle w:val="TableContents"/>
              <w:spacing w:before="0" w:after="0"/>
              <w:jc w:val="center"/>
              <w:rPr>
                <w:rFonts w:ascii="Times New Roman" w:hAnsi="Times New Roman"/>
                <w:sz w:val="17"/>
              </w:rPr>
            </w:pPr>
            <w:r>
              <w:rPr>
                <w:rFonts w:ascii="Times New Roman" w:hAnsi="Times New Roman"/>
                <w:sz w:val="17"/>
              </w:rPr>
              <w:t>Carrying</w:t>
            </w:r>
          </w:p>
          <w:p>
            <w:pPr>
              <w:pStyle w:val="TableContents"/>
              <w:spacing w:before="0" w:after="0"/>
              <w:jc w:val="center"/>
              <w:rPr>
                <w:rFonts w:ascii="Times New Roman" w:hAnsi="Times New Roman"/>
                <w:sz w:val="17"/>
              </w:rPr>
            </w:pPr>
            <w:r>
              <w:rPr>
                <w:rFonts w:ascii="Times New Roman" w:hAnsi="Times New Roman"/>
                <w:sz w:val="17"/>
              </w:rPr>
              <w:t>Amount</w:t>
            </w:r>
          </w:p>
        </w:tc>
        <w:tc>
          <w:tcPr>
            <w:tcW w:w="6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Accumulated</w:t>
            </w:r>
          </w:p>
          <w:p>
            <w:pPr>
              <w:pStyle w:val="TableContents"/>
              <w:spacing w:before="0" w:after="0"/>
              <w:jc w:val="center"/>
              <w:rPr>
                <w:rFonts w:ascii="Times New Roman" w:hAnsi="Times New Roman"/>
                <w:sz w:val="17"/>
              </w:rPr>
            </w:pPr>
            <w:r>
              <w:rPr>
                <w:rFonts w:ascii="Times New Roman" w:hAnsi="Times New Roman"/>
                <w:sz w:val="17"/>
              </w:rPr>
              <w:t>Amortization</w:t>
            </w:r>
          </w:p>
        </w:tc>
        <w:tc>
          <w:tcPr>
            <w:tcW w:w="75" w:type="dxa"/>
            <w:tcBorders/>
            <w:shd w:fill="auto"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58"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97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Amortized intangible assets - core deposits</w:t>
            </w:r>
          </w:p>
        </w:tc>
        <w:tc>
          <w:tcPr>
            <w:tcW w:w="60" w:type="dxa"/>
            <w:tcBorders/>
            <w:shd w:fill="CCEEFF" w:val="clear"/>
            <w:vAlign w:val="bottom"/>
          </w:tcPr>
          <w:p>
            <w:pPr>
              <w:pStyle w:val="TableContents"/>
              <w:spacing w:before="0" w:after="283"/>
              <w:rPr/>
            </w:pPr>
            <w:r>
              <w:rPr/>
              <w:t> </w:t>
            </w:r>
          </w:p>
        </w:tc>
        <w:tc>
          <w:tcPr>
            <w:tcW w:w="1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11,916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9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5,773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11,916</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rPr/>
            </w:pPr>
            <w:r>
              <w:rPr/>
              <w:t> </w:t>
            </w:r>
          </w:p>
        </w:tc>
        <w:tc>
          <w:tcPr>
            <w:tcW w:w="19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5,501</w:t>
            </w:r>
          </w:p>
        </w:tc>
        <w:tc>
          <w:tcPr>
            <w:tcW w:w="75" w:type="dxa"/>
            <w:tcBorders/>
            <w:shd w:fill="CCEEFF" w:val="clear"/>
            <w:vAlign w:val="bottom"/>
          </w:tcPr>
          <w:p>
            <w:pPr>
              <w:pStyle w:val="TableContents"/>
              <w:spacing w:before="0" w:after="283"/>
              <w:jc w:val="left"/>
              <w:rPr/>
            </w:pPr>
            <w:r>
              <w:rPr/>
              <w:t> </w:t>
            </w:r>
          </w:p>
        </w:tc>
      </w:tr>
      <w:tr>
        <w:trPr/>
        <w:tc>
          <w:tcPr>
            <w:tcW w:w="297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Unamortized intangible assets - goodwill</w:t>
            </w:r>
          </w:p>
        </w:tc>
        <w:tc>
          <w:tcPr>
            <w:tcW w:w="60" w:type="dxa"/>
            <w:tcBorders/>
            <w:shd w:fill="FFFFFF" w:val="clear"/>
            <w:vAlign w:val="bottom"/>
          </w:tcPr>
          <w:p>
            <w:pPr>
              <w:pStyle w:val="TableContents"/>
              <w:spacing w:before="0" w:after="283"/>
              <w:rPr/>
            </w:pPr>
            <w:r>
              <w:rPr/>
              <w:t> </w:t>
            </w:r>
          </w:p>
        </w:tc>
        <w:tc>
          <w:tcPr>
            <w:tcW w:w="11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28,300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left"/>
              <w:rPr/>
            </w:pPr>
            <w:r>
              <w:rPr/>
              <w:t> </w:t>
            </w:r>
          </w:p>
        </w:tc>
        <w:tc>
          <w:tcPr>
            <w:tcW w:w="74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6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28,300</w:t>
            </w:r>
          </w:p>
        </w:tc>
        <w:tc>
          <w:tcPr>
            <w:tcW w:w="65" w:type="dxa"/>
            <w:tcBorders/>
            <w:shd w:fill="FFFFFF" w:val="clear"/>
            <w:vAlign w:val="bottom"/>
          </w:tcPr>
          <w:p>
            <w:pPr>
              <w:pStyle w:val="TableContents"/>
              <w:spacing w:before="0" w:after="283"/>
              <w:jc w:val="left"/>
              <w:rPr/>
            </w:pPr>
            <w:r>
              <w:rPr/>
              <w:t> </w:t>
            </w:r>
          </w:p>
        </w:tc>
        <w:tc>
          <w:tcPr>
            <w:tcW w:w="65"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jc w:val="left"/>
              <w:rPr/>
            </w:pPr>
            <w:r>
              <w:rPr/>
              <w:t> </w:t>
            </w:r>
          </w:p>
        </w:tc>
        <w:tc>
          <w:tcPr>
            <w:tcW w:w="7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summary of estimated core deposit intangible amortization at March 31, 2019 follows:</w:t>
      </w:r>
    </w:p>
    <w:p>
      <w:pPr>
        <w:pStyle w:val="TextBody"/>
        <w:spacing w:before="0" w:after="0"/>
        <w:rPr/>
      </w:pPr>
      <w:r>
        <w:rPr/>
      </w:r>
    </w:p>
    <w:p>
      <w:pPr>
        <w:pStyle w:val="Normal"/>
        <w:spacing w:before="0" w:after="0"/>
        <w:rPr>
          <w:sz w:val="4"/>
          <w:szCs w:val="4"/>
        </w:rPr>
      </w:pPr>
      <w:r>
        <w:rPr>
          <w:sz w:val="4"/>
          <w:szCs w:val="4"/>
        </w:rPr>
      </w:r>
      <w:bookmarkStart w:id="346" w:name="z087275a6179b4b45af7473e6331299a0"/>
      <w:bookmarkStart w:id="347" w:name="z087275a6179b4b45af7473e6331299a0"/>
      <w:bookmarkEnd w:id="347"/>
    </w:p>
    <w:tbl>
      <w:tblPr>
        <w:tblW w:w="4030" w:type="dxa"/>
        <w:jc w:val="left"/>
        <w:tblInd w:w="0" w:type="dxa"/>
        <w:tblCellMar>
          <w:top w:w="0" w:type="dxa"/>
          <w:left w:w="0" w:type="dxa"/>
          <w:bottom w:w="0" w:type="dxa"/>
          <w:right w:w="0" w:type="dxa"/>
        </w:tblCellMar>
      </w:tblPr>
      <w:tblGrid>
        <w:gridCol w:w="2870"/>
        <w:gridCol w:w="60"/>
        <w:gridCol w:w="210"/>
        <w:gridCol w:w="815"/>
        <w:gridCol w:w="75"/>
      </w:tblGrid>
      <w:tr>
        <w:trPr/>
        <w:tc>
          <w:tcPr>
            <w:tcW w:w="28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right"/>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8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Nine months ending December 31, 2019</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817</w:t>
            </w:r>
          </w:p>
        </w:tc>
        <w:tc>
          <w:tcPr>
            <w:tcW w:w="7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2020</w:t>
            </w:r>
          </w:p>
        </w:tc>
        <w:tc>
          <w:tcPr>
            <w:tcW w:w="6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jc w:val="left"/>
              <w:rPr/>
            </w:pPr>
            <w:r>
              <w:rPr/>
              <w:t> </w:t>
            </w:r>
          </w:p>
        </w:tc>
        <w:tc>
          <w:tcPr>
            <w:tcW w:w="8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1,020</w:t>
            </w:r>
          </w:p>
        </w:tc>
        <w:tc>
          <w:tcPr>
            <w:tcW w:w="7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2021</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970</w:t>
            </w:r>
          </w:p>
        </w:tc>
        <w:tc>
          <w:tcPr>
            <w:tcW w:w="7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2022</w:t>
            </w:r>
          </w:p>
        </w:tc>
        <w:tc>
          <w:tcPr>
            <w:tcW w:w="6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jc w:val="left"/>
              <w:rPr/>
            </w:pPr>
            <w:r>
              <w:rPr/>
              <w:t> </w:t>
            </w:r>
          </w:p>
        </w:tc>
        <w:tc>
          <w:tcPr>
            <w:tcW w:w="8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785</w:t>
            </w:r>
          </w:p>
        </w:tc>
        <w:tc>
          <w:tcPr>
            <w:tcW w:w="7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2023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547</w:t>
            </w:r>
          </w:p>
        </w:tc>
        <w:tc>
          <w:tcPr>
            <w:tcW w:w="7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2024 and thereafter</w:t>
            </w:r>
          </w:p>
        </w:tc>
        <w:tc>
          <w:tcPr>
            <w:tcW w:w="60" w:type="dxa"/>
            <w:tcBorders/>
            <w:shd w:fill="FFFFFF" w:val="clear"/>
            <w:vAlign w:val="bottom"/>
          </w:tcPr>
          <w:p>
            <w:pPr>
              <w:pStyle w:val="TableContents"/>
              <w:spacing w:before="0" w:after="283"/>
              <w:rPr/>
            </w:pPr>
            <w:r>
              <w:rPr/>
              <w:t> </w:t>
            </w:r>
          </w:p>
        </w:tc>
        <w:tc>
          <w:tcPr>
            <w:tcW w:w="2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2,004</w:t>
            </w:r>
          </w:p>
        </w:tc>
        <w:tc>
          <w:tcPr>
            <w:tcW w:w="7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6,143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8.   </w:t>
      </w:r>
      <w:r>
        <w:rPr>
          <w:rFonts w:ascii="Times New Roman" w:hAnsi="Times New Roman"/>
          <w:sz w:val="17"/>
          <w:u w:val="single"/>
        </w:rPr>
        <w:t>Share Based Compensation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March 31, 2019.  The non-employee director stock purchase plan permits the issuance of additional share based payments for up to 0.2 million shares of common stock as of March 31, 2019. Share based awards and payments are measured at fair value at the date of grant and are expensed over the requisite service period. Common shares issued upon exercise of stock options come from currently authorized but unissued shares.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During the three month periods ended March 31, 2019 and 2018, pursuant to our long-term incentive plan, we granted 0.05 million and 0.04 million shares of restricted stock, respectively and 0.02 million and 0.02 million performance stock units (“PSU”), respectively to certain officers.  Except for 0.002 million shares of restricted stock issued during each three month period in 2019 and 2018 that vest ratably over three years,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During the three month periods ended March 31, 2019 and 2018 we issued 0.003 million and 0.002 million shares, respectively and expensed their value during those same periods.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8" w:name="DSPFPageBreakArea33"/>
      <w:bookmarkStart w:id="349" w:name="DSPFPageBreakArea33"/>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50" w:name="DSPFPageNumber33"/>
      <w:bookmarkStart w:id="351" w:name="DSPFPageNumberArea32"/>
      <w:bookmarkEnd w:id="350"/>
      <w:bookmarkEnd w:id="351"/>
      <w:r>
        <w:rPr>
          <w:rFonts w:ascii="Times New Roman" w:hAnsi="Times New Roman"/>
          <w:b w:val="false"/>
          <w:i w:val="false"/>
          <w:caps w:val="false"/>
          <w:smallCaps w:val="false"/>
          <w:sz w:val="13"/>
        </w:rPr>
        <w:t>34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2" w:name="DSPFPageBreak33"/>
      <w:bookmarkStart w:id="353" w:name="DSPFPageBreak3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54" w:name="DSPFPageHeader32"/>
        <w:bookmarkEnd w:id="35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Total compensation expense recognized for grants pursuant to our long-term incentive plan was $0.4 million during each three month period ended March 31, 2019 and 2018.  The corresponding tax benefit relating to this expense was $0.1 million for each period. Total expense recognized for non-employee director share based payments was $0.05 million during each of the three month periods ended March 31, 2019 and 2018. The corresponding tax benefit relating to this expense was $0.01 million for each period.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At March 31, 2019, the total expected compensation cost related to non-vested restricted stock and PSUs not yet recognized was $3.1 million.  The weighted-average period over which this amount will be recognized is 2.2 years.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summary of outstanding stock option grants and related transactions follows:</w:t>
      </w:r>
    </w:p>
    <w:p>
      <w:pPr>
        <w:pStyle w:val="TextBody"/>
        <w:spacing w:before="0" w:after="0"/>
        <w:rPr/>
      </w:pPr>
      <w:r>
        <w:rPr/>
      </w:r>
    </w:p>
    <w:p>
      <w:pPr>
        <w:pStyle w:val="Normal"/>
        <w:spacing w:before="0" w:after="0"/>
        <w:rPr>
          <w:sz w:val="4"/>
          <w:szCs w:val="4"/>
        </w:rPr>
      </w:pPr>
      <w:r>
        <w:rPr>
          <w:sz w:val="4"/>
          <w:szCs w:val="4"/>
        </w:rPr>
      </w:r>
      <w:bookmarkStart w:id="355" w:name="z20ffb33ba9604df8b664ecb1676d7e32"/>
      <w:bookmarkStart w:id="356" w:name="z20ffb33ba9604df8b664ecb1676d7e32"/>
      <w:bookmarkEnd w:id="356"/>
    </w:p>
    <w:tbl>
      <w:tblPr>
        <w:tblW w:w="6090" w:type="dxa"/>
        <w:jc w:val="left"/>
        <w:tblInd w:w="0" w:type="dxa"/>
        <w:tblCellMar>
          <w:top w:w="0" w:type="dxa"/>
          <w:left w:w="0" w:type="dxa"/>
          <w:bottom w:w="0" w:type="dxa"/>
          <w:right w:w="0" w:type="dxa"/>
        </w:tblCellMar>
      </w:tblPr>
      <w:tblGrid>
        <w:gridCol w:w="2210"/>
        <w:gridCol w:w="60"/>
        <w:gridCol w:w="70"/>
        <w:gridCol w:w="715"/>
        <w:gridCol w:w="80"/>
        <w:gridCol w:w="60"/>
        <w:gridCol w:w="124"/>
        <w:gridCol w:w="481"/>
        <w:gridCol w:w="60"/>
        <w:gridCol w:w="60"/>
        <w:gridCol w:w="186"/>
        <w:gridCol w:w="764"/>
        <w:gridCol w:w="60"/>
        <w:gridCol w:w="60"/>
        <w:gridCol w:w="209"/>
        <w:gridCol w:w="816"/>
        <w:gridCol w:w="75"/>
      </w:tblGrid>
      <w:tr>
        <w:trPr/>
        <w:tc>
          <w:tcPr>
            <w:tcW w:w="2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Number of</w:t>
            </w:r>
          </w:p>
          <w:p>
            <w:pPr>
              <w:pStyle w:val="TableContents"/>
              <w:spacing w:before="0" w:after="0"/>
              <w:jc w:val="center"/>
              <w:rPr>
                <w:rFonts w:ascii="Times New Roman" w:hAnsi="Times New Roman"/>
                <w:sz w:val="17"/>
              </w:rPr>
            </w:pPr>
            <w:r>
              <w:rPr>
                <w:rFonts w:ascii="Times New Roman" w:hAnsi="Times New Roman"/>
                <w:sz w:val="17"/>
              </w:rPr>
              <w:t>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Exercise</w:t>
            </w:r>
          </w:p>
          <w:p>
            <w:pPr>
              <w:pStyle w:val="TableContents"/>
              <w:spacing w:before="0" w:after="0"/>
              <w:jc w:val="center"/>
              <w:rPr>
                <w:rFonts w:ascii="Times New Roman" w:hAnsi="Times New Roman"/>
                <w:sz w:val="17"/>
              </w:rPr>
            </w:pPr>
            <w:r>
              <w:rPr>
                <w:rFonts w:ascii="Times New Roman" w:hAnsi="Times New Roman"/>
                <w:sz w:val="17"/>
              </w:rPr>
              <w:t>Price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Weighted-</w:t>
            </w:r>
          </w:p>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Remaining</w:t>
            </w:r>
          </w:p>
          <w:p>
            <w:pPr>
              <w:pStyle w:val="TableContents"/>
              <w:spacing w:before="0" w:after="0"/>
              <w:jc w:val="center"/>
              <w:rPr>
                <w:rFonts w:ascii="Times New Roman" w:hAnsi="Times New Roman"/>
                <w:sz w:val="17"/>
              </w:rPr>
            </w:pPr>
            <w:r>
              <w:rPr>
                <w:rFonts w:ascii="Times New Roman" w:hAnsi="Times New Roman"/>
                <w:sz w:val="17"/>
              </w:rPr>
              <w:t>Contractual</w:t>
            </w:r>
          </w:p>
          <w:p>
            <w:pPr>
              <w:pStyle w:val="TableContents"/>
              <w:spacing w:before="0" w:after="0"/>
              <w:jc w:val="center"/>
              <w:rPr>
                <w:rFonts w:ascii="Times New Roman" w:hAnsi="Times New Roman"/>
                <w:sz w:val="17"/>
              </w:rPr>
            </w:pPr>
            <w:r>
              <w:rPr>
                <w:rFonts w:ascii="Times New Roman" w:hAnsi="Times New Roman"/>
                <w:sz w:val="17"/>
              </w:rPr>
              <w:t>Term (Years)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Aggregated</w:t>
            </w:r>
          </w:p>
          <w:p>
            <w:pPr>
              <w:pStyle w:val="TableContents"/>
              <w:spacing w:before="0" w:after="0"/>
              <w:jc w:val="center"/>
              <w:rPr>
                <w:rFonts w:ascii="Times New Roman" w:hAnsi="Times New Roman"/>
                <w:sz w:val="17"/>
              </w:rPr>
            </w:pPr>
            <w:r>
              <w:rPr>
                <w:rFonts w:ascii="Times New Roman" w:hAnsi="Times New Roman"/>
                <w:sz w:val="17"/>
              </w:rPr>
              <w:t>Intrinsic</w:t>
            </w:r>
          </w:p>
          <w:p>
            <w:pPr>
              <w:pStyle w:val="TableContents"/>
              <w:spacing w:before="0" w:after="0"/>
              <w:jc w:val="center"/>
              <w:rPr>
                <w:rFonts w:ascii="Times New Roman" w:hAnsi="Times New Roman"/>
                <w:sz w:val="17"/>
              </w:rPr>
            </w:pPr>
            <w:r>
              <w:rPr>
                <w:rFonts w:ascii="Times New Roman" w:hAnsi="Times New Roman"/>
                <w:sz w:val="17"/>
              </w:rPr>
              <w:t>Value</w:t>
            </w:r>
          </w:p>
        </w:tc>
        <w:tc>
          <w:tcPr>
            <w:tcW w:w="75" w:type="dxa"/>
            <w:tcBorders/>
            <w:shd w:fill="auto" w:val="clear"/>
            <w:vAlign w:val="bottom"/>
          </w:tcPr>
          <w:p>
            <w:pPr>
              <w:pStyle w:val="TableContents"/>
              <w:spacing w:before="0" w:after="283"/>
              <w:jc w:val="left"/>
              <w:rPr/>
            </w:pPr>
            <w:r>
              <w:rPr/>
              <w:t> </w:t>
            </w:r>
          </w:p>
        </w:tc>
      </w:tr>
      <w:tr>
        <w:trPr/>
        <w:tc>
          <w:tcPr>
            <w:tcW w:w="2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Outstanding at January 1, 2019</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211,421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95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025" w:type="dxa"/>
            <w:gridSpan w:val="2"/>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r>
      <w:tr>
        <w:trPr/>
        <w:tc>
          <w:tcPr>
            <w:tcW w:w="221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Granted</w:t>
            </w:r>
          </w:p>
        </w:tc>
        <w:tc>
          <w:tcPr>
            <w:tcW w:w="6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jc w:val="left"/>
              <w:rPr/>
            </w:pPr>
            <w:r>
              <w:rPr/>
              <w:t> </w:t>
            </w:r>
          </w:p>
        </w:tc>
        <w:tc>
          <w:tcPr>
            <w:tcW w:w="7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48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95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25" w:type="dxa"/>
            <w:gridSpan w:val="2"/>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Exercised</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(68,399</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48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95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025" w:type="dxa"/>
            <w:gridSpan w:val="2"/>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r>
      <w:tr>
        <w:trPr/>
        <w:tc>
          <w:tcPr>
            <w:tcW w:w="221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Forfeited</w:t>
            </w:r>
          </w:p>
        </w:tc>
        <w:tc>
          <w:tcPr>
            <w:tcW w:w="6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jc w:val="left"/>
              <w:rPr/>
            </w:pPr>
            <w:r>
              <w:rPr/>
              <w:t> </w:t>
            </w:r>
          </w:p>
        </w:tc>
        <w:tc>
          <w:tcPr>
            <w:tcW w:w="7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48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95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025" w:type="dxa"/>
            <w:gridSpan w:val="2"/>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Expired</w:t>
            </w:r>
          </w:p>
        </w:tc>
        <w:tc>
          <w:tcPr>
            <w:tcW w:w="60" w:type="dxa"/>
            <w:tcBorders/>
            <w:shd w:fill="CCEEFF" w:val="clear"/>
            <w:vAlign w:val="bottom"/>
          </w:tcPr>
          <w:p>
            <w:pPr>
              <w:pStyle w:val="TableContents"/>
              <w:spacing w:before="0" w:after="283"/>
              <w:rPr/>
            </w:pPr>
            <w:r>
              <w:rPr/>
              <w:t> </w:t>
            </w:r>
          </w:p>
        </w:tc>
        <w:tc>
          <w:tcPr>
            <w:tcW w:w="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(558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48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95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025" w:type="dxa"/>
            <w:gridSpan w:val="2"/>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r>
      <w:tr>
        <w:trPr/>
        <w:tc>
          <w:tcPr>
            <w:tcW w:w="221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Outstanding at March 31, 2019</w:t>
            </w:r>
          </w:p>
        </w:tc>
        <w:tc>
          <w:tcPr>
            <w:tcW w:w="60" w:type="dxa"/>
            <w:tcBorders/>
            <w:shd w:fill="FFFFFF" w:val="clear"/>
            <w:vAlign w:val="bottom"/>
          </w:tcPr>
          <w:p>
            <w:pPr>
              <w:pStyle w:val="TableContents"/>
              <w:spacing w:before="0" w:after="283"/>
              <w:rPr/>
            </w:pPr>
            <w:r>
              <w:rPr/>
              <w:t> </w:t>
            </w:r>
          </w:p>
        </w:tc>
        <w:tc>
          <w:tcPr>
            <w:tcW w:w="7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142,464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6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2,401</w:t>
            </w:r>
          </w:p>
        </w:tc>
        <w:tc>
          <w:tcPr>
            <w:tcW w:w="75" w:type="dxa"/>
            <w:tcBorders/>
            <w:shd w:fill="FFFFFF"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48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7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21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Vested and expected to vest at</w:t>
            </w:r>
          </w:p>
        </w:tc>
        <w:tc>
          <w:tcPr>
            <w:tcW w:w="6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jc w:val="left"/>
              <w:rPr/>
            </w:pPr>
            <w:r>
              <w:rPr/>
              <w:t> </w:t>
            </w:r>
          </w:p>
        </w:tc>
        <w:tc>
          <w:tcPr>
            <w:tcW w:w="71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48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left"/>
              <w:rPr/>
            </w:pPr>
            <w:r>
              <w:rPr/>
              <w:t> </w:t>
            </w:r>
          </w:p>
        </w:tc>
        <w:tc>
          <w:tcPr>
            <w:tcW w:w="76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221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March 31, 2019</w:t>
            </w:r>
          </w:p>
        </w:tc>
        <w:tc>
          <w:tcPr>
            <w:tcW w:w="60" w:type="dxa"/>
            <w:tcBorders/>
            <w:shd w:fill="CCEEFF" w:val="clear"/>
            <w:vAlign w:val="bottom"/>
          </w:tcPr>
          <w:p>
            <w:pPr>
              <w:pStyle w:val="TableContents"/>
              <w:spacing w:before="0" w:after="283"/>
              <w:rPr/>
            </w:pPr>
            <w:r>
              <w:rPr/>
              <w:t> </w:t>
            </w:r>
          </w:p>
        </w:tc>
        <w:tc>
          <w:tcPr>
            <w:tcW w:w="7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142,464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6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2,401</w:t>
            </w:r>
          </w:p>
        </w:tc>
        <w:tc>
          <w:tcPr>
            <w:tcW w:w="75" w:type="dxa"/>
            <w:tcBorders/>
            <w:shd w:fill="CCEEFF" w:val="clear"/>
            <w:vAlign w:val="bottom"/>
          </w:tcPr>
          <w:p>
            <w:pPr>
              <w:pStyle w:val="TableContents"/>
              <w:spacing w:before="0" w:after="283"/>
              <w:jc w:val="left"/>
              <w:rPr/>
            </w:pPr>
            <w:r>
              <w:rPr/>
              <w:t> </w:t>
            </w:r>
          </w:p>
        </w:tc>
      </w:tr>
      <w:tr>
        <w:trPr/>
        <w:tc>
          <w:tcPr>
            <w:tcW w:w="221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Exercisable at March 31, 2019</w:t>
            </w:r>
          </w:p>
        </w:tc>
        <w:tc>
          <w:tcPr>
            <w:tcW w:w="60" w:type="dxa"/>
            <w:tcBorders/>
            <w:shd w:fill="FFFFFF" w:val="clear"/>
            <w:vAlign w:val="bottom"/>
          </w:tcPr>
          <w:p>
            <w:pPr>
              <w:pStyle w:val="TableContents"/>
              <w:spacing w:before="0" w:after="283"/>
              <w:rPr/>
            </w:pPr>
            <w:r>
              <w:rPr/>
              <w:t> </w:t>
            </w:r>
          </w:p>
        </w:tc>
        <w:tc>
          <w:tcPr>
            <w:tcW w:w="7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142,464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8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4.66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6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6"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2,401</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summary of outstanding non-vested restricted stock and PSUs and related transactions follows:</w:t>
      </w:r>
    </w:p>
    <w:p>
      <w:pPr>
        <w:pStyle w:val="TextBody"/>
        <w:spacing w:before="0" w:after="0"/>
        <w:rPr/>
      </w:pPr>
      <w:r>
        <w:rPr/>
      </w:r>
    </w:p>
    <w:p>
      <w:pPr>
        <w:pStyle w:val="Normal"/>
        <w:spacing w:before="0" w:after="0"/>
        <w:rPr>
          <w:sz w:val="4"/>
          <w:szCs w:val="4"/>
        </w:rPr>
      </w:pPr>
      <w:r>
        <w:rPr>
          <w:sz w:val="4"/>
          <w:szCs w:val="4"/>
        </w:rPr>
      </w:r>
      <w:bookmarkStart w:id="357" w:name="z54807ff6a87542889f2afbf6fd5ea849"/>
      <w:bookmarkStart w:id="358" w:name="z54807ff6a87542889f2afbf6fd5ea849"/>
      <w:bookmarkEnd w:id="358"/>
    </w:p>
    <w:tbl>
      <w:tblPr>
        <w:tblW w:w="3890" w:type="dxa"/>
        <w:jc w:val="left"/>
        <w:tblInd w:w="0" w:type="dxa"/>
        <w:tblCellMar>
          <w:top w:w="0" w:type="dxa"/>
          <w:left w:w="0" w:type="dxa"/>
          <w:bottom w:w="0" w:type="dxa"/>
          <w:right w:w="0" w:type="dxa"/>
        </w:tblCellMar>
      </w:tblPr>
      <w:tblGrid>
        <w:gridCol w:w="2195"/>
        <w:gridCol w:w="60"/>
        <w:gridCol w:w="60"/>
        <w:gridCol w:w="605"/>
        <w:gridCol w:w="80"/>
        <w:gridCol w:w="60"/>
        <w:gridCol w:w="158"/>
        <w:gridCol w:w="612"/>
        <w:gridCol w:w="60"/>
      </w:tblGrid>
      <w:tr>
        <w:trPr/>
        <w:tc>
          <w:tcPr>
            <w:tcW w:w="2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Number</w:t>
            </w:r>
          </w:p>
          <w:p>
            <w:pPr>
              <w:pStyle w:val="TableContents"/>
              <w:spacing w:before="0" w:after="0"/>
              <w:jc w:val="center"/>
              <w:rPr>
                <w:rFonts w:ascii="Times New Roman" w:hAnsi="Times New Roman"/>
                <w:sz w:val="17"/>
              </w:rPr>
            </w:pPr>
            <w:r>
              <w:rPr>
                <w:rFonts w:ascii="Times New Roman" w:hAnsi="Times New Roman"/>
                <w:sz w:val="17"/>
              </w:rPr>
              <w:t>of 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Weighted-</w:t>
            </w:r>
          </w:p>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Grant Date</w:t>
            </w:r>
          </w:p>
          <w:p>
            <w:pPr>
              <w:pStyle w:val="TableContents"/>
              <w:spacing w:before="0" w:after="0"/>
              <w:jc w:val="center"/>
              <w:rPr>
                <w:rFonts w:ascii="Times New Roman" w:hAnsi="Times New Roman"/>
                <w:sz w:val="17"/>
              </w:rPr>
            </w:pPr>
            <w:r>
              <w:rPr>
                <w:rFonts w:ascii="Times New Roman" w:hAnsi="Times New Roman"/>
                <w:sz w:val="17"/>
              </w:rPr>
              <w:t>Fair Value</w:t>
            </w:r>
          </w:p>
        </w:tc>
        <w:tc>
          <w:tcPr>
            <w:tcW w:w="60"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Outstanding at January 1, 2019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258,419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19.00</w:t>
            </w:r>
          </w:p>
        </w:tc>
        <w:tc>
          <w:tcPr>
            <w:tcW w:w="60" w:type="dxa"/>
            <w:tcBorders/>
            <w:shd w:fill="CCEEFF" w:val="clear"/>
            <w:vAlign w:val="bottom"/>
          </w:tcPr>
          <w:p>
            <w:pPr>
              <w:pStyle w:val="TableContents"/>
              <w:spacing w:before="0" w:after="283"/>
              <w:jc w:val="left"/>
              <w:rPr/>
            </w:pPr>
            <w:r>
              <w:rPr/>
              <w:t> </w:t>
            </w:r>
          </w:p>
        </w:tc>
      </w:tr>
      <w:tr>
        <w:trPr/>
        <w:tc>
          <w:tcPr>
            <w:tcW w:w="219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Granted</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74,732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23.07</w:t>
            </w:r>
          </w:p>
        </w:tc>
        <w:tc>
          <w:tcPr>
            <w:tcW w:w="60" w:type="dxa"/>
            <w:tcBorders/>
            <w:shd w:fill="FFFFFF"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Vested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(85,788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1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14.55</w:t>
            </w:r>
          </w:p>
        </w:tc>
        <w:tc>
          <w:tcPr>
            <w:tcW w:w="60" w:type="dxa"/>
            <w:tcBorders/>
            <w:shd w:fill="CCEEFF" w:val="clear"/>
            <w:vAlign w:val="bottom"/>
          </w:tcPr>
          <w:p>
            <w:pPr>
              <w:pStyle w:val="TableContents"/>
              <w:spacing w:before="0" w:after="283"/>
              <w:jc w:val="left"/>
              <w:rPr/>
            </w:pPr>
            <w:r>
              <w:rPr/>
              <w:t> </w:t>
            </w:r>
          </w:p>
        </w:tc>
      </w:tr>
      <w:tr>
        <w:trPr/>
        <w:tc>
          <w:tcPr>
            <w:tcW w:w="219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Forfeited</w:t>
            </w:r>
          </w:p>
        </w:tc>
        <w:tc>
          <w:tcPr>
            <w:tcW w:w="60" w:type="dxa"/>
            <w:tcBorders/>
            <w:shd w:fill="FFFFFF" w:val="clear"/>
            <w:vAlign w:val="bottom"/>
          </w:tcPr>
          <w:p>
            <w:pPr>
              <w:pStyle w:val="TableContents"/>
              <w:spacing w:before="0" w:after="283"/>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(10,780</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61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22.94</w:t>
            </w:r>
          </w:p>
        </w:tc>
        <w:tc>
          <w:tcPr>
            <w:tcW w:w="60" w:type="dxa"/>
            <w:tcBorders/>
            <w:shd w:fill="FFFFFF"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Outstanding at March 31, 2019</w:t>
            </w:r>
          </w:p>
        </w:tc>
        <w:tc>
          <w:tcPr>
            <w:tcW w:w="60" w:type="dxa"/>
            <w:tcBorders/>
            <w:shd w:fill="CCEEFF" w:val="cle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236,583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21.73</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Certain information regarding options exercised during the periods follows:</w:t>
      </w:r>
    </w:p>
    <w:p>
      <w:pPr>
        <w:pStyle w:val="TextBody"/>
        <w:spacing w:before="0" w:after="0"/>
        <w:rPr/>
      </w:pPr>
      <w:r>
        <w:rPr/>
      </w:r>
    </w:p>
    <w:p>
      <w:pPr>
        <w:pStyle w:val="Normal"/>
        <w:spacing w:before="0" w:after="0"/>
        <w:rPr>
          <w:sz w:val="4"/>
          <w:szCs w:val="4"/>
        </w:rPr>
      </w:pPr>
      <w:r>
        <w:rPr>
          <w:sz w:val="4"/>
          <w:szCs w:val="4"/>
        </w:rPr>
      </w:r>
      <w:bookmarkStart w:id="359" w:name="zc765908d66f9443bb1b1299bcdbd05d8"/>
      <w:bookmarkStart w:id="360" w:name="zc765908d66f9443bb1b1299bcdbd05d8"/>
      <w:bookmarkEnd w:id="360"/>
    </w:p>
    <w:tbl>
      <w:tblPr>
        <w:tblW w:w="3280" w:type="dxa"/>
        <w:jc w:val="left"/>
        <w:tblInd w:w="0" w:type="dxa"/>
        <w:tblCellMar>
          <w:top w:w="0" w:type="dxa"/>
          <w:left w:w="0" w:type="dxa"/>
          <w:bottom w:w="0" w:type="dxa"/>
          <w:right w:w="0" w:type="dxa"/>
        </w:tblCellMar>
      </w:tblPr>
      <w:tblGrid>
        <w:gridCol w:w="1655"/>
        <w:gridCol w:w="60"/>
        <w:gridCol w:w="197"/>
        <w:gridCol w:w="520"/>
        <w:gridCol w:w="107"/>
        <w:gridCol w:w="107"/>
        <w:gridCol w:w="197"/>
        <w:gridCol w:w="362"/>
        <w:gridCol w:w="75"/>
      </w:tblGrid>
      <w:tr>
        <w:trPr/>
        <w:tc>
          <w:tcPr>
            <w:tcW w:w="16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75" w:type="dxa"/>
            <w:tcBorders/>
            <w:shd w:fill="auto" w:val="clear"/>
            <w:vAlign w:val="bottom"/>
          </w:tcPr>
          <w:p>
            <w:pPr>
              <w:pStyle w:val="TableContents"/>
              <w:spacing w:before="0" w:after="283"/>
              <w:jc w:val="left"/>
              <w:rPr/>
            </w:pPr>
            <w:r>
              <w:rPr/>
              <w:t> </w:t>
            </w:r>
          </w:p>
        </w:tc>
      </w:tr>
      <w:tr>
        <w:trPr/>
        <w:tc>
          <w:tcPr>
            <w:tcW w:w="16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5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16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7"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55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65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Intrinsic value</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836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6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78</w:t>
            </w:r>
          </w:p>
        </w:tc>
        <w:tc>
          <w:tcPr>
            <w:tcW w:w="75" w:type="dxa"/>
            <w:tcBorders/>
            <w:shd w:fill="CCEEFF" w:val="clear"/>
            <w:vAlign w:val="bottom"/>
          </w:tcPr>
          <w:p>
            <w:pPr>
              <w:pStyle w:val="TableContents"/>
              <w:spacing w:before="0" w:after="283"/>
              <w:jc w:val="left"/>
              <w:rPr/>
            </w:pPr>
            <w:r>
              <w:rPr/>
              <w:t> </w:t>
            </w:r>
          </w:p>
        </w:tc>
      </w:tr>
      <w:tr>
        <w:trPr/>
        <w:tc>
          <w:tcPr>
            <w:tcW w:w="165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Cash proceeds received</w:t>
            </w:r>
          </w:p>
        </w:tc>
        <w:tc>
          <w:tcPr>
            <w:tcW w:w="60" w:type="dxa"/>
            <w:tcBorders/>
            <w:shd w:fill="FFFFFF" w:val="clear"/>
            <w:vAlign w:val="bottom"/>
          </w:tcPr>
          <w:p>
            <w:pPr>
              <w:pStyle w:val="TableContents"/>
              <w:spacing w:before="0" w:after="283"/>
              <w:rPr/>
            </w:pPr>
            <w:r>
              <w:rPr/>
              <w:t> </w:t>
            </w:r>
          </w:p>
        </w:tc>
        <w:tc>
          <w:tcPr>
            <w:tcW w:w="19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695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9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6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w:t>
            </w:r>
          </w:p>
        </w:tc>
        <w:tc>
          <w:tcPr>
            <w:tcW w:w="75" w:type="dxa"/>
            <w:tcBorders/>
            <w:shd w:fill="FFFFFF" w:val="clear"/>
            <w:vAlign w:val="bottom"/>
          </w:tcPr>
          <w:p>
            <w:pPr>
              <w:pStyle w:val="TableContents"/>
              <w:spacing w:before="0" w:after="283"/>
              <w:jc w:val="left"/>
              <w:rPr/>
            </w:pPr>
            <w:r>
              <w:rPr/>
              <w:t> </w:t>
            </w:r>
          </w:p>
        </w:tc>
      </w:tr>
      <w:tr>
        <w:trPr/>
        <w:tc>
          <w:tcPr>
            <w:tcW w:w="165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Tax benefit realized</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6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1" w:name="DSPFPageBreakArea34"/>
      <w:bookmarkStart w:id="362" w:name="DSPFPageBreakArea34"/>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63" w:name="DSPFPageNumber34"/>
      <w:bookmarkStart w:id="364" w:name="DSPFPageNumberArea33"/>
      <w:bookmarkEnd w:id="363"/>
      <w:bookmarkEnd w:id="364"/>
      <w:r>
        <w:rPr>
          <w:rFonts w:ascii="Times New Roman" w:hAnsi="Times New Roman"/>
          <w:b w:val="false"/>
          <w:i w:val="false"/>
          <w:caps w:val="false"/>
          <w:smallCaps w:val="false"/>
          <w:sz w:val="13"/>
        </w:rPr>
        <w:t>35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5" w:name="DSPFPageBreak34"/>
      <w:bookmarkStart w:id="366" w:name="DSPFPageBreak34"/>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67" w:name="DSPFPageHeader33"/>
        <w:bookmarkEnd w:id="36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9.   </w:t>
      </w:r>
      <w:r>
        <w:rPr>
          <w:rFonts w:ascii="Times New Roman" w:hAnsi="Times New Roman"/>
          <w:sz w:val="17"/>
          <w:u w:val="single"/>
        </w:rPr>
        <w:t>Income Tax</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Income tax expense was $2.2 million and $2.0 million during the three month periods ended March 31, 2019 and 2018,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quarters of 2019 and 2018 each include reductions of $0.2 million of income tax expense related to impact of the excess value of stock awards that vested and stock options that were exercised as compared to the initial fair values that were expensed.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2019 and 2018, that the realization of substantially all of our deferred tax assets continues to be more likely than not.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At both March 31, 2019 and December 31, 2018, we had approximately $0.6 million, of gross unrecognized tax benefits.  We do not expect the total amount of unrecognized tax benefits to significantly increase or decrease during the balance of 2019.</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10. </w:t>
      </w:r>
      <w:r>
        <w:rPr>
          <w:rFonts w:ascii="Times New Roman" w:hAnsi="Times New Roman"/>
          <w:sz w:val="17"/>
          <w:u w:val="single"/>
        </w:rPr>
        <w:t>Regulatory Matters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2019, the Bank had positive undivided profits of $28.5 million.  It is not our intent to have dividends paid in amounts that would reduce the capital of our Bank to levels below those which we consider prudent and in accordance with guidelines of regulatory authorities.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March 31, 2019 and December 31, 2018, categorized our Bank as well capitalized. Management is not aware of any conditions or events that would have changed the most recent Federal Deposit Insurance Corporation (“FDIC”) categorization.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8" w:name="DSPFPageBreakArea35"/>
      <w:bookmarkStart w:id="369" w:name="DSPFPageBreakArea35"/>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70" w:name="DSPFPageNumber35"/>
      <w:bookmarkStart w:id="371" w:name="DSPFPageNumberArea34"/>
      <w:bookmarkEnd w:id="370"/>
      <w:bookmarkEnd w:id="371"/>
      <w:r>
        <w:rPr>
          <w:rFonts w:ascii="Times New Roman" w:hAnsi="Times New Roman"/>
          <w:b w:val="false"/>
          <w:i w:val="false"/>
          <w:caps w:val="false"/>
          <w:smallCaps w:val="false"/>
          <w:sz w:val="13"/>
        </w:rPr>
        <w:t>36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2" w:name="DSPFPageBreak35"/>
      <w:bookmarkStart w:id="373" w:name="DSPFPageBreak35"/>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74" w:name="DSPFPageHeader34"/>
        <w:bookmarkEnd w:id="37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lineRule="auto" w:line="240" w:before="0" w:after="0"/>
        <w:jc w:val="both"/>
        <w:rPr>
          <w:rFonts w:ascii="Times New Roman" w:hAnsi="Times New Roman"/>
          <w:sz w:val="17"/>
        </w:rPr>
      </w:pPr>
      <w:r>
        <w:rPr>
          <w:rFonts w:ascii="Times New Roman" w:hAnsi="Times New Roman"/>
          <w:sz w:val="17"/>
        </w:rPr>
        <w:t>Our actual capital amounts and ratios follow(1):</w:t>
      </w:r>
    </w:p>
    <w:p>
      <w:pPr>
        <w:pStyle w:val="TextBody"/>
        <w:spacing w:before="0" w:after="0"/>
        <w:rPr/>
      </w:pPr>
      <w:r>
        <w:rPr/>
      </w:r>
    </w:p>
    <w:p>
      <w:pPr>
        <w:pStyle w:val="Normal"/>
        <w:spacing w:before="0" w:after="0"/>
        <w:rPr>
          <w:sz w:val="4"/>
          <w:szCs w:val="4"/>
        </w:rPr>
      </w:pPr>
      <w:r>
        <w:rPr>
          <w:sz w:val="4"/>
          <w:szCs w:val="4"/>
        </w:rPr>
      </w:r>
      <w:bookmarkStart w:id="375" w:name="z3873fa1ceabb43269fc4cf36a85b3339"/>
      <w:bookmarkStart w:id="376" w:name="z3873fa1ceabb43269fc4cf36a85b3339"/>
      <w:bookmarkEnd w:id="376"/>
    </w:p>
    <w:tbl>
      <w:tblPr>
        <w:tblW w:w="8590" w:type="dxa"/>
        <w:jc w:val="left"/>
        <w:tblInd w:w="0" w:type="dxa"/>
        <w:tblCellMar>
          <w:top w:w="0" w:type="dxa"/>
          <w:left w:w="0" w:type="dxa"/>
          <w:bottom w:w="0" w:type="dxa"/>
          <w:right w:w="0" w:type="dxa"/>
        </w:tblCellMar>
      </w:tblPr>
      <w:tblGrid>
        <w:gridCol w:w="3665"/>
        <w:gridCol w:w="60"/>
        <w:gridCol w:w="110"/>
        <w:gridCol w:w="605"/>
        <w:gridCol w:w="60"/>
        <w:gridCol w:w="60"/>
        <w:gridCol w:w="60"/>
        <w:gridCol w:w="425"/>
        <w:gridCol w:w="155"/>
        <w:gridCol w:w="60"/>
        <w:gridCol w:w="145"/>
        <w:gridCol w:w="799"/>
        <w:gridCol w:w="79"/>
        <w:gridCol w:w="79"/>
        <w:gridCol w:w="79"/>
        <w:gridCol w:w="444"/>
        <w:gridCol w:w="155"/>
        <w:gridCol w:w="60"/>
        <w:gridCol w:w="110"/>
        <w:gridCol w:w="605"/>
        <w:gridCol w:w="60"/>
        <w:gridCol w:w="60"/>
        <w:gridCol w:w="60"/>
        <w:gridCol w:w="425"/>
        <w:gridCol w:w="170"/>
      </w:tblGrid>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Actual</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2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Minimum for</w:t>
            </w:r>
          </w:p>
          <w:p>
            <w:pPr>
              <w:pStyle w:val="TableContents"/>
              <w:spacing w:before="0" w:after="0"/>
              <w:jc w:val="center"/>
              <w:rPr>
                <w:rFonts w:ascii="Times New Roman" w:hAnsi="Times New Roman"/>
                <w:sz w:val="17"/>
              </w:rPr>
            </w:pPr>
            <w:r>
              <w:rPr>
                <w:rFonts w:ascii="Times New Roman" w:hAnsi="Times New Roman"/>
                <w:sz w:val="17"/>
              </w:rPr>
              <w:t>Adequately Capitalized</w:t>
            </w:r>
          </w:p>
          <w:p>
            <w:pPr>
              <w:pStyle w:val="TableContents"/>
              <w:spacing w:before="0" w:after="0"/>
              <w:jc w:val="center"/>
              <w:rPr>
                <w:rFonts w:ascii="Times New Roman" w:hAnsi="Times New Roman"/>
                <w:sz w:val="17"/>
              </w:rPr>
            </w:pPr>
            <w:r>
              <w:rPr>
                <w:rFonts w:ascii="Times New Roman" w:hAnsi="Times New Roman"/>
                <w:sz w:val="17"/>
              </w:rPr>
              <w:t>Institutions</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2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Minimum for</w:t>
            </w:r>
          </w:p>
          <w:p>
            <w:pPr>
              <w:pStyle w:val="TableContents"/>
              <w:spacing w:before="0" w:after="0"/>
              <w:jc w:val="center"/>
              <w:rPr>
                <w:rFonts w:ascii="Times New Roman" w:hAnsi="Times New Roman"/>
                <w:sz w:val="17"/>
              </w:rPr>
            </w:pPr>
            <w:r>
              <w:rPr>
                <w:rFonts w:ascii="Times New Roman" w:hAnsi="Times New Roman"/>
                <w:sz w:val="17"/>
              </w:rPr>
              <w:t>Well-Capitalized</w:t>
            </w:r>
          </w:p>
          <w:p>
            <w:pPr>
              <w:pStyle w:val="TableContents"/>
              <w:spacing w:before="0" w:after="0"/>
              <w:jc w:val="center"/>
              <w:rPr>
                <w:rFonts w:ascii="Times New Roman" w:hAnsi="Times New Roman"/>
                <w:sz w:val="17"/>
              </w:rPr>
            </w:pPr>
            <w:r>
              <w:rPr>
                <w:rFonts w:ascii="Times New Roman" w:hAnsi="Times New Roman"/>
                <w:sz w:val="17"/>
              </w:rPr>
              <w:t>Institutions</w:t>
            </w:r>
          </w:p>
        </w:tc>
        <w:tc>
          <w:tcPr>
            <w:tcW w:w="170"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Ratio</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Amount</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52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Ratio</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Ratio</w:t>
            </w:r>
          </w:p>
        </w:tc>
        <w:tc>
          <w:tcPr>
            <w:tcW w:w="170"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95"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170"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4"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52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4"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52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r>
      <w:tr>
        <w:trPr/>
        <w:tc>
          <w:tcPr>
            <w:tcW w:w="366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Total capital to risk-weighted assets</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4"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52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376,194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14.29</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210,568</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71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8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340,950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12.96</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210,464</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263,079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10.00</w:t>
            </w:r>
          </w:p>
        </w:tc>
        <w:tc>
          <w:tcPr>
            <w:tcW w:w="17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Tier 1 capital to risk-weighted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349,484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13.28</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157,926</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71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8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314,240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11.94</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157,848</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6.00</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210,464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7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80" w:right="0" w:hanging="180"/>
              <w:jc w:val="left"/>
              <w:rPr/>
            </w:pPr>
            <w:r>
              <w:rPr>
                <w:rFonts w:ascii="Times New Roman" w:hAnsi="Times New Roman"/>
                <w:sz w:val="17"/>
              </w:rPr>
              <w:t>Common equity tier 1 capital to</w:t>
            </w:r>
            <w:r>
              <w:rPr/>
              <w:t xml:space="preserve"> </w:t>
            </w:r>
            <w:r>
              <w:rPr>
                <w:rFonts w:ascii="Times                        New Roman" w:hAnsi="Times                        New Roman"/>
                <w:sz w:val="17"/>
              </w:rPr>
              <w:t>risk-weighted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311,303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11.83</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118,445</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71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8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314,240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11.94</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118,386</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4.50</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171,002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6.50</w:t>
            </w:r>
          </w:p>
        </w:tc>
        <w:tc>
          <w:tcPr>
            <w:tcW w:w="17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Tier 1 capital to average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349,484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10.51</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133,025</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71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485" w:type="dxa"/>
            <w:gridSpan w:val="2"/>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314,240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9.46</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132,924</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4.00</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166,154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5.00</w:t>
            </w:r>
          </w:p>
        </w:tc>
        <w:tc>
          <w:tcPr>
            <w:tcW w:w="17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Total capital to risk-weighted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371,603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14.25</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208,572</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71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8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337,227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208,456</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260,569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10.00</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Tier 1 capital to risk-weighted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345,419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13.25</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156,429</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6.00</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71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8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311,043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156,342</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208,456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8.00</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80" w:right="0" w:hanging="180"/>
              <w:jc w:val="left"/>
              <w:rPr/>
            </w:pPr>
            <w:r>
              <w:rPr>
                <w:rFonts w:ascii="Times New Roman" w:hAnsi="Times New Roman"/>
                <w:sz w:val="17"/>
              </w:rPr>
              <w:t>Common equity tier 1 capital to</w:t>
            </w:r>
            <w:r>
              <w:rPr/>
              <w:t xml:space="preserve"> </w:t>
            </w:r>
            <w:r>
              <w:rPr>
                <w:rFonts w:ascii="Times                        New Roman" w:hAnsi="Times                        New Roman"/>
                <w:sz w:val="17"/>
              </w:rPr>
              <w:t>risk-weighted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307,255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11.79</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117,322</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4.50</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71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8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311,043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117,256</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169,370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6.50</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799"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Tier 1 capital to average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66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Consolidated</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345,419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10.47</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9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131,930</w:t>
            </w:r>
          </w:p>
        </w:tc>
        <w:tc>
          <w:tcPr>
            <w:tcW w:w="79" w:type="dxa"/>
            <w:tcBorders/>
            <w:shd w:fill="FFFFFF" w:val="clear"/>
            <w:vAlign w:val="bottom"/>
          </w:tcPr>
          <w:p>
            <w:pPr>
              <w:pStyle w:val="TableContents"/>
              <w:spacing w:before="0" w:after="283"/>
              <w:jc w:val="lef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jc w:val="left"/>
              <w:rPr/>
            </w:pPr>
            <w:r>
              <w:rPr/>
              <w:t> </w:t>
            </w:r>
          </w:p>
        </w:tc>
        <w:tc>
          <w:tcPr>
            <w:tcW w:w="4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4.00</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71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85" w:type="dxa"/>
            <w:gridSpan w:val="2"/>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NA</w:t>
            </w:r>
          </w:p>
        </w:tc>
        <w:tc>
          <w:tcPr>
            <w:tcW w:w="170" w:type="dxa"/>
            <w:tcBorders/>
            <w:shd w:fill="FFFFFF" w:val="clear"/>
            <w:vAlign w:val="bottom"/>
          </w:tcPr>
          <w:p>
            <w:pPr>
              <w:pStyle w:val="TableContents"/>
              <w:spacing w:before="0" w:after="283"/>
              <w:jc w:val="left"/>
              <w:rPr/>
            </w:pPr>
            <w:r>
              <w:rPr/>
              <w:t> </w:t>
            </w:r>
          </w:p>
        </w:tc>
      </w:tr>
      <w:tr>
        <w:trPr/>
        <w:tc>
          <w:tcPr>
            <w:tcW w:w="366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Independent Bank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311,043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9.44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131,778</w:t>
            </w:r>
          </w:p>
        </w:tc>
        <w:tc>
          <w:tcPr>
            <w:tcW w:w="79" w:type="dxa"/>
            <w:tcBorders/>
            <w:shd w:fill="CCEEFF" w:val="clear"/>
            <w:vAlign w:val="bottom"/>
          </w:tcPr>
          <w:p>
            <w:pPr>
              <w:pStyle w:val="TableContents"/>
              <w:spacing w:before="0" w:after="283"/>
              <w:jc w:val="lef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jc w:val="left"/>
              <w:rPr/>
            </w:pPr>
            <w:r>
              <w:rPr/>
              <w:t> </w:t>
            </w:r>
          </w:p>
        </w:tc>
        <w:tc>
          <w:tcPr>
            <w:tcW w:w="4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164,723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5.00</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66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 </w:t>
            </w:r>
          </w:p>
        </w:tc>
        <w:tc>
          <w:tcPr>
            <w:tcW w:w="79" w:type="dxa"/>
            <w:tcBorders/>
            <w:shd w:fill="auto" w:val="clear"/>
            <w:vAlign w:val="bottom"/>
          </w:tcPr>
          <w:p>
            <w:pPr>
              <w:pStyle w:val="TableContents"/>
              <w:spacing w:before="0" w:after="283"/>
              <w:jc w:val="left"/>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c>
          <w:tcPr>
            <w:tcW w:w="4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25"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r>
    </w:tbl>
    <w:p>
      <w:pPr>
        <w:pStyle w:val="TextBody"/>
        <w:spacing w:lineRule="auto" w:line="240" w:before="80" w:after="0"/>
        <w:ind w:left="144" w:right="0" w:hanging="144"/>
        <w:jc w:val="left"/>
        <w:rPr>
          <w:rFonts w:ascii="Times New Roman" w:hAnsi="Times New Roman"/>
          <w:sz w:val="17"/>
        </w:rPr>
      </w:pPr>
      <w:r>
        <w:rPr>
          <w:rFonts w:ascii="Times New Roman" w:hAnsi="Times New Roman"/>
          <w:sz w:val="17"/>
        </w:rPr>
        <w:t>(1) These ratios do not reflect a capital conservation buffer of 2.50% and 1.875% at March 31, 2019 and December31, 2018, respectfully.</w:t>
      </w:r>
    </w:p>
    <w:p>
      <w:pPr>
        <w:pStyle w:val="TextBody"/>
        <w:spacing w:before="0" w:after="0"/>
        <w:ind w:left="144" w:right="0" w:hanging="144"/>
        <w:jc w:val="left"/>
        <w:rPr>
          <w:rFonts w:ascii="Times New Roman" w:hAnsi="Times New Roman"/>
          <w:sz w:val="17"/>
        </w:rPr>
      </w:pPr>
      <w:r>
        <w:rPr>
          <w:rFonts w:ascii="Times New Roman" w:hAnsi="Times New Roman"/>
          <w:sz w:val="17"/>
        </w:rPr>
        <w:t>NA - 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7" w:name="DSPFPageBreakArea36"/>
      <w:bookmarkStart w:id="378" w:name="DSPFPageBreakArea36"/>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79" w:name="DSPFPageNumber36"/>
      <w:bookmarkStart w:id="380" w:name="DSPFPageNumberArea35"/>
      <w:bookmarkEnd w:id="379"/>
      <w:bookmarkEnd w:id="380"/>
      <w:r>
        <w:rPr>
          <w:rFonts w:ascii="Times New Roman" w:hAnsi="Times New Roman"/>
          <w:b w:val="false"/>
          <w:i w:val="false"/>
          <w:caps w:val="false"/>
          <w:smallCaps w:val="false"/>
          <w:sz w:val="13"/>
        </w:rPr>
        <w:t>37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1" w:name="DSPFPageBreak36"/>
      <w:bookmarkStart w:id="382" w:name="DSPFPageBreak36"/>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83" w:name="DSPFPageHeader35"/>
        <w:bookmarkEnd w:id="38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components of our regulatory capital are as follows:</w:t>
      </w:r>
    </w:p>
    <w:p>
      <w:pPr>
        <w:pStyle w:val="TextBody"/>
        <w:spacing w:before="0" w:after="0"/>
        <w:rPr/>
      </w:pPr>
      <w:r>
        <w:rPr/>
      </w:r>
    </w:p>
    <w:p>
      <w:pPr>
        <w:pStyle w:val="Normal"/>
        <w:spacing w:before="0" w:after="0"/>
        <w:rPr>
          <w:sz w:val="4"/>
          <w:szCs w:val="4"/>
        </w:rPr>
      </w:pPr>
      <w:r>
        <w:rPr>
          <w:sz w:val="4"/>
          <w:szCs w:val="4"/>
        </w:rPr>
      </w:r>
      <w:bookmarkStart w:id="384" w:name="z1496d2a541d546d5869dfe0f42a8fb0a"/>
      <w:bookmarkStart w:id="385" w:name="z1496d2a541d546d5869dfe0f42a8fb0a"/>
      <w:bookmarkEnd w:id="385"/>
    </w:p>
    <w:tbl>
      <w:tblPr>
        <w:tblW w:w="10205" w:type="dxa"/>
        <w:jc w:val="left"/>
        <w:tblInd w:w="0" w:type="dxa"/>
        <w:tblCellMar>
          <w:top w:w="0" w:type="dxa"/>
          <w:left w:w="0" w:type="dxa"/>
          <w:bottom w:w="0" w:type="dxa"/>
          <w:right w:w="0" w:type="dxa"/>
        </w:tblCellMar>
      </w:tblPr>
      <w:tblGrid>
        <w:gridCol w:w="6160"/>
        <w:gridCol w:w="60"/>
        <w:gridCol w:w="113"/>
        <w:gridCol w:w="627"/>
        <w:gridCol w:w="80"/>
        <w:gridCol w:w="60"/>
        <w:gridCol w:w="153"/>
        <w:gridCol w:w="842"/>
        <w:gridCol w:w="80"/>
        <w:gridCol w:w="60"/>
        <w:gridCol w:w="113"/>
        <w:gridCol w:w="627"/>
        <w:gridCol w:w="80"/>
        <w:gridCol w:w="60"/>
        <w:gridCol w:w="153"/>
        <w:gridCol w:w="842"/>
        <w:gridCol w:w="95"/>
      </w:tblGrid>
      <w:tr>
        <w:trPr/>
        <w:tc>
          <w:tcPr>
            <w:tcW w:w="6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Consolidated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7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Independent Bank</w:t>
            </w:r>
          </w:p>
        </w:tc>
        <w:tc>
          <w:tcPr>
            <w:tcW w:w="95" w:type="dxa"/>
            <w:tcBorders/>
            <w:shd w:fill="auto" w:val="clear"/>
            <w:vAlign w:val="bottom"/>
          </w:tcPr>
          <w:p>
            <w:pPr>
              <w:pStyle w:val="TableContents"/>
              <w:spacing w:before="0" w:after="283"/>
              <w:jc w:val="left"/>
              <w:rPr/>
            </w:pPr>
            <w:r>
              <w:rPr/>
              <w:t> </w:t>
            </w:r>
          </w:p>
        </w:tc>
      </w:tr>
      <w:tr>
        <w:trPr/>
        <w:tc>
          <w:tcPr>
            <w:tcW w:w="6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6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90"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Total shareholders’ equity</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344,726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338,994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347,663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341,496</w:t>
            </w:r>
          </w:p>
        </w:tc>
        <w:tc>
          <w:tcPr>
            <w:tcW w:w="95"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Add (deduct)</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Accumulated other comprehensive loss for regulatory purposes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4,311</w:t>
            </w:r>
          </w:p>
        </w:tc>
        <w:tc>
          <w:tcPr>
            <w:tcW w:w="95"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Goodwill and other intangibles</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(34,443</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(34,715</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(34,443</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(34,715</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616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Disallowed deferred tax assets</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(1,335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616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Common equity tier 1 capital</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311,303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307,255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314,240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311,043</w:t>
            </w:r>
          </w:p>
        </w:tc>
        <w:tc>
          <w:tcPr>
            <w:tcW w:w="95" w:type="dxa"/>
            <w:tcBorders/>
            <w:shd w:fill="FFFFFF"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Qualifying trust preferred securities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38,181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38,164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Disallowed deferred tax assets</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FFFFFF"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Tier 1 capital</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349,484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345,419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314,240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311,043</w:t>
            </w:r>
          </w:p>
        </w:tc>
        <w:tc>
          <w:tcPr>
            <w:tcW w:w="95"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Allowance for loan losses and allowance for unfunded lending commitments limited to 1.25% of total risk-weighted assets</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26,710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26,184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26,710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26,184</w:t>
            </w:r>
          </w:p>
        </w:tc>
        <w:tc>
          <w:tcPr>
            <w:tcW w:w="95" w:type="dxa"/>
            <w:tcBorders/>
            <w:shd w:fill="FFFFFF"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Total risk-based capital</w:t>
            </w:r>
          </w:p>
        </w:tc>
        <w:tc>
          <w:tcPr>
            <w:tcW w:w="60"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376,194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371,603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340,950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337,227</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11.</w:t>
      </w:r>
      <w:r>
        <w:rPr>
          <w:rFonts w:ascii="Times New Roman" w:hAnsi="Times New Roman"/>
          <w:sz w:val="17"/>
          <w:u w:val="single"/>
        </w:rPr>
        <w:t xml:space="preserve"> Fair Value Disclosures</w:t>
      </w:r>
    </w:p>
    <w:p>
      <w:pPr>
        <w:pStyle w:val="TextBody"/>
        <w:spacing w:before="0" w:after="0"/>
        <w:jc w:val="both"/>
        <w:rPr>
          <w:rFonts w:ascii="Times New Roman" w:hAnsi="Times New Roman"/>
          <w:sz w:val="17"/>
          <w:u w:val="single"/>
        </w:rPr>
      </w:pPr>
      <w:r>
        <w:rPr>
          <w:rFonts w:ascii="Times New Roman" w:hAnsi="Times New Roman"/>
          <w:sz w:val="17"/>
          <w:u w:val="single"/>
        </w:rPr>
      </w:r>
    </w:p>
    <w:p>
      <w:pPr>
        <w:pStyle w:val="TextBody"/>
        <w:spacing w:before="0" w:after="0"/>
        <w:jc w:val="both"/>
        <w:rPr>
          <w:rFonts w:ascii="Times New Roman" w:hAnsi="Times New Roman"/>
          <w:sz w:val="17"/>
        </w:rPr>
      </w:pPr>
      <w:r>
        <w:rPr>
          <w:rFonts w:ascii="Times New Roman" w:hAnsi="Times New Roman"/>
          <w:sz w:val="17"/>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standard describes three levels of inputs that may be used to measure fair value:</w:t>
      </w:r>
    </w:p>
    <w:p>
      <w:pPr>
        <w:pStyle w:val="TextBody"/>
        <w:spacing w:before="0" w:after="0"/>
        <w:rPr/>
      </w:pPr>
      <w:r>
        <w:rPr/>
      </w:r>
    </w:p>
    <w:p>
      <w:pPr>
        <w:pStyle w:val="TextBody"/>
        <w:spacing w:before="0" w:after="0"/>
        <w:ind w:left="720" w:right="0" w:hanging="0"/>
        <w:jc w:val="both"/>
        <w:rPr>
          <w:rFonts w:ascii="Times New Roman" w:hAnsi="Times New Roman"/>
          <w:sz w:val="17"/>
        </w:rPr>
      </w:pPr>
      <w:r>
        <w:rPr>
          <w:rFonts w:ascii="Times New Roman" w:hAnsi="Times New Roman"/>
          <w:sz w:val="17"/>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pStyle w:val="TextBody"/>
        <w:spacing w:before="0" w:after="0"/>
        <w:rPr/>
      </w:pPr>
      <w:r>
        <w:rPr/>
      </w:r>
    </w:p>
    <w:p>
      <w:pPr>
        <w:pStyle w:val="TextBody"/>
        <w:spacing w:before="0" w:after="0"/>
        <w:ind w:left="720" w:right="0" w:hanging="0"/>
        <w:jc w:val="both"/>
        <w:rPr>
          <w:rFonts w:ascii="Times New Roman" w:hAnsi="Times New Roman"/>
          <w:sz w:val="17"/>
        </w:rPr>
      </w:pPr>
      <w:r>
        <w:rPr>
          <w:rFonts w:ascii="Times New Roman" w:hAnsi="Times New Roman"/>
          <w:sz w:val="17"/>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pStyle w:val="TextBody"/>
        <w:spacing w:before="0" w:after="0"/>
        <w:rPr/>
      </w:pPr>
      <w:r>
        <w:rPr/>
      </w:r>
    </w:p>
    <w:p>
      <w:pPr>
        <w:pStyle w:val="TextBody"/>
        <w:spacing w:before="0" w:after="0"/>
        <w:ind w:left="720" w:right="0" w:hanging="0"/>
        <w:jc w:val="both"/>
        <w:rPr>
          <w:rFonts w:ascii="Times New Roman" w:hAnsi="Times New Roman"/>
          <w:sz w:val="17"/>
        </w:rPr>
      </w:pPr>
      <w:r>
        <w:rPr>
          <w:rFonts w:ascii="Times New Roman" w:hAnsi="Times New Roman"/>
          <w:sz w:val="17"/>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6" w:name="DSPFPageBreakArea37"/>
      <w:bookmarkStart w:id="387" w:name="DSPFPageBreakArea37"/>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88" w:name="DSPFPageNumber37"/>
      <w:bookmarkStart w:id="389" w:name="DSPFPageNumberArea36"/>
      <w:bookmarkEnd w:id="388"/>
      <w:bookmarkEnd w:id="389"/>
      <w:r>
        <w:rPr>
          <w:rFonts w:ascii="Times New Roman" w:hAnsi="Times New Roman"/>
          <w:b w:val="false"/>
          <w:i w:val="false"/>
          <w:caps w:val="false"/>
          <w:smallCaps w:val="false"/>
          <w:sz w:val="13"/>
        </w:rPr>
        <w:t>38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0" w:name="DSPFPageBreak37"/>
      <w:bookmarkStart w:id="391" w:name="DSPFPageBreak37"/>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92" w:name="DSPFPageHeader36"/>
        <w:bookmarkEnd w:id="39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used the following methods and significant assumptions to estimate fair value: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Securities</w:t>
      </w:r>
      <w:r>
        <w:rPr>
          <w:rFonts w:ascii="Times New Roman" w:hAnsi="Times New Roman"/>
          <w:sz w:val="17"/>
        </w:rPr>
        <w:t>:  Where quoted market prices are available in an active market, securities (equity securities at fair value or available for sale) are classified as Level 1 of the valuation hierarchy.  Level 1 securities include certain preferred stocks included in our equity securities at fair value for which there are quoted prices in active markets (at December 31, 2018).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Loans held for sale</w:t>
      </w:r>
      <w:r>
        <w:rPr>
          <w:rFonts w:ascii="Times New Roman" w:hAnsi="Times New Roman"/>
          <w:sz w:val="17"/>
        </w:rPr>
        <w:t xml:space="preserve">:  </w:t>
      </w:r>
      <w:r>
        <w:rPr>
          <w:rFonts w:ascii="Times                New Roman" w:hAnsi="Times                New Roman"/>
          <w:sz w:val="17"/>
        </w:rPr>
        <w:t>The fair value of mortgage loans held for sale, carried at fair value is based on agency cash window loan pricing for comparable assets (recurring Level 2)</w:t>
      </w:r>
      <w:r>
        <w:rPr>
          <w:rFonts w:ascii="Times New Roman" w:hAnsi="Times New Roman"/>
          <w:sz w:val="17"/>
        </w:rPr>
        <w:t xml:space="preserve"> and the fair value of mortgage loans held for sale, carried at the lower of cost or fair value (at December 31, 2018) is based on a quoted sales price (non-recurring Level 1).</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Impaired loans with specific loss allocations based on collateral value</w:t>
      </w:r>
      <w:r>
        <w:rPr>
          <w:rFonts w:ascii="Times New Roman" w:hAnsi="Times New Roman"/>
          <w:sz w:val="17"/>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for loan losses represent loans for which the fair value of the expected repayments or collateral exceed the recorded investments in such loans. At March 31, 2019 and December 31, 2018,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3" w:name="DSPFPageBreakArea38"/>
      <w:bookmarkStart w:id="394" w:name="DSPFPageBreakArea38"/>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395" w:name="DSPFPageNumber38"/>
      <w:bookmarkStart w:id="396" w:name="DSPFPageNumberArea37"/>
      <w:bookmarkEnd w:id="395"/>
      <w:bookmarkEnd w:id="396"/>
      <w:r>
        <w:rPr>
          <w:rFonts w:ascii="Times New Roman" w:hAnsi="Times New Roman"/>
          <w:b w:val="false"/>
          <w:i w:val="false"/>
          <w:caps w:val="false"/>
          <w:smallCaps w:val="false"/>
          <w:sz w:val="13"/>
        </w:rPr>
        <w:t>39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7" w:name="DSPFPageBreak38"/>
      <w:bookmarkStart w:id="398" w:name="DSPFPageBreak38"/>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399" w:name="DSPFPageHeader37"/>
        <w:bookmarkEnd w:id="39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Other real estate</w:t>
      </w:r>
      <w:r>
        <w:rPr>
          <w:rFonts w:ascii="Times New Roman" w:hAnsi="Times New Roman"/>
          <w:sz w:val="17"/>
        </w:rPr>
        <w:t xml:space="preserve">:  </w:t>
      </w:r>
      <w:r>
        <w:rPr>
          <w:rFonts w:ascii="Times                New Roman" w:hAnsi="Times                New Roman"/>
          <w:sz w:val="17"/>
        </w:rPr>
        <w:t>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pStyle w:val="TextBody"/>
        <w:spacing w:before="0" w:after="0"/>
        <w:jc w:val="both"/>
        <w:rPr/>
      </w:pPr>
      <w:r>
        <w:rPr/>
      </w:r>
    </w:p>
    <w:p>
      <w:pPr>
        <w:pStyle w:val="TextBody"/>
        <w:spacing w:before="0" w:after="0"/>
        <w:jc w:val="both"/>
        <w:rPr>
          <w:rFonts w:ascii="Times New Roman" w:hAnsi="Times New Roman"/>
          <w:sz w:val="17"/>
        </w:rPr>
      </w:pPr>
      <w:r>
        <w:rPr>
          <w:rFonts w:ascii="Times New Roman" w:hAnsi="Times New Roman"/>
          <w:sz w:val="17"/>
          <w:u w:val="single"/>
        </w:rPr>
        <w:t>Capitalized mortgage loan servicing rights</w:t>
      </w:r>
      <w:r>
        <w:rPr>
          <w:rFonts w:ascii="Times New Roman" w:hAnsi="Times New Roman"/>
          <w:sz w:val="17"/>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Derivatives</w:t>
      </w:r>
      <w:r>
        <w:rPr>
          <w:rFonts w:ascii="Times New Roman" w:hAnsi="Times New Roman"/>
          <w:sz w:val="17"/>
        </w:rPr>
        <w:t xml:space="preserve">:  </w:t>
      </w:r>
      <w:r>
        <w:rPr>
          <w:rFonts w:ascii="Times New                Roman" w:hAnsi="Times New                Roman"/>
          <w:sz w:val="17"/>
        </w:rPr>
        <w:t>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0" w:name="DSPFPageBreakArea39"/>
      <w:bookmarkStart w:id="401" w:name="DSPFPageBreakArea39"/>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02" w:name="DSPFPageNumber39"/>
      <w:bookmarkStart w:id="403" w:name="DSPFPageNumberArea38"/>
      <w:bookmarkEnd w:id="402"/>
      <w:bookmarkEnd w:id="403"/>
      <w:r>
        <w:rPr>
          <w:rFonts w:ascii="Times New Roman" w:hAnsi="Times New Roman"/>
          <w:b w:val="false"/>
          <w:i w:val="false"/>
          <w:caps w:val="false"/>
          <w:smallCaps w:val="false"/>
          <w:sz w:val="13"/>
        </w:rPr>
        <w:t>40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4" w:name="DSPFPageBreak39"/>
      <w:bookmarkStart w:id="405" w:name="DSPFPageBreak39"/>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06" w:name="DSPFPageHeader38"/>
        <w:bookmarkEnd w:id="40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Assets and liabilities measured at fair value, including financial assets for which we have elected the fair value option, were as follows:</w:t>
      </w:r>
    </w:p>
    <w:p>
      <w:pPr>
        <w:pStyle w:val="TextBody"/>
        <w:spacing w:before="0" w:after="0"/>
        <w:rPr/>
      </w:pPr>
      <w:r>
        <w:rPr/>
      </w:r>
    </w:p>
    <w:p>
      <w:pPr>
        <w:pStyle w:val="Normal"/>
        <w:spacing w:before="0" w:after="0"/>
        <w:rPr>
          <w:sz w:val="4"/>
          <w:szCs w:val="4"/>
        </w:rPr>
      </w:pPr>
      <w:r>
        <w:rPr>
          <w:sz w:val="4"/>
          <w:szCs w:val="4"/>
        </w:rPr>
      </w:r>
      <w:bookmarkStart w:id="407" w:name="z4b467d32219649208582186d914974cf"/>
      <w:bookmarkStart w:id="408" w:name="z4b467d32219649208582186d914974cf"/>
      <w:bookmarkEnd w:id="408"/>
    </w:p>
    <w:tbl>
      <w:tblPr>
        <w:tblW w:w="7192" w:type="dxa"/>
        <w:jc w:val="left"/>
        <w:tblInd w:w="0" w:type="dxa"/>
        <w:tblCellMar>
          <w:top w:w="0" w:type="dxa"/>
          <w:left w:w="0" w:type="dxa"/>
          <w:bottom w:w="0" w:type="dxa"/>
          <w:right w:w="0" w:type="dxa"/>
        </w:tblCellMar>
      </w:tblPr>
      <w:tblGrid>
        <w:gridCol w:w="3545"/>
        <w:gridCol w:w="60"/>
        <w:gridCol w:w="113"/>
        <w:gridCol w:w="627"/>
        <w:gridCol w:w="60"/>
        <w:gridCol w:w="60"/>
        <w:gridCol w:w="385"/>
        <w:gridCol w:w="280"/>
        <w:gridCol w:w="75"/>
        <w:gridCol w:w="75"/>
        <w:gridCol w:w="138"/>
        <w:gridCol w:w="760"/>
        <w:gridCol w:w="75"/>
        <w:gridCol w:w="75"/>
        <w:gridCol w:w="138"/>
        <w:gridCol w:w="651"/>
        <w:gridCol w:w="75"/>
      </w:tblGrid>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52"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 Measurements Using</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p>
            <w:pPr>
              <w:pStyle w:val="TableContents"/>
              <w:spacing w:before="0" w:after="0"/>
              <w:jc w:val="center"/>
              <w:rPr>
                <w:rFonts w:ascii="Times New Roman" w:hAnsi="Times New Roman"/>
                <w:sz w:val="17"/>
              </w:rPr>
            </w:pPr>
            <w:r>
              <w:rPr>
                <w:rFonts w:ascii="Times New Roman" w:hAnsi="Times New Roman"/>
                <w:sz w:val="17"/>
              </w:rPr>
              <w:t>Measure-</w:t>
            </w:r>
          </w:p>
          <w:p>
            <w:pPr>
              <w:pStyle w:val="TableContents"/>
              <w:spacing w:before="0" w:after="0"/>
              <w:jc w:val="center"/>
              <w:rPr>
                <w:rFonts w:ascii="Times New Roman" w:hAnsi="Times New Roman"/>
                <w:sz w:val="17"/>
              </w:rPr>
            </w:pPr>
            <w:r>
              <w:rPr>
                <w:rFonts w:ascii="Times New Roman" w:hAnsi="Times New Roman"/>
                <w:sz w:val="17"/>
              </w:rPr>
              <w:t>ments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Quoted</w:t>
            </w:r>
          </w:p>
          <w:p>
            <w:pPr>
              <w:pStyle w:val="TableContents"/>
              <w:spacing w:before="0" w:after="0"/>
              <w:jc w:val="center"/>
              <w:rPr>
                <w:rFonts w:ascii="Times New Roman" w:hAnsi="Times New Roman"/>
                <w:sz w:val="17"/>
              </w:rPr>
            </w:pPr>
            <w:r>
              <w:rPr>
                <w:rFonts w:ascii="Times New Roman" w:hAnsi="Times New Roman"/>
                <w:sz w:val="17"/>
              </w:rPr>
              <w:t>Prices</w:t>
            </w:r>
          </w:p>
          <w:p>
            <w:pPr>
              <w:pStyle w:val="TableContents"/>
              <w:spacing w:before="0" w:after="0"/>
              <w:jc w:val="center"/>
              <w:rPr>
                <w:rFonts w:ascii="Times New Roman" w:hAnsi="Times New Roman"/>
                <w:sz w:val="17"/>
              </w:rPr>
            </w:pPr>
            <w:r>
              <w:rPr>
                <w:rFonts w:ascii="Times New Roman" w:hAnsi="Times New Roman"/>
                <w:sz w:val="17"/>
              </w:rPr>
              <w:t>in Active</w:t>
            </w:r>
          </w:p>
          <w:p>
            <w:pPr>
              <w:pStyle w:val="TableContents"/>
              <w:spacing w:before="0" w:after="0"/>
              <w:jc w:val="center"/>
              <w:rPr>
                <w:rFonts w:ascii="Times New Roman" w:hAnsi="Times New Roman"/>
                <w:sz w:val="17"/>
              </w:rPr>
            </w:pPr>
            <w:r>
              <w:rPr>
                <w:rFonts w:ascii="Times New Roman" w:hAnsi="Times New Roman"/>
                <w:sz w:val="17"/>
              </w:rPr>
              <w:t>Markets</w:t>
            </w:r>
          </w:p>
          <w:p>
            <w:pPr>
              <w:pStyle w:val="TableContents"/>
              <w:spacing w:before="0" w:after="0"/>
              <w:jc w:val="center"/>
              <w:rPr>
                <w:rFonts w:ascii="Times New Roman" w:hAnsi="Times New Roman"/>
                <w:sz w:val="17"/>
              </w:rPr>
            </w:pPr>
            <w:r>
              <w:rPr>
                <w:rFonts w:ascii="Times New Roman" w:hAnsi="Times New Roman"/>
                <w:sz w:val="17"/>
              </w:rPr>
              <w:t>for</w:t>
            </w:r>
          </w:p>
          <w:p>
            <w:pPr>
              <w:pStyle w:val="TableContents"/>
              <w:spacing w:before="0" w:after="0"/>
              <w:jc w:val="center"/>
              <w:rPr>
                <w:rFonts w:ascii="Times New Roman" w:hAnsi="Times New Roman"/>
                <w:sz w:val="17"/>
              </w:rPr>
            </w:pPr>
            <w:r>
              <w:rPr>
                <w:rFonts w:ascii="Times New Roman" w:hAnsi="Times New Roman"/>
                <w:sz w:val="17"/>
              </w:rPr>
              <w:t>Identical</w:t>
            </w:r>
          </w:p>
          <w:p>
            <w:pPr>
              <w:pStyle w:val="TableContents"/>
              <w:spacing w:before="0" w:after="0"/>
              <w:jc w:val="center"/>
              <w:rPr>
                <w:rFonts w:ascii="Times New Roman" w:hAnsi="Times New Roman"/>
                <w:sz w:val="17"/>
              </w:rPr>
            </w:pPr>
            <w:r>
              <w:rPr>
                <w:rFonts w:ascii="Times New Roman" w:hAnsi="Times New Roman"/>
                <w:sz w:val="17"/>
              </w:rPr>
              <w:t>Assets</w:t>
            </w:r>
          </w:p>
          <w:p>
            <w:pPr>
              <w:pStyle w:val="TableContents"/>
              <w:spacing w:before="0" w:after="0"/>
              <w:jc w:val="center"/>
              <w:rPr>
                <w:rFonts w:ascii="Times New Roman" w:hAnsi="Times New Roman"/>
                <w:sz w:val="17"/>
              </w:rPr>
            </w:pPr>
            <w:r>
              <w:rPr>
                <w:rFonts w:ascii="Times New Roman" w:hAnsi="Times New Roman"/>
                <w:sz w:val="17"/>
              </w:rPr>
              <w:t>(Level 1)</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89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2)</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Un-</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3)</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12"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545" w:type="dxa"/>
            <w:tcBorders>
              <w:bottom w:val="single" w:sz="12" w:space="0" w:color="000000"/>
            </w:tcBorders>
            <w:shd w:fill="auto" w:val="clear"/>
            <w:tcMar>
              <w:bottom w:w="28"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98"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 w:type="dxa"/>
            <w:tcBorders>
              <w:bottom w:val="single" w:sz="12" w:space="0" w:color="000000"/>
            </w:tcBorders>
            <w:shd w:fill="auto" w:val="clear"/>
            <w:tcMar>
              <w:bottom w:w="28" w:type="dxa"/>
            </w:tcMar>
            <w:vAlign w:val="bottom"/>
          </w:tcPr>
          <w:p>
            <w:pPr>
              <w:pStyle w:val="TableContents"/>
              <w:spacing w:before="0" w:after="283"/>
              <w:rPr/>
            </w:pPr>
            <w:r>
              <w:rPr/>
              <w:t> </w:t>
            </w:r>
          </w:p>
        </w:tc>
        <w:tc>
          <w:tcPr>
            <w:tcW w:w="789"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Measured at Fair Value on a Recurring Basis</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898"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8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Assets</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898"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8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auto"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Securities available for sale</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898"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78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18,129</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142,038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142,038</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11,313</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33,092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33,092</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110,290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110,290</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108,385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108,385</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34,380</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1,883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1,883</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2,021</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held for sale, carried at fair value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43,098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43,098</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Derivatives (1)</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Liabilities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Derivatives (2)</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Measured at Fair Value on a Non-recurring Basis:</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Assets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Impaired loans (3)</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Commercial</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213</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Commercial and industrial</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1,335</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1-4 family</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1,271</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Resort lending</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325</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- 1st lien</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185</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Installment</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- 1st lien</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Boat lending</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Recreational vehicle lending</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Other real estate (4)</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545"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1-4 family</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85" w:type="dxa"/>
            <w:tcBorders/>
            <w:shd w:fill="FFFFFF" w:val="clear"/>
            <w:vAlign w:val="bottom"/>
          </w:tcPr>
          <w:p>
            <w:pPr>
              <w:pStyle w:val="TableContents"/>
              <w:spacing w:before="0" w:after="283"/>
              <w:jc w:val="left"/>
              <w:rPr/>
            </w:pPr>
            <w:r>
              <w:rPr/>
              <w:t> </w:t>
            </w:r>
          </w:p>
        </w:tc>
        <w:tc>
          <w:tcPr>
            <w:tcW w:w="28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76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left"/>
              <w:rPr/>
            </w:pPr>
            <w:r>
              <w:rPr/>
              <w:t> </w:t>
            </w:r>
          </w:p>
        </w:tc>
        <w:tc>
          <w:tcPr>
            <w:tcW w:w="65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75" w:type="dxa"/>
            <w:tcBorders/>
            <w:shd w:fill="FFFFFF" w:val="clear"/>
            <w:vAlign w:val="bottom"/>
          </w:tcPr>
          <w:p>
            <w:pPr>
              <w:pStyle w:val="TableContents"/>
              <w:spacing w:before="0" w:after="283"/>
              <w:jc w:val="left"/>
              <w:rPr/>
            </w:pPr>
            <w:r>
              <w:rPr/>
              <w:t> </w:t>
            </w:r>
          </w:p>
        </w:tc>
      </w:tr>
      <w:tr>
        <w:trPr/>
        <w:tc>
          <w:tcPr>
            <w:tcW w:w="3545"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- 2nd lien</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 </w:t>
            </w:r>
          </w:p>
        </w:tc>
        <w:tc>
          <w:tcPr>
            <w:tcW w:w="28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jc w:val="left"/>
              <w:rPr/>
            </w:pPr>
            <w:r>
              <w:rPr/>
              <w:t> </w:t>
            </w:r>
          </w:p>
        </w:tc>
        <w:tc>
          <w:tcPr>
            <w:tcW w:w="65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409" w:name="zef8b80653fd24d909ab25a1ff8665835"/>
      <w:bookmarkStart w:id="410" w:name="zef8b80653fd24d909ab25a1ff8665835"/>
      <w:bookmarkEnd w:id="410"/>
    </w:p>
    <w:tbl>
      <w:tblPr>
        <w:tblW w:w="3340" w:type="dxa"/>
        <w:jc w:val="left"/>
        <w:tblInd w:w="0" w:type="dxa"/>
        <w:tblCellMar>
          <w:top w:w="0" w:type="dxa"/>
          <w:left w:w="0" w:type="dxa"/>
          <w:bottom w:w="0" w:type="dxa"/>
          <w:right w:w="0" w:type="dxa"/>
        </w:tblCellMar>
      </w:tblPr>
      <w:tblGrid>
        <w:gridCol w:w="245"/>
        <w:gridCol w:w="3095"/>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309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accrued income and other assets</w:t>
            </w:r>
          </w:p>
        </w:tc>
      </w:tr>
    </w:tbl>
    <w:p>
      <w:pPr>
        <w:pStyle w:val="Normal"/>
        <w:spacing w:before="0" w:after="0"/>
        <w:rPr>
          <w:sz w:val="4"/>
          <w:szCs w:val="4"/>
        </w:rPr>
      </w:pPr>
      <w:r>
        <w:rPr>
          <w:sz w:val="4"/>
          <w:szCs w:val="4"/>
        </w:rPr>
      </w:r>
      <w:bookmarkStart w:id="411" w:name="z9f01de3b14174fe4920139739a5cf927"/>
      <w:bookmarkStart w:id="412" w:name="z9f01de3b14174fe4920139739a5cf927"/>
      <w:bookmarkEnd w:id="412"/>
    </w:p>
    <w:tbl>
      <w:tblPr>
        <w:tblW w:w="3685" w:type="dxa"/>
        <w:jc w:val="left"/>
        <w:tblInd w:w="0" w:type="dxa"/>
        <w:tblCellMar>
          <w:top w:w="0" w:type="dxa"/>
          <w:left w:w="0" w:type="dxa"/>
          <w:bottom w:w="0" w:type="dxa"/>
          <w:right w:w="0" w:type="dxa"/>
        </w:tblCellMar>
      </w:tblPr>
      <w:tblGrid>
        <w:gridCol w:w="245"/>
        <w:gridCol w:w="344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(2)</w:t>
            </w:r>
          </w:p>
        </w:tc>
        <w:tc>
          <w:tcPr>
            <w:tcW w:w="344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accrued expenses and other liabilities</w:t>
            </w:r>
          </w:p>
        </w:tc>
      </w:tr>
    </w:tbl>
    <w:p>
      <w:pPr>
        <w:pStyle w:val="Normal"/>
        <w:spacing w:before="0" w:after="0"/>
        <w:rPr>
          <w:sz w:val="4"/>
          <w:szCs w:val="4"/>
        </w:rPr>
      </w:pPr>
      <w:r>
        <w:rPr>
          <w:sz w:val="4"/>
          <w:szCs w:val="4"/>
        </w:rPr>
      </w:r>
      <w:bookmarkStart w:id="413" w:name="zfcee201cef794db18a76ad5429dfb973"/>
      <w:bookmarkStart w:id="414" w:name="zfcee201cef794db18a76ad5429dfb973"/>
      <w:bookmarkEnd w:id="414"/>
    </w:p>
    <w:tbl>
      <w:tblPr>
        <w:tblW w:w="6100" w:type="dxa"/>
        <w:jc w:val="left"/>
        <w:tblInd w:w="0" w:type="dxa"/>
        <w:tblCellMar>
          <w:top w:w="0" w:type="dxa"/>
          <w:left w:w="0" w:type="dxa"/>
          <w:bottom w:w="0" w:type="dxa"/>
          <w:right w:w="0" w:type="dxa"/>
        </w:tblCellMar>
      </w:tblPr>
      <w:tblGrid>
        <w:gridCol w:w="245"/>
        <w:gridCol w:w="5855"/>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(3)</w:t>
            </w:r>
          </w:p>
        </w:tc>
        <w:tc>
          <w:tcPr>
            <w:tcW w:w="585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Only includes impaired loans with specific loss allocations based on collateral value.</w:t>
            </w:r>
          </w:p>
        </w:tc>
      </w:tr>
    </w:tbl>
    <w:p>
      <w:pPr>
        <w:pStyle w:val="Normal"/>
        <w:spacing w:before="0" w:after="0"/>
        <w:rPr>
          <w:sz w:val="4"/>
          <w:szCs w:val="4"/>
        </w:rPr>
      </w:pPr>
      <w:r>
        <w:rPr>
          <w:sz w:val="4"/>
          <w:szCs w:val="4"/>
        </w:rPr>
      </w:r>
      <w:bookmarkStart w:id="415" w:name="za330df5ab82d476fb149daf5e28e54be"/>
      <w:bookmarkStart w:id="416" w:name="za330df5ab82d476fb149daf5e28e54be"/>
      <w:bookmarkEnd w:id="416"/>
    </w:p>
    <w:tbl>
      <w:tblPr>
        <w:tblW w:w="5335" w:type="dxa"/>
        <w:jc w:val="left"/>
        <w:tblInd w:w="0" w:type="dxa"/>
        <w:tblCellMar>
          <w:top w:w="0" w:type="dxa"/>
          <w:left w:w="0" w:type="dxa"/>
          <w:bottom w:w="0" w:type="dxa"/>
          <w:right w:w="0" w:type="dxa"/>
        </w:tblCellMar>
      </w:tblPr>
      <w:tblGrid>
        <w:gridCol w:w="245"/>
        <w:gridCol w:w="509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(4)</w:t>
            </w:r>
          </w:p>
        </w:tc>
        <w:tc>
          <w:tcPr>
            <w:tcW w:w="50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Only includes other real estate with subsequent write downs to fair value.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7" w:name="DSPFPageBreakArea40"/>
      <w:bookmarkStart w:id="418" w:name="DSPFPageBreakArea40"/>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19" w:name="DSPFPageNumber40"/>
      <w:bookmarkStart w:id="420" w:name="DSPFPageNumberArea39"/>
      <w:bookmarkEnd w:id="419"/>
      <w:bookmarkEnd w:id="420"/>
      <w:r>
        <w:rPr>
          <w:rFonts w:ascii="Times New Roman" w:hAnsi="Times New Roman"/>
          <w:b w:val="false"/>
          <w:i w:val="false"/>
          <w:caps w:val="false"/>
          <w:smallCaps w:val="false"/>
          <w:sz w:val="13"/>
        </w:rPr>
        <w:t>41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1" w:name="DSPFPageBreak40"/>
      <w:bookmarkStart w:id="422" w:name="DSPFPageBreak40"/>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23" w:name="DSPFPageHeader39"/>
        <w:bookmarkEnd w:id="42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Normal"/>
        <w:spacing w:before="0" w:after="0"/>
        <w:rPr>
          <w:sz w:val="4"/>
          <w:szCs w:val="4"/>
        </w:rPr>
      </w:pPr>
      <w:r>
        <w:rPr>
          <w:sz w:val="4"/>
          <w:szCs w:val="4"/>
        </w:rPr>
      </w:r>
      <w:bookmarkStart w:id="424" w:name="z6989d53e94f64ec79423aeffc571558f"/>
      <w:bookmarkStart w:id="425" w:name="z6989d53e94f64ec79423aeffc571558f"/>
      <w:bookmarkEnd w:id="425"/>
    </w:p>
    <w:tbl>
      <w:tblPr>
        <w:tblW w:w="7660" w:type="dxa"/>
        <w:jc w:val="left"/>
        <w:tblInd w:w="0" w:type="dxa"/>
        <w:tblCellMar>
          <w:top w:w="0" w:type="dxa"/>
          <w:left w:w="0" w:type="dxa"/>
          <w:bottom w:w="0" w:type="dxa"/>
          <w:right w:w="0" w:type="dxa"/>
        </w:tblCellMar>
      </w:tblPr>
      <w:tblGrid>
        <w:gridCol w:w="4190"/>
        <w:gridCol w:w="60"/>
        <w:gridCol w:w="113"/>
        <w:gridCol w:w="627"/>
        <w:gridCol w:w="60"/>
        <w:gridCol w:w="60"/>
        <w:gridCol w:w="116"/>
        <w:gridCol w:w="549"/>
        <w:gridCol w:w="60"/>
        <w:gridCol w:w="60"/>
        <w:gridCol w:w="122"/>
        <w:gridCol w:w="678"/>
        <w:gridCol w:w="60"/>
        <w:gridCol w:w="60"/>
        <w:gridCol w:w="133"/>
        <w:gridCol w:w="637"/>
        <w:gridCol w:w="75"/>
      </w:tblGrid>
      <w:tr>
        <w:trPr/>
        <w:tc>
          <w:tcPr>
            <w:tcW w:w="4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7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 Measurements Using</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w:t>
            </w:r>
          </w:p>
          <w:p>
            <w:pPr>
              <w:pStyle w:val="TableContents"/>
              <w:spacing w:before="0" w:after="0"/>
              <w:jc w:val="center"/>
              <w:rPr>
                <w:rFonts w:ascii="Times New Roman" w:hAnsi="Times New Roman"/>
                <w:sz w:val="17"/>
              </w:rPr>
            </w:pPr>
            <w:r>
              <w:rPr>
                <w:rFonts w:ascii="Times New Roman" w:hAnsi="Times New Roman"/>
                <w:sz w:val="17"/>
              </w:rPr>
              <w:t>Measure-</w:t>
            </w:r>
          </w:p>
          <w:p>
            <w:pPr>
              <w:pStyle w:val="TableContents"/>
              <w:spacing w:before="0" w:after="0"/>
              <w:jc w:val="center"/>
              <w:rPr>
                <w:rFonts w:ascii="Times New Roman" w:hAnsi="Times New Roman"/>
                <w:sz w:val="17"/>
              </w:rPr>
            </w:pPr>
            <w:r>
              <w:rPr>
                <w:rFonts w:ascii="Times New Roman" w:hAnsi="Times New Roman"/>
                <w:sz w:val="17"/>
              </w:rPr>
              <w:t>ments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Quoted</w:t>
            </w:r>
          </w:p>
          <w:p>
            <w:pPr>
              <w:pStyle w:val="TableContents"/>
              <w:spacing w:before="0" w:after="0"/>
              <w:jc w:val="center"/>
              <w:rPr>
                <w:rFonts w:ascii="Times New Roman" w:hAnsi="Times New Roman"/>
                <w:sz w:val="17"/>
              </w:rPr>
            </w:pPr>
            <w:r>
              <w:rPr>
                <w:rFonts w:ascii="Times New Roman" w:hAnsi="Times New Roman"/>
                <w:sz w:val="17"/>
              </w:rPr>
              <w:t>Prices</w:t>
            </w:r>
          </w:p>
          <w:p>
            <w:pPr>
              <w:pStyle w:val="TableContents"/>
              <w:spacing w:before="0" w:after="0"/>
              <w:jc w:val="center"/>
              <w:rPr>
                <w:rFonts w:ascii="Times New Roman" w:hAnsi="Times New Roman"/>
                <w:sz w:val="17"/>
              </w:rPr>
            </w:pPr>
            <w:r>
              <w:rPr>
                <w:rFonts w:ascii="Times New Roman" w:hAnsi="Times New Roman"/>
                <w:sz w:val="17"/>
              </w:rPr>
              <w:t>in Active</w:t>
            </w:r>
          </w:p>
          <w:p>
            <w:pPr>
              <w:pStyle w:val="TableContents"/>
              <w:spacing w:before="0" w:after="0"/>
              <w:jc w:val="center"/>
              <w:rPr>
                <w:rFonts w:ascii="Times New Roman" w:hAnsi="Times New Roman"/>
                <w:sz w:val="17"/>
              </w:rPr>
            </w:pPr>
            <w:r>
              <w:rPr>
                <w:rFonts w:ascii="Times New Roman" w:hAnsi="Times New Roman"/>
                <w:sz w:val="17"/>
              </w:rPr>
              <w:t>Markets</w:t>
            </w:r>
          </w:p>
          <w:p>
            <w:pPr>
              <w:pStyle w:val="TableContents"/>
              <w:spacing w:before="0" w:after="0"/>
              <w:jc w:val="center"/>
              <w:rPr>
                <w:rFonts w:ascii="Times New Roman" w:hAnsi="Times New Roman"/>
                <w:sz w:val="17"/>
              </w:rPr>
            </w:pPr>
            <w:r>
              <w:rPr>
                <w:rFonts w:ascii="Times New Roman" w:hAnsi="Times New Roman"/>
                <w:sz w:val="17"/>
              </w:rPr>
              <w:t>for</w:t>
            </w:r>
          </w:p>
          <w:p>
            <w:pPr>
              <w:pStyle w:val="TableContents"/>
              <w:spacing w:before="0" w:after="0"/>
              <w:jc w:val="center"/>
              <w:rPr>
                <w:rFonts w:ascii="Times New Roman" w:hAnsi="Times New Roman"/>
                <w:sz w:val="17"/>
              </w:rPr>
            </w:pPr>
            <w:r>
              <w:rPr>
                <w:rFonts w:ascii="Times New Roman" w:hAnsi="Times New Roman"/>
                <w:sz w:val="17"/>
              </w:rPr>
              <w:t>Identical</w:t>
            </w:r>
          </w:p>
          <w:p>
            <w:pPr>
              <w:pStyle w:val="TableContents"/>
              <w:spacing w:before="0" w:after="0"/>
              <w:jc w:val="center"/>
              <w:rPr>
                <w:rFonts w:ascii="Times New Roman" w:hAnsi="Times New Roman"/>
                <w:sz w:val="17"/>
              </w:rPr>
            </w:pPr>
            <w:r>
              <w:rPr>
                <w:rFonts w:ascii="Times New Roman" w:hAnsi="Times New Roman"/>
                <w:sz w:val="17"/>
              </w:rPr>
              <w:t>Assets</w:t>
            </w:r>
          </w:p>
          <w:p>
            <w:pPr>
              <w:pStyle w:val="TableContents"/>
              <w:spacing w:before="0" w:after="0"/>
              <w:jc w:val="center"/>
              <w:rPr>
                <w:rFonts w:ascii="Times New Roman" w:hAnsi="Times New Roman"/>
                <w:sz w:val="17"/>
              </w:rPr>
            </w:pPr>
            <w:r>
              <w:rPr>
                <w:rFonts w:ascii="Times New Roman" w:hAnsi="Times New Roman"/>
                <w:sz w:val="17"/>
              </w:rPr>
              <w:t>(Level 1)</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2)</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Un-</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3)</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35"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4190" w:type="dxa"/>
            <w:tcBorders>
              <w:bottom w:val="single" w:sz="12" w:space="0" w:color="000000"/>
            </w:tcBorders>
            <w:shd w:fill="auto" w:val="clear"/>
            <w:tcMar>
              <w:bottom w:w="28"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Measured at Fair Value on a Recurring Basis</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90" w:type="dxa"/>
            <w:tcBorders/>
            <w:shd w:fill="auto"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Assets</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Equity securities at fair value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Securities available for sale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20,014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20,014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 residential mortgage-backed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123,751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123,751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U.S. agency commercial mortgage-backed</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Private label mortgage-backed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29,419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Other asset backed</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83,319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83,319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Obligations of states and political subdivisions</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127,555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Corporate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34,309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Trust preferred</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Foreign government</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held for sale, carried at fair value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44,753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44,753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Derivatives (1)</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Liabilities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Derivatives (2)</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Measured at Fair Value on a Non-recurring basis:</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Assets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Loans held for sale, carried at the lower of cost or fair value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41,471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41,471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Impaired loans (3)</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Income producing - real estate</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217</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Land, land development &amp; construction-real estate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Commercial and industrial</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2,243</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333</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Resort lending</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572</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Other real estate (4)</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90" w:type="dxa"/>
            <w:tcBorders/>
            <w:shd w:fill="CCEE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1-4 family</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c>
          <w:tcPr>
            <w:tcW w:w="6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75" w:type="dxa"/>
            <w:tcBorders/>
            <w:shd w:fill="CCEEFF" w:val="clear"/>
            <w:vAlign w:val="bottom"/>
          </w:tcPr>
          <w:p>
            <w:pPr>
              <w:pStyle w:val="TableContents"/>
              <w:spacing w:before="0" w:after="283"/>
              <w:jc w:val="left"/>
              <w:rPr/>
            </w:pPr>
            <w:r>
              <w:rPr/>
              <w:t> </w:t>
            </w:r>
          </w:p>
        </w:tc>
      </w:tr>
      <w:tr>
        <w:trPr/>
        <w:tc>
          <w:tcPr>
            <w:tcW w:w="4190" w:type="dxa"/>
            <w:tcBorders/>
            <w:shd w:fill="FFFFFF" w:val="clear"/>
            <w:vAlign w:val="bottom"/>
          </w:tcPr>
          <w:p>
            <w:pPr>
              <w:pStyle w:val="TableContents"/>
              <w:spacing w:before="0" w:after="0"/>
              <w:ind w:left="864" w:right="0" w:hanging="144"/>
              <w:jc w:val="left"/>
              <w:rPr>
                <w:rFonts w:ascii="Times New Roman" w:hAnsi="Times New Roman"/>
                <w:sz w:val="17"/>
              </w:rPr>
            </w:pPr>
            <w:r>
              <w:rPr>
                <w:rFonts w:ascii="Times New Roman" w:hAnsi="Times New Roman"/>
                <w:sz w:val="17"/>
              </w:rPr>
              <w:t>Home equity - 2nd lien</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6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426" w:name="z3e8c59afde934b159f8a4ffb303a8c5b"/>
      <w:bookmarkStart w:id="427" w:name="z3e8c59afde934b159f8a4ffb303a8c5b"/>
      <w:bookmarkEnd w:id="427"/>
    </w:p>
    <w:tbl>
      <w:tblPr>
        <w:tblW w:w="3340" w:type="dxa"/>
        <w:jc w:val="left"/>
        <w:tblInd w:w="0" w:type="dxa"/>
        <w:tblCellMar>
          <w:top w:w="0" w:type="dxa"/>
          <w:left w:w="0" w:type="dxa"/>
          <w:bottom w:w="0" w:type="dxa"/>
          <w:right w:w="0" w:type="dxa"/>
        </w:tblCellMar>
      </w:tblPr>
      <w:tblGrid>
        <w:gridCol w:w="245"/>
        <w:gridCol w:w="3095"/>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309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accrued income and other assets</w:t>
            </w:r>
          </w:p>
        </w:tc>
      </w:tr>
    </w:tbl>
    <w:p>
      <w:pPr>
        <w:pStyle w:val="Normal"/>
        <w:spacing w:before="0" w:after="0"/>
        <w:rPr>
          <w:sz w:val="4"/>
          <w:szCs w:val="4"/>
        </w:rPr>
      </w:pPr>
      <w:r>
        <w:rPr>
          <w:sz w:val="4"/>
          <w:szCs w:val="4"/>
        </w:rPr>
      </w:r>
      <w:bookmarkStart w:id="428" w:name="ze8bbc4de5ca449c18954b9a3967cf126"/>
      <w:bookmarkStart w:id="429" w:name="ze8bbc4de5ca449c18954b9a3967cf126"/>
      <w:bookmarkEnd w:id="429"/>
    </w:p>
    <w:tbl>
      <w:tblPr>
        <w:tblW w:w="3685" w:type="dxa"/>
        <w:jc w:val="left"/>
        <w:tblInd w:w="0" w:type="dxa"/>
        <w:tblCellMar>
          <w:top w:w="0" w:type="dxa"/>
          <w:left w:w="0" w:type="dxa"/>
          <w:bottom w:w="0" w:type="dxa"/>
          <w:right w:w="0" w:type="dxa"/>
        </w:tblCellMar>
      </w:tblPr>
      <w:tblGrid>
        <w:gridCol w:w="245"/>
        <w:gridCol w:w="344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(2)</w:t>
            </w:r>
          </w:p>
        </w:tc>
        <w:tc>
          <w:tcPr>
            <w:tcW w:w="344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accrued expenses and other liabilities</w:t>
            </w:r>
          </w:p>
        </w:tc>
      </w:tr>
    </w:tbl>
    <w:p>
      <w:pPr>
        <w:pStyle w:val="Normal"/>
        <w:spacing w:before="0" w:after="0"/>
        <w:rPr>
          <w:sz w:val="4"/>
          <w:szCs w:val="4"/>
        </w:rPr>
      </w:pPr>
      <w:r>
        <w:rPr>
          <w:sz w:val="4"/>
          <w:szCs w:val="4"/>
        </w:rPr>
      </w:r>
      <w:bookmarkStart w:id="430" w:name="z96ed260eca284a9bbe607ae312e95886"/>
      <w:bookmarkStart w:id="431" w:name="z96ed260eca284a9bbe607ae312e95886"/>
      <w:bookmarkEnd w:id="431"/>
    </w:p>
    <w:tbl>
      <w:tblPr>
        <w:tblW w:w="6100" w:type="dxa"/>
        <w:jc w:val="left"/>
        <w:tblInd w:w="0" w:type="dxa"/>
        <w:tblCellMar>
          <w:top w:w="0" w:type="dxa"/>
          <w:left w:w="0" w:type="dxa"/>
          <w:bottom w:w="0" w:type="dxa"/>
          <w:right w:w="0" w:type="dxa"/>
        </w:tblCellMar>
      </w:tblPr>
      <w:tblGrid>
        <w:gridCol w:w="245"/>
        <w:gridCol w:w="5855"/>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(3)</w:t>
            </w:r>
          </w:p>
        </w:tc>
        <w:tc>
          <w:tcPr>
            <w:tcW w:w="585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Only includes impaired loans with specific loss allocations based on collateral value.</w:t>
            </w:r>
          </w:p>
        </w:tc>
      </w:tr>
    </w:tbl>
    <w:p>
      <w:pPr>
        <w:pStyle w:val="Normal"/>
        <w:spacing w:before="0" w:after="0"/>
        <w:rPr>
          <w:sz w:val="4"/>
          <w:szCs w:val="4"/>
        </w:rPr>
      </w:pPr>
      <w:r>
        <w:rPr>
          <w:sz w:val="4"/>
          <w:szCs w:val="4"/>
        </w:rPr>
      </w:r>
      <w:bookmarkStart w:id="432" w:name="z4b853a6d6ca741c6930d0e4cdc0c4916"/>
      <w:bookmarkStart w:id="433" w:name="z4b853a6d6ca741c6930d0e4cdc0c4916"/>
      <w:bookmarkEnd w:id="433"/>
    </w:p>
    <w:tbl>
      <w:tblPr>
        <w:tblW w:w="5335" w:type="dxa"/>
        <w:jc w:val="left"/>
        <w:tblInd w:w="0" w:type="dxa"/>
        <w:tblCellMar>
          <w:top w:w="0" w:type="dxa"/>
          <w:left w:w="0" w:type="dxa"/>
          <w:bottom w:w="0" w:type="dxa"/>
          <w:right w:w="0" w:type="dxa"/>
        </w:tblCellMar>
      </w:tblPr>
      <w:tblGrid>
        <w:gridCol w:w="245"/>
        <w:gridCol w:w="509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(4)</w:t>
            </w:r>
          </w:p>
        </w:tc>
        <w:tc>
          <w:tcPr>
            <w:tcW w:w="50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Only includes other real estate with subsequent write downs to fair value.</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There were no transfers between Level 1 and Level 2 during the three months ended March 31, 2019 and 2018.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4" w:name="DSPFPageBreakArea41"/>
      <w:bookmarkStart w:id="435" w:name="DSPFPageBreakArea41"/>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36" w:name="DSPFPageNumber41"/>
      <w:bookmarkStart w:id="437" w:name="DSPFPageNumberArea40"/>
      <w:bookmarkEnd w:id="436"/>
      <w:bookmarkEnd w:id="437"/>
      <w:r>
        <w:rPr>
          <w:rFonts w:ascii="Times New Roman" w:hAnsi="Times New Roman"/>
          <w:b w:val="false"/>
          <w:i w:val="false"/>
          <w:caps w:val="false"/>
          <w:smallCaps w:val="false"/>
          <w:sz w:val="13"/>
        </w:rPr>
        <w:t>42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8" w:name="DSPFPageBreak41"/>
      <w:bookmarkStart w:id="439" w:name="DSPFPageBreak41"/>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40" w:name="DSPFPageHeader40"/>
        <w:bookmarkEnd w:id="440"/>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Changes in fair values for financial assets which we have elected the fair value option for the periods presented were as follows:</w:t>
      </w:r>
    </w:p>
    <w:p>
      <w:pPr>
        <w:pStyle w:val="TextBody"/>
        <w:spacing w:before="0" w:after="0"/>
        <w:rPr/>
      </w:pPr>
      <w:r>
        <w:rPr/>
      </w:r>
    </w:p>
    <w:p>
      <w:pPr>
        <w:pStyle w:val="Normal"/>
        <w:spacing w:before="0" w:after="0"/>
        <w:rPr>
          <w:sz w:val="4"/>
          <w:szCs w:val="4"/>
        </w:rPr>
      </w:pPr>
      <w:r>
        <w:rPr>
          <w:sz w:val="4"/>
          <w:szCs w:val="4"/>
        </w:rPr>
      </w:r>
      <w:bookmarkStart w:id="441" w:name="z42c850073f8f487ea51d7dc837d31302"/>
      <w:bookmarkStart w:id="442" w:name="z42c850073f8f487ea51d7dc837d31302"/>
      <w:bookmarkEnd w:id="442"/>
    </w:p>
    <w:tbl>
      <w:tblPr>
        <w:tblW w:w="6939" w:type="dxa"/>
        <w:jc w:val="left"/>
        <w:tblInd w:w="0" w:type="dxa"/>
        <w:tblCellMar>
          <w:top w:w="0" w:type="dxa"/>
          <w:left w:w="0" w:type="dxa"/>
          <w:bottom w:w="0" w:type="dxa"/>
          <w:right w:w="0" w:type="dxa"/>
        </w:tblCellMar>
      </w:tblPr>
      <w:tblGrid>
        <w:gridCol w:w="2960"/>
        <w:gridCol w:w="60"/>
        <w:gridCol w:w="162"/>
        <w:gridCol w:w="518"/>
        <w:gridCol w:w="115"/>
        <w:gridCol w:w="86"/>
        <w:gridCol w:w="165"/>
        <w:gridCol w:w="530"/>
        <w:gridCol w:w="115"/>
        <w:gridCol w:w="86"/>
        <w:gridCol w:w="180"/>
        <w:gridCol w:w="800"/>
        <w:gridCol w:w="115"/>
        <w:gridCol w:w="86"/>
        <w:gridCol w:w="158"/>
        <w:gridCol w:w="708"/>
        <w:gridCol w:w="95"/>
      </w:tblGrid>
      <w:tr>
        <w:trPr/>
        <w:tc>
          <w:tcPr>
            <w:tcW w:w="29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4"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Changes in Fair Values for the Three-Month Periods</w:t>
            </w:r>
          </w:p>
          <w:p>
            <w:pPr>
              <w:pStyle w:val="TableContents"/>
              <w:spacing w:before="0" w:after="0"/>
              <w:jc w:val="center"/>
              <w:rPr>
                <w:rFonts w:ascii="Times New Roman" w:hAnsi="Times New Roman"/>
                <w:sz w:val="17"/>
              </w:rPr>
            </w:pPr>
            <w:r>
              <w:rPr>
                <w:rFonts w:ascii="Times New Roman" w:hAnsi="Times New Roman"/>
                <w:sz w:val="17"/>
              </w:rPr>
              <w:t>Ended March 31 for Items Measured at Fair Value</w:t>
            </w:r>
          </w:p>
          <w:p>
            <w:pPr>
              <w:pStyle w:val="TableContents"/>
              <w:spacing w:before="0" w:after="0"/>
              <w:jc w:val="center"/>
              <w:rPr>
                <w:rFonts w:ascii="Times New Roman" w:hAnsi="Times New Roman"/>
                <w:sz w:val="17"/>
              </w:rPr>
            </w:pPr>
            <w:r>
              <w:rPr>
                <w:rFonts w:ascii="Times New Roman" w:hAnsi="Times New Roman"/>
                <w:sz w:val="17"/>
              </w:rPr>
              <w:t>Pursuant to Election of the Fair Value Option</w:t>
            </w:r>
          </w:p>
        </w:tc>
        <w:tc>
          <w:tcPr>
            <w:tcW w:w="95" w:type="dxa"/>
            <w:tcBorders/>
            <w:shd w:fill="auto" w:val="clear"/>
            <w:vAlign w:val="bottom"/>
          </w:tcPr>
          <w:p>
            <w:pPr>
              <w:pStyle w:val="TableContents"/>
              <w:spacing w:before="0" w:after="283"/>
              <w:jc w:val="left"/>
              <w:rPr/>
            </w:pPr>
            <w:r>
              <w:rPr/>
              <w:t> </w:t>
            </w:r>
          </w:p>
        </w:tc>
      </w:tr>
      <w:tr>
        <w:trPr/>
        <w:tc>
          <w:tcPr>
            <w:tcW w:w="29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Net Gains (Losses)</w:t>
            </w:r>
          </w:p>
          <w:p>
            <w:pPr>
              <w:pStyle w:val="TableContents"/>
              <w:spacing w:before="0" w:after="0"/>
              <w:jc w:val="center"/>
              <w:rPr>
                <w:rFonts w:ascii="Times New Roman" w:hAnsi="Times New Roman"/>
                <w:sz w:val="17"/>
              </w:rPr>
            </w:pPr>
            <w:r>
              <w:rPr>
                <w:rFonts w:ascii="Times New Roman" w:hAnsi="Times New Roman"/>
                <w:sz w:val="17"/>
              </w:rPr>
              <w:t>on Assets</w:t>
            </w:r>
          </w:p>
        </w:tc>
        <w:tc>
          <w:tcPr>
            <w:tcW w:w="115" w:type="dxa"/>
            <w:tcBorders/>
            <w:shd w:fill="auto" w:val="clear"/>
            <w:vAlign w:val="bottom"/>
          </w:tcPr>
          <w:p>
            <w:pPr>
              <w:pStyle w:val="TableContents"/>
              <w:spacing w:before="0" w:after="283"/>
              <w:jc w:val="left"/>
              <w:rPr/>
            </w:pPr>
            <w:r>
              <w:rPr/>
              <w:t> </w:t>
            </w:r>
          </w:p>
        </w:tc>
        <w:tc>
          <w:tcPr>
            <w:tcW w:w="86" w:type="dxa"/>
            <w:vMerge w:val="restart"/>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Mortgage</w:t>
            </w:r>
          </w:p>
        </w:tc>
        <w:tc>
          <w:tcPr>
            <w:tcW w:w="115" w:type="dxa"/>
            <w:vMerge w:val="restart"/>
            <w:tcBorders/>
            <w:shd w:fill="auto" w:val="clear"/>
            <w:vAlign w:val="bottom"/>
          </w:tcPr>
          <w:p>
            <w:pPr>
              <w:pStyle w:val="TableContents"/>
              <w:spacing w:before="0" w:after="283"/>
              <w:jc w:val="left"/>
              <w:rPr/>
            </w:pPr>
            <w:r>
              <w:rPr/>
              <w:t> </w:t>
            </w:r>
          </w:p>
        </w:tc>
        <w:tc>
          <w:tcPr>
            <w:tcW w:w="86" w:type="dxa"/>
            <w:vMerge w:val="restart"/>
            <w:tcBorders/>
            <w:shd w:fill="auto" w:val="clear"/>
            <w:vAlign w:val="bottom"/>
          </w:tcPr>
          <w:p>
            <w:pPr>
              <w:pStyle w:val="TableContents"/>
              <w:spacing w:before="0" w:after="283"/>
              <w:rPr/>
            </w:pPr>
            <w:r>
              <w:rPr/>
              <w:t> </w:t>
            </w:r>
          </w:p>
        </w:tc>
        <w:tc>
          <w:tcPr>
            <w:tcW w:w="866"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Total</w:t>
            </w:r>
          </w:p>
          <w:p>
            <w:pPr>
              <w:pStyle w:val="TableContents"/>
              <w:spacing w:before="0" w:after="0"/>
              <w:jc w:val="center"/>
              <w:rPr>
                <w:rFonts w:ascii="Times New Roman" w:hAnsi="Times New Roman"/>
                <w:sz w:val="17"/>
              </w:rPr>
            </w:pPr>
            <w:r>
              <w:rPr>
                <w:rFonts w:ascii="Times New Roman" w:hAnsi="Times New Roman"/>
                <w:sz w:val="17"/>
              </w:rPr>
              <w:t>Change</w:t>
            </w:r>
          </w:p>
          <w:p>
            <w:pPr>
              <w:pStyle w:val="TableContents"/>
              <w:spacing w:before="0" w:after="0"/>
              <w:jc w:val="center"/>
              <w:rPr>
                <w:rFonts w:ascii="Times New Roman" w:hAnsi="Times New Roman"/>
                <w:sz w:val="17"/>
              </w:rPr>
            </w:pPr>
            <w:r>
              <w:rPr>
                <w:rFonts w:ascii="Times New Roman" w:hAnsi="Times New Roman"/>
                <w:sz w:val="17"/>
              </w:rPr>
              <w:t>in Fair</w:t>
            </w:r>
          </w:p>
          <w:p>
            <w:pPr>
              <w:pStyle w:val="TableContents"/>
              <w:spacing w:before="0" w:after="0"/>
              <w:jc w:val="center"/>
              <w:rPr>
                <w:rFonts w:ascii="Times New Roman" w:hAnsi="Times New Roman"/>
                <w:sz w:val="17"/>
              </w:rPr>
            </w:pPr>
            <w:r>
              <w:rPr>
                <w:rFonts w:ascii="Times New Roman" w:hAnsi="Times New Roman"/>
                <w:sz w:val="17"/>
              </w:rPr>
              <w:t>Values</w:t>
            </w:r>
          </w:p>
          <w:p>
            <w:pPr>
              <w:pStyle w:val="TableContents"/>
              <w:spacing w:before="0" w:after="0"/>
              <w:jc w:val="center"/>
              <w:rPr>
                <w:rFonts w:ascii="Times New Roman" w:hAnsi="Times New Roman"/>
                <w:sz w:val="17"/>
              </w:rPr>
            </w:pPr>
            <w:r>
              <w:rPr>
                <w:rFonts w:ascii="Times New Roman" w:hAnsi="Times New Roman"/>
                <w:sz w:val="17"/>
              </w:rPr>
              <w:t>Included</w:t>
            </w:r>
          </w:p>
          <w:p>
            <w:pPr>
              <w:pStyle w:val="TableContents"/>
              <w:spacing w:before="0" w:after="0"/>
              <w:jc w:val="center"/>
              <w:rPr>
                <w:rFonts w:ascii="Times New Roman" w:hAnsi="Times New Roman"/>
                <w:sz w:val="17"/>
              </w:rPr>
            </w:pPr>
            <w:r>
              <w:rPr>
                <w:rFonts w:ascii="Times New Roman" w:hAnsi="Times New Roman"/>
                <w:sz w:val="17"/>
              </w:rPr>
              <w:t>in Current</w:t>
            </w:r>
          </w:p>
        </w:tc>
        <w:tc>
          <w:tcPr>
            <w:tcW w:w="95" w:type="dxa"/>
            <w:vMerge w:val="restart"/>
            <w:tcBorders/>
            <w:shd w:fill="auto" w:val="clear"/>
            <w:vAlign w:val="bottom"/>
          </w:tcPr>
          <w:p>
            <w:pPr>
              <w:pStyle w:val="TableContents"/>
              <w:spacing w:before="0" w:after="283"/>
              <w:jc w:val="left"/>
              <w:rPr/>
            </w:pPr>
            <w:r>
              <w:rPr/>
              <w:t> </w:t>
            </w:r>
          </w:p>
        </w:tc>
      </w:tr>
      <w:tr>
        <w:trPr/>
        <w:tc>
          <w:tcPr>
            <w:tcW w:w="29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6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Securities</w:t>
            </w:r>
          </w:p>
        </w:tc>
        <w:tc>
          <w:tcPr>
            <w:tcW w:w="115"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Mortgage</w:t>
            </w:r>
          </w:p>
          <w:p>
            <w:pPr>
              <w:pStyle w:val="TableContents"/>
              <w:spacing w:before="0" w:after="0"/>
              <w:jc w:val="center"/>
              <w:rPr>
                <w:rFonts w:ascii="Times New Roman" w:hAnsi="Times New Roman"/>
                <w:sz w:val="17"/>
              </w:rPr>
            </w:pPr>
            <w:r>
              <w:rPr>
                <w:rFonts w:ascii="Times New Roman" w:hAnsi="Times New Roman"/>
                <w:sz w:val="17"/>
              </w:rPr>
              <w:t>Loans</w:t>
            </w:r>
          </w:p>
        </w:tc>
        <w:tc>
          <w:tcPr>
            <w:tcW w:w="115" w:type="dxa"/>
            <w:tcBorders/>
            <w:shd w:fill="auto" w:val="clear"/>
            <w:vAlign w:val="bottom"/>
          </w:tcPr>
          <w:p>
            <w:pPr>
              <w:pStyle w:val="TableContents"/>
              <w:spacing w:before="0" w:after="283"/>
              <w:jc w:val="left"/>
              <w:rPr/>
            </w:pPr>
            <w:r>
              <w:rPr/>
              <w:t> </w:t>
            </w:r>
          </w:p>
        </w:tc>
        <w:tc>
          <w:tcPr>
            <w:tcW w:w="86" w:type="dxa"/>
            <w:vMerge w:val="continue"/>
            <w:tcBorders/>
            <w:shd w:fill="auto" w:val="clear"/>
            <w:vAlign w:val="bottom"/>
          </w:tcPr>
          <w:p>
            <w:pPr>
              <w:pStyle w:val="Normal"/>
              <w:rPr/>
            </w:pPr>
            <w:r>
              <w:rPr/>
            </w:r>
          </w:p>
        </w:tc>
        <w:tc>
          <w:tcPr>
            <w:tcW w:w="9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Loan</w:t>
            </w:r>
          </w:p>
          <w:p>
            <w:pPr>
              <w:pStyle w:val="TableContents"/>
              <w:spacing w:before="0" w:after="0"/>
              <w:jc w:val="center"/>
              <w:rPr>
                <w:rFonts w:ascii="Times New Roman" w:hAnsi="Times New Roman"/>
                <w:sz w:val="17"/>
              </w:rPr>
            </w:pPr>
            <w:r>
              <w:rPr>
                <w:rFonts w:ascii="Times New Roman" w:hAnsi="Times New Roman"/>
                <w:sz w:val="17"/>
              </w:rPr>
              <w:t>Servicing, net</w:t>
            </w:r>
          </w:p>
        </w:tc>
        <w:tc>
          <w:tcPr>
            <w:tcW w:w="115" w:type="dxa"/>
            <w:vMerge w:val="continue"/>
            <w:tcBorders/>
            <w:shd w:fill="auto" w:val="clear"/>
            <w:vAlign w:val="bottom"/>
          </w:tcPr>
          <w:p>
            <w:pPr>
              <w:pStyle w:val="Normal"/>
              <w:rPr/>
            </w:pPr>
            <w:r>
              <w:rPr/>
            </w:r>
          </w:p>
        </w:tc>
        <w:tc>
          <w:tcPr>
            <w:tcW w:w="86" w:type="dxa"/>
            <w:vMerge w:val="continue"/>
            <w:tcBorders/>
            <w:shd w:fill="auto" w:val="clear"/>
            <w:vAlign w:val="bottom"/>
          </w:tcPr>
          <w:p>
            <w:pPr>
              <w:pStyle w:val="Normal"/>
              <w:rPr/>
            </w:pPr>
            <w:r>
              <w:rPr/>
            </w:r>
          </w:p>
        </w:tc>
        <w:tc>
          <w:tcPr>
            <w:tcW w:w="86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Period</w:t>
            </w:r>
          </w:p>
          <w:p>
            <w:pPr>
              <w:pStyle w:val="TableContents"/>
              <w:spacing w:before="0" w:after="0"/>
              <w:jc w:val="center"/>
              <w:rPr>
                <w:rFonts w:ascii="Times New Roman" w:hAnsi="Times New Roman"/>
                <w:sz w:val="17"/>
              </w:rPr>
            </w:pPr>
            <w:r>
              <w:rPr>
                <w:rFonts w:ascii="Times New Roman" w:hAnsi="Times New Roman"/>
                <w:sz w:val="17"/>
              </w:rPr>
              <w:t>Earnings</w:t>
            </w:r>
          </w:p>
        </w:tc>
        <w:tc>
          <w:tcPr>
            <w:tcW w:w="95" w:type="dxa"/>
            <w:vMerge w:val="continue"/>
            <w:tcBorders/>
            <w:shd w:fill="auto" w:val="clear"/>
            <w:vAlign w:val="bottom"/>
          </w:tcPr>
          <w:p>
            <w:pPr>
              <w:pStyle w:val="Normal"/>
              <w:rPr/>
            </w:pPr>
            <w:r>
              <w:rPr/>
            </w:r>
          </w:p>
        </w:tc>
      </w:tr>
      <w:tr>
        <w:trPr/>
        <w:tc>
          <w:tcPr>
            <w:tcW w:w="29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4"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980"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86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Equity securities at fair value</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95" w:type="dxa"/>
            <w:tcBorders/>
            <w:shd w:fill="CCEEFF" w:val="clear"/>
            <w:vAlign w:val="bottom"/>
          </w:tcPr>
          <w:p>
            <w:pPr>
              <w:pStyle w:val="TableContents"/>
              <w:spacing w:before="0" w:after="283"/>
              <w:jc w:val="left"/>
              <w:rPr/>
            </w:pPr>
            <w:r>
              <w:rPr/>
              <w:t> </w:t>
            </w:r>
          </w:p>
        </w:tc>
      </w:tr>
      <w:tr>
        <w:trPr/>
        <w:tc>
          <w:tcPr>
            <w:tcW w:w="29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Loans held for sale</w:t>
            </w:r>
          </w:p>
        </w:tc>
        <w:tc>
          <w:tcPr>
            <w:tcW w:w="6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c>
          <w:tcPr>
            <w:tcW w:w="5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8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70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w:t>
            </w:r>
          </w:p>
        </w:tc>
        <w:tc>
          <w:tcPr>
            <w:tcW w:w="95" w:type="dxa"/>
            <w:tcBorders/>
            <w:shd w:fill="FFFFFF"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jc w:val="left"/>
              <w:rPr/>
            </w:pPr>
            <w:r>
              <w:rPr/>
              <w:t> </w:t>
            </w:r>
          </w:p>
        </w:tc>
        <w:tc>
          <w:tcPr>
            <w:tcW w:w="5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(2,691</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70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(2,691</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c>
          <w:tcPr>
            <w:tcW w:w="53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80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70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2018</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jc w:val="left"/>
              <w:rPr/>
            </w:pPr>
            <w:r>
              <w:rPr/>
              <w:t> </w:t>
            </w:r>
          </w:p>
        </w:tc>
        <w:tc>
          <w:tcPr>
            <w:tcW w:w="530"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70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29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Equity securities at fair value</w:t>
            </w:r>
          </w:p>
        </w:tc>
        <w:tc>
          <w:tcPr>
            <w:tcW w:w="6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(154</w:t>
            </w:r>
          </w:p>
        </w:tc>
        <w:tc>
          <w:tcPr>
            <w:tcW w:w="11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(154</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6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Loans held for sale</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51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jc w:val="left"/>
              <w:rPr/>
            </w:pPr>
            <w:r>
              <w:rPr/>
              <w:t> </w:t>
            </w:r>
          </w:p>
        </w:tc>
        <w:tc>
          <w:tcPr>
            <w:tcW w:w="53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70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51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c>
          <w:tcPr>
            <w:tcW w:w="53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8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115"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70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represent impairment charges recognized during the three month periods ended March 31, 2019 and 2018 relating to assets measured at fair value on a non-recurring basis:</w:t>
      </w:r>
    </w:p>
    <w:p>
      <w:pPr>
        <w:pStyle w:val="Normal"/>
        <w:spacing w:before="0" w:after="0"/>
        <w:rPr>
          <w:sz w:val="4"/>
          <w:szCs w:val="4"/>
        </w:rPr>
      </w:pPr>
      <w:r>
        <w:rPr>
          <w:sz w:val="4"/>
          <w:szCs w:val="4"/>
        </w:rPr>
      </w:r>
      <w:bookmarkStart w:id="443" w:name="z0528f3ecb3ad4491be729dc696e914f4"/>
      <w:bookmarkStart w:id="444" w:name="z0528f3ecb3ad4491be729dc696e914f4"/>
      <w:bookmarkEnd w:id="44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Loans which are measured for impairment using the fair value of collateral for collateral dependent loans had a carrying amount of $3.7 million, which is net of a valuation allowance of $1.7 million at March 31, 2019, and had a carrying amount of $3.5 million, which is net of a valuation allowance of $1.5 million at December 31, 2018.  The provision for loan losses included in our results of operations relating to impaired loans was an expense of $0.5 million and $0.1 million during the three month periods ended March 31, 2019 and 2018, respectively.</w:t>
            </w:r>
          </w:p>
        </w:tc>
      </w:tr>
    </w:tbl>
    <w:p>
      <w:pPr>
        <w:pStyle w:val="Normal"/>
        <w:spacing w:before="0" w:after="0"/>
        <w:rPr>
          <w:sz w:val="4"/>
          <w:szCs w:val="4"/>
        </w:rPr>
      </w:pPr>
      <w:r>
        <w:rPr>
          <w:sz w:val="4"/>
          <w:szCs w:val="4"/>
        </w:rPr>
      </w:r>
      <w:bookmarkStart w:id="445" w:name="z2fd65c41ff674a549901138443b37adb"/>
      <w:bookmarkStart w:id="446" w:name="z2fd65c41ff674a549901138443b37adb"/>
      <w:bookmarkEnd w:id="44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Other real estate, which is measured using the fair value of the property, had a carrying amount of $0.2 million which is net of a valuation allowance of $0.3 million at March 31, 2019, and a carrying amount of $0.2 million, which is net of a valuation allowance of $0.1 million, at December 31, 2018. An additional charge relating to other real estate measured at fair value of $0.12 million and $0.02 million was included in our results of operations during the three month periods ended March 31, 2019 and 2018, respectively.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7" w:name="DSPFPageBreakArea42"/>
      <w:bookmarkStart w:id="448" w:name="DSPFPageBreakArea42"/>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49" w:name="DSPFPageNumber42"/>
      <w:bookmarkStart w:id="450" w:name="DSPFPageNumberArea41"/>
      <w:bookmarkEnd w:id="449"/>
      <w:bookmarkEnd w:id="450"/>
      <w:r>
        <w:rPr>
          <w:rFonts w:ascii="Times New Roman" w:hAnsi="Times New Roman"/>
          <w:b w:val="false"/>
          <w:i w:val="false"/>
          <w:caps w:val="false"/>
          <w:smallCaps w:val="false"/>
          <w:sz w:val="13"/>
        </w:rPr>
        <w:t>43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1" w:name="DSPFPageBreak42"/>
      <w:bookmarkStart w:id="452" w:name="DSPFPageBreak42"/>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53" w:name="DSPFPageHeader41"/>
        <w:bookmarkEnd w:id="45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reconciliation for all assets and (liabilities) measured at fair value on a recurring basis using significant unobservable inputs (Level 3) follows:</w:t>
      </w:r>
    </w:p>
    <w:p>
      <w:pPr>
        <w:pStyle w:val="TextBody"/>
        <w:spacing w:before="0" w:after="0"/>
        <w:rPr/>
      </w:pPr>
      <w:r>
        <w:rPr/>
      </w:r>
    </w:p>
    <w:p>
      <w:pPr>
        <w:pStyle w:val="Normal"/>
        <w:spacing w:before="0" w:after="0"/>
        <w:rPr>
          <w:sz w:val="4"/>
          <w:szCs w:val="4"/>
        </w:rPr>
      </w:pPr>
      <w:r>
        <w:rPr>
          <w:sz w:val="4"/>
          <w:szCs w:val="4"/>
        </w:rPr>
      </w:r>
      <w:bookmarkStart w:id="454" w:name="z32d45230826a492186161a298e5bcd18"/>
      <w:bookmarkStart w:id="455" w:name="z32d45230826a492186161a298e5bcd18"/>
      <w:bookmarkEnd w:id="455"/>
    </w:p>
    <w:tbl>
      <w:tblPr>
        <w:tblW w:w="10205" w:type="dxa"/>
        <w:jc w:val="left"/>
        <w:tblInd w:w="0" w:type="dxa"/>
        <w:tblCellMar>
          <w:top w:w="0" w:type="dxa"/>
          <w:left w:w="0" w:type="dxa"/>
          <w:bottom w:w="0" w:type="dxa"/>
          <w:right w:w="0" w:type="dxa"/>
        </w:tblCellMar>
      </w:tblPr>
      <w:tblGrid>
        <w:gridCol w:w="8160"/>
        <w:gridCol w:w="60"/>
        <w:gridCol w:w="151"/>
        <w:gridCol w:w="707"/>
        <w:gridCol w:w="109"/>
        <w:gridCol w:w="82"/>
        <w:gridCol w:w="151"/>
        <w:gridCol w:w="710"/>
        <w:gridCol w:w="75"/>
      </w:tblGrid>
      <w:tr>
        <w:trPr/>
        <w:tc>
          <w:tcPr>
            <w:tcW w:w="816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91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Capitalized Mortgage Loan</w:t>
            </w:r>
          </w:p>
          <w:p>
            <w:pPr>
              <w:pStyle w:val="TableContents"/>
              <w:spacing w:before="0" w:after="0"/>
              <w:jc w:val="center"/>
              <w:rPr>
                <w:rFonts w:ascii="Times New Roman" w:hAnsi="Times New Roman"/>
                <w:sz w:val="17"/>
              </w:rPr>
            </w:pPr>
            <w:r>
              <w:rPr>
                <w:rFonts w:ascii="Times New Roman" w:hAnsi="Times New Roman"/>
                <w:sz w:val="17"/>
              </w:rPr>
              <w:t>Servicing Rights</w:t>
            </w:r>
          </w:p>
        </w:tc>
        <w:tc>
          <w:tcPr>
            <w:tcW w:w="75" w:type="dxa"/>
            <w:tcBorders/>
            <w:shd w:fill="auto" w:val="clear"/>
            <w:vAlign w:val="bottom"/>
          </w:tcPr>
          <w:p>
            <w:pPr>
              <w:pStyle w:val="TableContents"/>
              <w:spacing w:before="0" w:after="283"/>
              <w:jc w:val="left"/>
              <w:rPr/>
            </w:pPr>
            <w:r>
              <w:rPr/>
              <w:t> </w:t>
            </w:r>
          </w:p>
        </w:tc>
      </w:tr>
      <w:tr>
        <w:trPr/>
        <w:tc>
          <w:tcPr>
            <w:tcW w:w="8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75" w:type="dxa"/>
            <w:tcBorders/>
            <w:shd w:fill="auto" w:val="clear"/>
            <w:vAlign w:val="bottom"/>
          </w:tcPr>
          <w:p>
            <w:pPr>
              <w:pStyle w:val="TableContents"/>
              <w:spacing w:before="0" w:after="283"/>
              <w:jc w:val="left"/>
              <w:rPr/>
            </w:pPr>
            <w:r>
              <w:rPr/>
              <w:t> </w:t>
            </w:r>
          </w:p>
        </w:tc>
      </w:tr>
      <w:tr>
        <w:trPr/>
        <w:tc>
          <w:tcPr>
            <w:tcW w:w="8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09"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6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8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816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Beginning balance</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15,699</w:t>
            </w:r>
          </w:p>
        </w:tc>
        <w:tc>
          <w:tcPr>
            <w:tcW w:w="75" w:type="dxa"/>
            <w:tcBorders/>
            <w:shd w:fill="CCEEFF" w:val="clear"/>
            <w:vAlign w:val="bottom"/>
          </w:tcPr>
          <w:p>
            <w:pPr>
              <w:pStyle w:val="TableContents"/>
              <w:spacing w:before="0" w:after="283"/>
              <w:jc w:val="left"/>
              <w:rPr/>
            </w:pPr>
            <w:r>
              <w:rPr/>
              <w:t> </w:t>
            </w:r>
          </w:p>
        </w:tc>
      </w:tr>
      <w:tr>
        <w:trPr/>
        <w:tc>
          <w:tcPr>
            <w:tcW w:w="81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Total gains (losses) realized and unrealized:</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707"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8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71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8160"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Included in results of operations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(2,691</w:t>
            </w:r>
          </w:p>
        </w:tc>
        <w:tc>
          <w:tcPr>
            <w:tcW w:w="109"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75" w:type="dxa"/>
            <w:tcBorders/>
            <w:shd w:fill="CCEEFF" w:val="clear"/>
            <w:vAlign w:val="bottom"/>
          </w:tcPr>
          <w:p>
            <w:pPr>
              <w:pStyle w:val="TableContents"/>
              <w:spacing w:before="0" w:after="283"/>
              <w:jc w:val="left"/>
              <w:rPr/>
            </w:pPr>
            <w:r>
              <w:rPr/>
              <w:t> </w:t>
            </w:r>
          </w:p>
        </w:tc>
      </w:tr>
      <w:tr>
        <w:trPr/>
        <w:tc>
          <w:tcPr>
            <w:tcW w:w="8160"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Included in other comprehensive income (loss)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70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09" w:type="dxa"/>
            <w:tcBorders/>
            <w:shd w:fill="FFFFFF" w:val="clear"/>
            <w:vAlign w:val="bottom"/>
          </w:tcPr>
          <w:p>
            <w:pPr>
              <w:pStyle w:val="TableContents"/>
              <w:spacing w:before="0" w:after="283"/>
              <w:jc w:val="left"/>
              <w:rPr/>
            </w:pPr>
            <w:r>
              <w:rPr/>
              <w:t> </w:t>
            </w:r>
          </w:p>
        </w:tc>
        <w:tc>
          <w:tcPr>
            <w:tcW w:w="82"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7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8160"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Purchases, issuances, settlements, maturities and calls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1,200</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1,055</w:t>
            </w:r>
          </w:p>
        </w:tc>
        <w:tc>
          <w:tcPr>
            <w:tcW w:w="75" w:type="dxa"/>
            <w:tcBorders/>
            <w:shd w:fill="CCEEFF" w:val="clear"/>
            <w:vAlign w:val="bottom"/>
          </w:tcPr>
          <w:p>
            <w:pPr>
              <w:pStyle w:val="TableContents"/>
              <w:spacing w:before="0" w:after="283"/>
              <w:jc w:val="left"/>
              <w:rPr/>
            </w:pPr>
            <w:r>
              <w:rPr/>
              <w:t> </w:t>
            </w:r>
          </w:p>
        </w:tc>
      </w:tr>
      <w:tr>
        <w:trPr/>
        <w:tc>
          <w:tcPr>
            <w:tcW w:w="8160"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Transfers in and/or out of Level 3</w:t>
            </w:r>
          </w:p>
        </w:tc>
        <w:tc>
          <w:tcPr>
            <w:tcW w:w="60" w:type="dxa"/>
            <w:tcBorders/>
            <w:shd w:fill="FFFFFF" w:val="clear"/>
            <w:vAlign w:val="bottom"/>
          </w:tcPr>
          <w:p>
            <w:pPr>
              <w:pStyle w:val="TableContents"/>
              <w:spacing w:before="0" w:after="283"/>
              <w:rPr/>
            </w:pPr>
            <w:r>
              <w:rPr/>
              <w:t> </w:t>
            </w:r>
          </w:p>
        </w:tc>
        <w:tc>
          <w:tcPr>
            <w:tcW w:w="1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0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09" w:type="dxa"/>
            <w:tcBorders/>
            <w:shd w:fill="FFFFFF" w:val="clear"/>
            <w:vAlign w:val="bottom"/>
          </w:tcPr>
          <w:p>
            <w:pPr>
              <w:pStyle w:val="TableContents"/>
              <w:spacing w:before="0" w:after="283"/>
              <w:jc w:val="left"/>
              <w:rPr/>
            </w:pPr>
            <w:r>
              <w:rPr/>
              <w:t> </w:t>
            </w:r>
          </w:p>
        </w:tc>
        <w:tc>
          <w:tcPr>
            <w:tcW w:w="82" w:type="dxa"/>
            <w:tcBorders/>
            <w:shd w:fill="FFFFFF" w:val="clear"/>
            <w:vAlign w:val="bottom"/>
          </w:tcPr>
          <w:p>
            <w:pPr>
              <w:pStyle w:val="TableContents"/>
              <w:spacing w:before="0" w:after="283"/>
              <w:rPr/>
            </w:pPr>
            <w:r>
              <w:rPr/>
              <w:t> </w:t>
            </w:r>
          </w:p>
        </w:tc>
        <w:tc>
          <w:tcPr>
            <w:tcW w:w="1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8160"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Ending balance</w:t>
            </w:r>
          </w:p>
        </w:tc>
        <w:tc>
          <w:tcPr>
            <w:tcW w:w="60"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109"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17,783</w:t>
            </w:r>
          </w:p>
        </w:tc>
        <w:tc>
          <w:tcPr>
            <w:tcW w:w="75" w:type="dxa"/>
            <w:tcBorders/>
            <w:shd w:fill="CCEEFF" w:val="clear"/>
            <w:vAlign w:val="bottom"/>
          </w:tcPr>
          <w:p>
            <w:pPr>
              <w:pStyle w:val="TableContents"/>
              <w:spacing w:before="0" w:after="283"/>
              <w:jc w:val="left"/>
              <w:rPr/>
            </w:pPr>
            <w:r>
              <w:rPr/>
              <w:t> </w:t>
            </w:r>
          </w:p>
        </w:tc>
      </w:tr>
      <w:tr>
        <w:trPr/>
        <w:tc>
          <w:tcPr>
            <w:tcW w:w="8160"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Amount of total gains (losses) for the period included in  earnings attributable to the change in unrealized gains (losses) relating to assets and liabilities still held at March 31</w:t>
            </w:r>
          </w:p>
        </w:tc>
        <w:tc>
          <w:tcPr>
            <w:tcW w:w="60" w:type="dxa"/>
            <w:tcBorders/>
            <w:shd w:fill="FFFFFF" w:val="clear"/>
            <w:vAlign w:val="bottom"/>
          </w:tcPr>
          <w:p>
            <w:pPr>
              <w:pStyle w:val="TableContents"/>
              <w:spacing w:before="0" w:after="283"/>
              <w:rPr/>
            </w:pPr>
            <w:r>
              <w:rPr/>
              <w:t> </w:t>
            </w:r>
          </w:p>
        </w:tc>
        <w:tc>
          <w:tcPr>
            <w:tcW w:w="15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(2,691</w:t>
            </w:r>
          </w:p>
        </w:tc>
        <w:tc>
          <w:tcPr>
            <w:tcW w:w="109"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 w:type="dxa"/>
            <w:tcBorders/>
            <w:shd w:fill="FFFFFF" w:val="clear"/>
            <w:vAlign w:val="bottom"/>
          </w:tcPr>
          <w:p>
            <w:pPr>
              <w:pStyle w:val="TableContents"/>
              <w:spacing w:before="0" w:after="283"/>
              <w:rPr/>
            </w:pPr>
            <w:r>
              <w:rPr/>
              <w:t> </w:t>
            </w:r>
          </w:p>
        </w:tc>
        <w:tc>
          <w:tcPr>
            <w:tcW w:w="151"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1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The fair value of our capitalized mortgage loan servicing rights has been determined based on a </w:t>
      </w:r>
      <w:r>
        <w:rPr>
          <w:rFonts w:ascii="Times New                Roman" w:hAnsi="Times New                Roman"/>
          <w:sz w:val="17"/>
        </w:rPr>
        <w:t>valuation model used by an independent third party</w:t>
      </w:r>
      <w:r>
        <w:rPr>
          <w:rFonts w:ascii="Times New Roman" w:hAnsi="Times New Roman"/>
          <w:sz w:val="17"/>
        </w:rPr>
        <w:t xml:space="preserve">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pStyle w:val="TextBody"/>
        <w:spacing w:before="0" w:after="0"/>
        <w:rPr/>
      </w:pPr>
      <w:r>
        <w:rPr/>
      </w:r>
    </w:p>
    <w:p>
      <w:pPr>
        <w:pStyle w:val="Normal"/>
        <w:spacing w:before="0" w:after="0"/>
        <w:rPr>
          <w:sz w:val="4"/>
          <w:szCs w:val="4"/>
        </w:rPr>
      </w:pPr>
      <w:r>
        <w:rPr>
          <w:sz w:val="4"/>
          <w:szCs w:val="4"/>
        </w:rPr>
      </w:r>
      <w:bookmarkStart w:id="456" w:name="z76d3e3b6afae481da0d14f7666b31845"/>
      <w:bookmarkStart w:id="457" w:name="z76d3e3b6afae481da0d14f7666b31845"/>
      <w:bookmarkEnd w:id="457"/>
    </w:p>
    <w:tbl>
      <w:tblPr>
        <w:tblW w:w="8995" w:type="dxa"/>
        <w:jc w:val="left"/>
        <w:tblInd w:w="0" w:type="dxa"/>
        <w:tblCellMar>
          <w:top w:w="0" w:type="dxa"/>
          <w:left w:w="0" w:type="dxa"/>
          <w:bottom w:w="0" w:type="dxa"/>
          <w:right w:w="0" w:type="dxa"/>
        </w:tblCellMar>
      </w:tblPr>
      <w:tblGrid>
        <w:gridCol w:w="2945"/>
        <w:gridCol w:w="60"/>
        <w:gridCol w:w="164"/>
        <w:gridCol w:w="770"/>
        <w:gridCol w:w="91"/>
        <w:gridCol w:w="1385"/>
        <w:gridCol w:w="60"/>
        <w:gridCol w:w="1220"/>
        <w:gridCol w:w="60"/>
        <w:gridCol w:w="267"/>
        <w:gridCol w:w="923"/>
        <w:gridCol w:w="155"/>
        <w:gridCol w:w="60"/>
        <w:gridCol w:w="139"/>
        <w:gridCol w:w="541"/>
        <w:gridCol w:w="155"/>
      </w:tblGrid>
      <w:tr>
        <w:trPr/>
        <w:tc>
          <w:tcPr>
            <w:tcW w:w="29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Asset</w:t>
            </w:r>
          </w:p>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91" w:type="dxa"/>
            <w:tcBorders/>
            <w:shd w:fill="auto" w:val="clear"/>
            <w:vAlign w:val="bottom"/>
          </w:tcPr>
          <w:p>
            <w:pPr>
              <w:pStyle w:val="TableContents"/>
              <w:spacing w:before="0" w:after="283"/>
              <w:jc w:val="left"/>
              <w:rPr/>
            </w:pPr>
            <w:r>
              <w:rPr/>
              <w:t> </w:t>
            </w:r>
          </w:p>
        </w:tc>
        <w:tc>
          <w:tcPr>
            <w:tcW w:w="138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Valuation</w:t>
            </w:r>
          </w:p>
          <w:p>
            <w:pPr>
              <w:pStyle w:val="TableContents"/>
              <w:spacing w:before="0" w:after="0"/>
              <w:jc w:val="center"/>
              <w:rPr>
                <w:rFonts w:ascii="Times New Roman" w:hAnsi="Times New Roman"/>
                <w:sz w:val="17"/>
              </w:rPr>
            </w:pPr>
            <w:r>
              <w:rPr>
                <w:rFonts w:ascii="Times New Roman" w:hAnsi="Times New Roman"/>
                <w:sz w:val="17"/>
              </w:rPr>
              <w:t>Technique</w:t>
            </w:r>
          </w:p>
        </w:tc>
        <w:tc>
          <w:tcPr>
            <w:tcW w:w="60" w:type="dxa"/>
            <w:tcBorders/>
            <w:shd w:fill="auto" w:val="clear"/>
            <w:vAlign w:val="bottom"/>
          </w:tcPr>
          <w:p>
            <w:pPr>
              <w:pStyle w:val="TableContents"/>
              <w:spacing w:before="0" w:after="283"/>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Unobservable</w:t>
            </w:r>
          </w:p>
          <w:p>
            <w:pPr>
              <w:pStyle w:val="TableContents"/>
              <w:spacing w:before="0" w:after="0"/>
              <w:jc w:val="center"/>
              <w:rPr>
                <w:rFonts w:ascii="Times New Roman" w:hAnsi="Times New Roman"/>
                <w:sz w:val="17"/>
              </w:rPr>
            </w:pPr>
            <w:r>
              <w:rPr>
                <w:rFonts w:ascii="Times New Roman" w:hAnsi="Times New Roman"/>
                <w:sz w:val="17"/>
              </w:rPr>
              <w:t>Inputs</w:t>
            </w:r>
          </w:p>
        </w:tc>
        <w:tc>
          <w:tcPr>
            <w:tcW w:w="60"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Range</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Weighted</w:t>
            </w:r>
          </w:p>
          <w:p>
            <w:pPr>
              <w:pStyle w:val="TableContents"/>
              <w:spacing w:before="0" w:after="0"/>
              <w:jc w:val="center"/>
              <w:rPr>
                <w:rFonts w:ascii="Times New Roman" w:hAnsi="Times New Roman"/>
                <w:sz w:val="17"/>
              </w:rPr>
            </w:pPr>
            <w:r>
              <w:rPr>
                <w:rFonts w:ascii="Times New Roman" w:hAnsi="Times New Roman"/>
                <w:sz w:val="17"/>
              </w:rPr>
              <w:t>Average</w:t>
            </w:r>
          </w:p>
        </w:tc>
        <w:tc>
          <w:tcPr>
            <w:tcW w:w="155" w:type="dxa"/>
            <w:tcBorders/>
            <w:shd w:fill="auto"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3"/>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13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c>
          <w:tcPr>
            <w:tcW w:w="13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91" w:type="dxa"/>
            <w:tcBorders/>
            <w:shd w:fill="CCEEFF" w:val="clear"/>
            <w:vAlign w:val="bottom"/>
          </w:tcPr>
          <w:p>
            <w:pPr>
              <w:pStyle w:val="TableContents"/>
              <w:spacing w:before="0" w:after="283"/>
              <w:jc w:val="left"/>
              <w:rPr/>
            </w:pPr>
            <w:r>
              <w:rPr/>
              <w:t> </w:t>
            </w:r>
          </w:p>
        </w:tc>
        <w:tc>
          <w:tcPr>
            <w:tcW w:w="1385" w:type="dxa"/>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Present value of net</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Discount rate</w:t>
            </w:r>
          </w:p>
        </w:tc>
        <w:tc>
          <w:tcPr>
            <w:tcW w:w="60" w:type="dxa"/>
            <w:tcBorders/>
            <w:shd w:fill="CCEEFF" w:val="clear"/>
            <w:vAlign w:val="bottom"/>
          </w:tcPr>
          <w:p>
            <w:pPr>
              <w:pStyle w:val="TableContents"/>
              <w:spacing w:before="0" w:after="283"/>
              <w:rPr/>
            </w:pPr>
            <w:r>
              <w:rPr/>
              <w:t> </w:t>
            </w:r>
          </w:p>
        </w:tc>
        <w:tc>
          <w:tcPr>
            <w:tcW w:w="1190" w:type="dxa"/>
            <w:gridSpan w:val="2"/>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10.00% to 13.00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10.14</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77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385" w:type="dxa"/>
            <w:tcBorders/>
            <w:shd w:fill="FFFFFF" w:val="clear"/>
            <w:vAlign w:val="bottom"/>
          </w:tcPr>
          <w:p>
            <w:pPr>
              <w:pStyle w:val="TableContents"/>
              <w:spacing w:before="0" w:after="0"/>
              <w:jc w:val="center"/>
              <w:rPr/>
            </w:pPr>
            <w:r>
              <w:rPr/>
              <w:t>  </w:t>
            </w:r>
            <w:r>
              <w:rPr>
                <w:rFonts w:ascii="Times New Roman" w:hAnsi="Times New Roman"/>
                <w:sz w:val="17"/>
              </w:rPr>
              <w:t>servicing revenue</w:t>
            </w:r>
          </w:p>
        </w:tc>
        <w:tc>
          <w:tcPr>
            <w:tcW w:w="60" w:type="dxa"/>
            <w:tcBorders/>
            <w:shd w:fill="FFFFFF" w:val="clear"/>
            <w:vAlign w:val="bottom"/>
          </w:tcPr>
          <w:p>
            <w:pPr>
              <w:pStyle w:val="TableContents"/>
              <w:spacing w:before="0" w:after="283"/>
              <w:rPr/>
            </w:pPr>
            <w:r>
              <w:rPr/>
              <w:t> </w:t>
            </w:r>
          </w:p>
        </w:tc>
        <w:tc>
          <w:tcPr>
            <w:tcW w:w="12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Cost to service</w:t>
            </w:r>
          </w:p>
        </w:tc>
        <w:tc>
          <w:tcPr>
            <w:tcW w:w="60"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66 to $217</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80</w:t>
            </w:r>
          </w:p>
        </w:tc>
        <w:tc>
          <w:tcPr>
            <w:tcW w:w="155" w:type="dxa"/>
            <w:tcBorders/>
            <w:shd w:fill="FFFFFF"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385" w:type="dxa"/>
            <w:tcBorders/>
            <w:shd w:fill="CCEEFF" w:val="clear"/>
            <w:vAlign w:val="bottom"/>
          </w:tcPr>
          <w:p>
            <w:pPr>
              <w:pStyle w:val="TableContents"/>
              <w:spacing w:before="0" w:after="283"/>
              <w:jc w:val="center"/>
              <w:rPr/>
            </w:pPr>
            <w:r>
              <w:rPr/>
              <w:t>   </w:t>
            </w:r>
          </w:p>
        </w:tc>
        <w:tc>
          <w:tcPr>
            <w:tcW w:w="60" w:type="dxa"/>
            <w:tcBorders/>
            <w:shd w:fill="CCEEFF" w:val="clear"/>
            <w:vAlign w:val="bottom"/>
          </w:tcPr>
          <w:p>
            <w:pPr>
              <w:pStyle w:val="TableContents"/>
              <w:spacing w:before="0" w:after="283"/>
              <w:jc w:val="center"/>
              <w:rPr/>
            </w:pPr>
            <w:r>
              <w:rPr/>
              <w:t> </w:t>
            </w:r>
          </w:p>
        </w:tc>
        <w:tc>
          <w:tcPr>
            <w:tcW w:w="12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Ancillary income</w:t>
            </w:r>
          </w:p>
        </w:tc>
        <w:tc>
          <w:tcPr>
            <w:tcW w:w="60" w:type="dxa"/>
            <w:tcBorders/>
            <w:shd w:fill="CCEEFF" w:val="clear"/>
            <w:vAlign w:val="bottom"/>
          </w:tcPr>
          <w:p>
            <w:pPr>
              <w:pStyle w:val="TableContents"/>
              <w:spacing w:before="0" w:after="283"/>
              <w:rPr/>
            </w:pPr>
            <w:r>
              <w:rPr/>
              <w:t> </w:t>
            </w:r>
          </w:p>
        </w:tc>
        <w:tc>
          <w:tcPr>
            <w:tcW w:w="1190" w:type="dxa"/>
            <w:gridSpan w:val="2"/>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 to 36</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155" w:type="dxa"/>
            <w:tcBorders/>
            <w:shd w:fill="CCEEFF" w:val="clear"/>
            <w:vAlign w:val="bottom"/>
          </w:tcPr>
          <w:p>
            <w:pPr>
              <w:pStyle w:val="TableContents"/>
              <w:spacing w:before="0" w:after="283"/>
              <w:jc w:val="left"/>
              <w:rPr/>
            </w:pPr>
            <w:r>
              <w:rPr/>
              <w:t> </w:t>
            </w:r>
          </w:p>
        </w:tc>
      </w:tr>
      <w:tr>
        <w:trPr/>
        <w:tc>
          <w:tcPr>
            <w:tcW w:w="29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77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385" w:type="dxa"/>
            <w:tcBorders/>
            <w:shd w:fill="FFFFFF" w:val="clear"/>
            <w:vAlign w:val="bottom"/>
          </w:tcPr>
          <w:p>
            <w:pPr>
              <w:pStyle w:val="TableContents"/>
              <w:spacing w:before="0" w:after="283"/>
              <w:jc w:val="center"/>
              <w:rPr/>
            </w:pPr>
            <w:r>
              <w:rPr/>
              <w:t>   </w:t>
            </w:r>
          </w:p>
        </w:tc>
        <w:tc>
          <w:tcPr>
            <w:tcW w:w="60" w:type="dxa"/>
            <w:tcBorders/>
            <w:shd w:fill="FFFFFF" w:val="clear"/>
            <w:vAlign w:val="bottom"/>
          </w:tcPr>
          <w:p>
            <w:pPr>
              <w:pStyle w:val="TableContents"/>
              <w:spacing w:before="0" w:after="283"/>
              <w:jc w:val="center"/>
              <w:rPr/>
            </w:pPr>
            <w:r>
              <w:rPr/>
              <w:t> </w:t>
            </w:r>
          </w:p>
        </w:tc>
        <w:tc>
          <w:tcPr>
            <w:tcW w:w="12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Float rate</w:t>
            </w:r>
          </w:p>
        </w:tc>
        <w:tc>
          <w:tcPr>
            <w:tcW w:w="60"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left"/>
              <w:rPr/>
            </w:pPr>
            <w:r>
              <w:rPr/>
              <w:t> </w:t>
            </w:r>
          </w:p>
        </w:tc>
        <w:tc>
          <w:tcPr>
            <w:tcW w:w="92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2.29</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5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2.29</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385" w:type="dxa"/>
            <w:tcBorders/>
            <w:shd w:fill="CCEEFF" w:val="clear"/>
            <w:vAlign w:val="bottom"/>
          </w:tcPr>
          <w:p>
            <w:pPr>
              <w:pStyle w:val="TableContents"/>
              <w:spacing w:before="0" w:after="283"/>
              <w:jc w:val="center"/>
              <w:rPr/>
            </w:pPr>
            <w:r>
              <w:rPr/>
              <w:t> </w:t>
            </w:r>
          </w:p>
        </w:tc>
        <w:tc>
          <w:tcPr>
            <w:tcW w:w="60" w:type="dxa"/>
            <w:tcBorders/>
            <w:shd w:fill="CCEEFF" w:val="clear"/>
            <w:vAlign w:val="bottom"/>
          </w:tcPr>
          <w:p>
            <w:pPr>
              <w:pStyle w:val="TableContents"/>
              <w:spacing w:before="0" w:after="283"/>
              <w:jc w:val="center"/>
              <w:rPr/>
            </w:pPr>
            <w:r>
              <w:rPr/>
              <w:t> </w:t>
            </w:r>
          </w:p>
        </w:tc>
        <w:tc>
          <w:tcPr>
            <w:tcW w:w="122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 </w:t>
            </w:r>
          </w:p>
        </w:tc>
        <w:tc>
          <w:tcPr>
            <w:tcW w:w="9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r>
      <w:tr>
        <w:trPr/>
        <w:tc>
          <w:tcPr>
            <w:tcW w:w="2945" w:type="dxa"/>
            <w:tcBorders/>
            <w:shd w:fill="FFFF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77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385" w:type="dxa"/>
            <w:tcBorders/>
            <w:shd w:fill="FFFFFF" w:val="clear"/>
            <w:vAlign w:val="bottom"/>
          </w:tcPr>
          <w:p>
            <w:pPr>
              <w:pStyle w:val="TableContents"/>
              <w:spacing w:before="0" w:after="283"/>
              <w:jc w:val="center"/>
              <w:rPr/>
            </w:pPr>
            <w:r>
              <w:rPr/>
              <w:t> </w:t>
            </w:r>
          </w:p>
        </w:tc>
        <w:tc>
          <w:tcPr>
            <w:tcW w:w="60" w:type="dxa"/>
            <w:tcBorders/>
            <w:shd w:fill="FFFFFF" w:val="clear"/>
            <w:vAlign w:val="bottom"/>
          </w:tcPr>
          <w:p>
            <w:pPr>
              <w:pStyle w:val="TableContents"/>
              <w:spacing w:before="0" w:after="283"/>
              <w:jc w:val="center"/>
              <w:rPr/>
            </w:pPr>
            <w:r>
              <w:rPr/>
              <w:t> </w:t>
            </w:r>
          </w:p>
        </w:tc>
        <w:tc>
          <w:tcPr>
            <w:tcW w:w="12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left"/>
              <w:rPr/>
            </w:pPr>
            <w:r>
              <w:rPr/>
              <w:t> </w:t>
            </w:r>
          </w:p>
        </w:tc>
        <w:tc>
          <w:tcPr>
            <w:tcW w:w="92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541"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Capitalized mortgage loan servicing rights</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91" w:type="dxa"/>
            <w:tcBorders/>
            <w:shd w:fill="CCEEFF" w:val="clear"/>
            <w:vAlign w:val="bottom"/>
          </w:tcPr>
          <w:p>
            <w:pPr>
              <w:pStyle w:val="TableContents"/>
              <w:spacing w:before="0" w:after="283"/>
              <w:jc w:val="left"/>
              <w:rPr/>
            </w:pPr>
            <w:r>
              <w:rPr/>
              <w:t> </w:t>
            </w:r>
          </w:p>
        </w:tc>
        <w:tc>
          <w:tcPr>
            <w:tcW w:w="1385" w:type="dxa"/>
            <w:tcBorders/>
            <w:shd w:fill="CCEEFF" w:val="clear"/>
            <w:vAlign w:val="bottom"/>
          </w:tcPr>
          <w:p>
            <w:pPr>
              <w:pStyle w:val="TableContents"/>
              <w:spacing w:before="0" w:after="0"/>
              <w:jc w:val="center"/>
              <w:rPr>
                <w:rFonts w:ascii="Times New Roman" w:hAnsi="Times New Roman"/>
                <w:sz w:val="17"/>
              </w:rPr>
            </w:pPr>
            <w:r>
              <w:rPr>
                <w:rFonts w:ascii="Times New Roman" w:hAnsi="Times New Roman"/>
                <w:sz w:val="17"/>
              </w:rPr>
              <w:t>Present value of net</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Discount rate</w:t>
            </w:r>
          </w:p>
        </w:tc>
        <w:tc>
          <w:tcPr>
            <w:tcW w:w="60" w:type="dxa"/>
            <w:tcBorders/>
            <w:shd w:fill="CCEEFF" w:val="clear"/>
            <w:vAlign w:val="bottom"/>
          </w:tcPr>
          <w:p>
            <w:pPr>
              <w:pStyle w:val="TableContents"/>
              <w:spacing w:before="0" w:after="283"/>
              <w:rPr/>
            </w:pPr>
            <w:r>
              <w:rPr/>
              <w:t> </w:t>
            </w:r>
          </w:p>
        </w:tc>
        <w:tc>
          <w:tcPr>
            <w:tcW w:w="1190" w:type="dxa"/>
            <w:gridSpan w:val="2"/>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10.00% to 13.00</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10.15</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9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77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385" w:type="dxa"/>
            <w:tcBorders/>
            <w:shd w:fill="FFFFFF" w:val="clear"/>
            <w:vAlign w:val="bottom"/>
          </w:tcPr>
          <w:p>
            <w:pPr>
              <w:pStyle w:val="TableContents"/>
              <w:spacing w:before="0" w:after="0"/>
              <w:jc w:val="center"/>
              <w:rPr>
                <w:rFonts w:ascii="Times New Roman" w:hAnsi="Times New Roman"/>
                <w:sz w:val="17"/>
              </w:rPr>
            </w:pPr>
            <w:r>
              <w:rPr>
                <w:rFonts w:ascii="Times New Roman" w:hAnsi="Times New Roman"/>
                <w:sz w:val="17"/>
              </w:rPr>
              <w:t>servicing revenue</w:t>
            </w:r>
          </w:p>
        </w:tc>
        <w:tc>
          <w:tcPr>
            <w:tcW w:w="60" w:type="dxa"/>
            <w:tcBorders/>
            <w:shd w:fill="FFFFFF" w:val="clear"/>
            <w:vAlign w:val="bottom"/>
          </w:tcPr>
          <w:p>
            <w:pPr>
              <w:pStyle w:val="TableContents"/>
              <w:spacing w:before="0" w:after="283"/>
              <w:rPr/>
            </w:pPr>
            <w:r>
              <w:rPr/>
              <w:t> </w:t>
            </w:r>
          </w:p>
        </w:tc>
        <w:tc>
          <w:tcPr>
            <w:tcW w:w="12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Cost to service</w:t>
            </w:r>
          </w:p>
        </w:tc>
        <w:tc>
          <w:tcPr>
            <w:tcW w:w="60"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2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 to $216</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81</w:t>
            </w:r>
          </w:p>
        </w:tc>
        <w:tc>
          <w:tcPr>
            <w:tcW w:w="155" w:type="dxa"/>
            <w:tcBorders/>
            <w:shd w:fill="FFFFFF"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1385" w:type="dxa"/>
            <w:tcBorders/>
            <w:shd w:fill="CCEEFF" w:val="clear"/>
            <w:vAlign w:val="bottom"/>
          </w:tcPr>
          <w:p>
            <w:pPr>
              <w:pStyle w:val="TableContents"/>
              <w:spacing w:before="0" w:after="283"/>
              <w:jc w:val="center"/>
              <w:rPr/>
            </w:pPr>
            <w:r>
              <w:rPr/>
              <w:t>   </w:t>
            </w:r>
          </w:p>
        </w:tc>
        <w:tc>
          <w:tcPr>
            <w:tcW w:w="60" w:type="dxa"/>
            <w:tcBorders/>
            <w:shd w:fill="CCEEFF" w:val="clear"/>
            <w:vAlign w:val="bottom"/>
          </w:tcPr>
          <w:p>
            <w:pPr>
              <w:pStyle w:val="TableContents"/>
              <w:spacing w:before="0" w:after="283"/>
              <w:jc w:val="center"/>
              <w:rPr/>
            </w:pPr>
            <w:r>
              <w:rPr/>
              <w:t> </w:t>
            </w:r>
          </w:p>
        </w:tc>
        <w:tc>
          <w:tcPr>
            <w:tcW w:w="122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Ancillary income</w:t>
            </w:r>
          </w:p>
        </w:tc>
        <w:tc>
          <w:tcPr>
            <w:tcW w:w="60" w:type="dxa"/>
            <w:tcBorders/>
            <w:shd w:fill="CCEEFF" w:val="clear"/>
            <w:vAlign w:val="bottom"/>
          </w:tcPr>
          <w:p>
            <w:pPr>
              <w:pStyle w:val="TableContents"/>
              <w:spacing w:before="0" w:after="283"/>
              <w:rPr/>
            </w:pPr>
            <w:r>
              <w:rPr/>
              <w:t> </w:t>
            </w:r>
          </w:p>
        </w:tc>
        <w:tc>
          <w:tcPr>
            <w:tcW w:w="1190" w:type="dxa"/>
            <w:gridSpan w:val="2"/>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 to 36</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155" w:type="dxa"/>
            <w:tcBorders/>
            <w:shd w:fill="CCEEFF" w:val="clear"/>
            <w:vAlign w:val="bottom"/>
          </w:tcPr>
          <w:p>
            <w:pPr>
              <w:pStyle w:val="TableContents"/>
              <w:spacing w:before="0" w:after="283"/>
              <w:jc w:val="left"/>
              <w:rPr/>
            </w:pPr>
            <w:r>
              <w:rPr/>
              <w:t> </w:t>
            </w:r>
          </w:p>
        </w:tc>
      </w:tr>
      <w:tr>
        <w:trPr/>
        <w:tc>
          <w:tcPr>
            <w:tcW w:w="29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77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1385" w:type="dxa"/>
            <w:tcBorders/>
            <w:shd w:fill="FFFFFF" w:val="clear"/>
            <w:vAlign w:val="bottom"/>
          </w:tcPr>
          <w:p>
            <w:pPr>
              <w:pStyle w:val="TableContents"/>
              <w:spacing w:before="0" w:after="283"/>
              <w:jc w:val="center"/>
              <w:rPr/>
            </w:pPr>
            <w:r>
              <w:rPr/>
              <w:t>   </w:t>
            </w:r>
          </w:p>
        </w:tc>
        <w:tc>
          <w:tcPr>
            <w:tcW w:w="60" w:type="dxa"/>
            <w:tcBorders/>
            <w:shd w:fill="FFFFFF" w:val="clear"/>
            <w:vAlign w:val="bottom"/>
          </w:tcPr>
          <w:p>
            <w:pPr>
              <w:pStyle w:val="TableContents"/>
              <w:spacing w:before="0" w:after="283"/>
              <w:jc w:val="center"/>
              <w:rPr/>
            </w:pPr>
            <w:r>
              <w:rPr/>
              <w:t> </w:t>
            </w:r>
          </w:p>
        </w:tc>
        <w:tc>
          <w:tcPr>
            <w:tcW w:w="122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Float rate</w:t>
            </w:r>
          </w:p>
        </w:tc>
        <w:tc>
          <w:tcPr>
            <w:tcW w:w="60"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left"/>
              <w:rPr/>
            </w:pPr>
            <w:r>
              <w:rPr/>
              <w:t> </w:t>
            </w:r>
          </w:p>
        </w:tc>
        <w:tc>
          <w:tcPr>
            <w:tcW w:w="92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54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8" w:name="DSPFPageBreakArea43"/>
      <w:bookmarkStart w:id="459" w:name="DSPFPageBreakArea43"/>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60" w:name="DSPFPageNumber43"/>
      <w:bookmarkStart w:id="461" w:name="DSPFPageNumberArea42"/>
      <w:bookmarkEnd w:id="460"/>
      <w:bookmarkEnd w:id="461"/>
      <w:r>
        <w:rPr>
          <w:rFonts w:ascii="Times New Roman" w:hAnsi="Times New Roman"/>
          <w:b w:val="false"/>
          <w:i w:val="false"/>
          <w:caps w:val="false"/>
          <w:smallCaps w:val="false"/>
          <w:sz w:val="13"/>
        </w:rPr>
        <w:t>44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62" w:name="DSPFPageBreak43"/>
      <w:bookmarkStart w:id="463" w:name="DSPFPageBreak43"/>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64" w:name="DSPFPageHeader42"/>
        <w:bookmarkEnd w:id="46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Quantitative information about Level 3 fair value measurements measured on a non-recurring basis follows:</w:t>
      </w:r>
    </w:p>
    <w:p>
      <w:pPr>
        <w:pStyle w:val="TextBody"/>
        <w:spacing w:before="0" w:after="0"/>
        <w:rPr/>
      </w:pPr>
      <w:r>
        <w:rPr/>
      </w:r>
    </w:p>
    <w:p>
      <w:pPr>
        <w:pStyle w:val="Normal"/>
        <w:spacing w:before="0" w:after="0"/>
        <w:rPr>
          <w:sz w:val="4"/>
          <w:szCs w:val="4"/>
        </w:rPr>
      </w:pPr>
      <w:r>
        <w:rPr>
          <w:sz w:val="4"/>
          <w:szCs w:val="4"/>
        </w:rPr>
      </w:r>
      <w:bookmarkStart w:id="465" w:name="z454f375612df40b9b74142ad206212c0"/>
      <w:bookmarkStart w:id="466" w:name="z454f375612df40b9b74142ad206212c0"/>
      <w:bookmarkEnd w:id="466"/>
    </w:p>
    <w:tbl>
      <w:tblPr>
        <w:tblW w:w="10205" w:type="dxa"/>
        <w:jc w:val="left"/>
        <w:tblInd w:w="0" w:type="dxa"/>
        <w:tblCellMar>
          <w:top w:w="0" w:type="dxa"/>
          <w:left w:w="0" w:type="dxa"/>
          <w:bottom w:w="0" w:type="dxa"/>
          <w:right w:w="0" w:type="dxa"/>
        </w:tblCellMar>
      </w:tblPr>
      <w:tblGrid>
        <w:gridCol w:w="1368"/>
        <w:gridCol w:w="60"/>
        <w:gridCol w:w="247"/>
        <w:gridCol w:w="958"/>
        <w:gridCol w:w="60"/>
        <w:gridCol w:w="1847"/>
        <w:gridCol w:w="3529"/>
        <w:gridCol w:w="1085"/>
        <w:gridCol w:w="155"/>
        <w:gridCol w:w="103"/>
        <w:gridCol w:w="577"/>
        <w:gridCol w:w="216"/>
      </w:tblGrid>
      <w:tr>
        <w:trPr/>
        <w:tc>
          <w:tcPr>
            <w:tcW w:w="13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Asset</w:t>
            </w:r>
          </w:p>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0" w:type="dxa"/>
            <w:tcBorders/>
            <w:shd w:fill="auto" w:val="clear"/>
            <w:vAlign w:val="bottom"/>
          </w:tcPr>
          <w:p>
            <w:pPr>
              <w:pStyle w:val="TableContents"/>
              <w:spacing w:before="0" w:after="283"/>
              <w:jc w:val="left"/>
              <w:rPr/>
            </w:pPr>
            <w:r>
              <w:rPr/>
              <w:t> </w:t>
            </w:r>
          </w:p>
        </w:tc>
        <w:tc>
          <w:tcPr>
            <w:tcW w:w="1847"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Valuation</w:t>
            </w:r>
          </w:p>
          <w:p>
            <w:pPr>
              <w:pStyle w:val="TableContents"/>
              <w:spacing w:before="0" w:after="0"/>
              <w:jc w:val="center"/>
              <w:rPr>
                <w:rFonts w:ascii="Times New Roman" w:hAnsi="Times New Roman"/>
                <w:sz w:val="17"/>
              </w:rPr>
            </w:pPr>
            <w:r>
              <w:rPr>
                <w:rFonts w:ascii="Times New Roman" w:hAnsi="Times New Roman"/>
                <w:sz w:val="17"/>
              </w:rPr>
              <w:t>Technique</w:t>
            </w:r>
          </w:p>
        </w:tc>
        <w:tc>
          <w:tcPr>
            <w:tcW w:w="3529"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Unobservable</w:t>
            </w:r>
          </w:p>
          <w:p>
            <w:pPr>
              <w:pStyle w:val="TableContents"/>
              <w:spacing w:before="0" w:after="0"/>
              <w:jc w:val="center"/>
              <w:rPr>
                <w:rFonts w:ascii="Times New Roman" w:hAnsi="Times New Roman"/>
                <w:sz w:val="17"/>
              </w:rPr>
            </w:pPr>
            <w:r>
              <w:rPr>
                <w:rFonts w:ascii="Times New Roman" w:hAnsi="Times New Roman"/>
                <w:sz w:val="17"/>
              </w:rPr>
              <w:t>Inputs</w:t>
            </w:r>
          </w:p>
        </w:tc>
        <w:tc>
          <w:tcPr>
            <w:tcW w:w="108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Range</w:t>
            </w:r>
          </w:p>
        </w:tc>
        <w:tc>
          <w:tcPr>
            <w:tcW w:w="155" w:type="dxa"/>
            <w:tcBorders/>
            <w:shd w:fill="auto" w:val="clear"/>
            <w:vAlign w:val="bottom"/>
          </w:tcPr>
          <w:p>
            <w:pPr>
              <w:pStyle w:val="TableContents"/>
              <w:spacing w:before="0" w:after="283"/>
              <w:rPr/>
            </w:pPr>
            <w:r>
              <w:rPr/>
              <w:t> </w:t>
            </w:r>
          </w:p>
        </w:tc>
        <w:tc>
          <w:tcPr>
            <w:tcW w:w="6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Weighted</w:t>
            </w:r>
          </w:p>
          <w:p>
            <w:pPr>
              <w:pStyle w:val="TableContents"/>
              <w:spacing w:before="0" w:after="0"/>
              <w:jc w:val="center"/>
              <w:rPr>
                <w:rFonts w:ascii="Times New Roman" w:hAnsi="Times New Roman"/>
                <w:sz w:val="17"/>
              </w:rPr>
            </w:pPr>
            <w:r>
              <w:rPr>
                <w:rFonts w:ascii="Times New Roman" w:hAnsi="Times New Roman"/>
                <w:sz w:val="17"/>
              </w:rPr>
              <w:t>Average</w:t>
            </w:r>
          </w:p>
        </w:tc>
        <w:tc>
          <w:tcPr>
            <w:tcW w:w="216" w:type="dxa"/>
            <w:tcBorders/>
            <w:shd w:fill="auto" w:val="clear"/>
            <w:vAlign w:val="bottom"/>
          </w:tcPr>
          <w:p>
            <w:pPr>
              <w:pStyle w:val="TableContents"/>
              <w:spacing w:before="0" w:after="283"/>
              <w:jc w:val="left"/>
              <w:rPr/>
            </w:pPr>
            <w:r>
              <w:rPr/>
              <w:t> </w:t>
            </w:r>
          </w:p>
        </w:tc>
      </w:tr>
      <w:tr>
        <w:trPr/>
        <w:tc>
          <w:tcPr>
            <w:tcW w:w="13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0"/>
              <w:jc w:val="center"/>
              <w:rPr>
                <w:rFonts w:ascii="quot" w:hAnsi="quot"/>
                <w:sz w:val="17"/>
              </w:rPr>
            </w:pPr>
            <w:r>
              <w:rPr>
                <w:rFonts w:ascii="quot" w:hAnsi="quot"/>
                <w:sz w:val="17"/>
              </w:rPr>
              <w:t>(In thousands)</w:t>
            </w:r>
          </w:p>
        </w:tc>
        <w:tc>
          <w:tcPr>
            <w:tcW w:w="60" w:type="dxa"/>
            <w:tcBorders/>
            <w:shd w:fill="auto" w:val="clear"/>
            <w:vAlign w:val="bottom"/>
          </w:tcPr>
          <w:p>
            <w:pPr>
              <w:pStyle w:val="TableContents"/>
              <w:spacing w:before="0" w:after="283"/>
              <w:jc w:val="left"/>
              <w:rPr/>
            </w:pPr>
            <w:r>
              <w:rPr/>
              <w:t> </w:t>
            </w:r>
          </w:p>
        </w:tc>
        <w:tc>
          <w:tcPr>
            <w:tcW w:w="1847" w:type="dxa"/>
            <w:tcBorders/>
            <w:shd w:fill="auto" w:val="clear"/>
            <w:vAlign w:val="bottom"/>
          </w:tcPr>
          <w:p>
            <w:pPr>
              <w:pStyle w:val="TableContents"/>
              <w:spacing w:before="0" w:after="283"/>
              <w:rPr/>
            </w:pPr>
            <w:r>
              <w:rPr/>
              <w:t> </w:t>
            </w:r>
          </w:p>
        </w:tc>
        <w:tc>
          <w:tcPr>
            <w:tcW w:w="3529"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r>
      <w:tr>
        <w:trPr/>
        <w:tc>
          <w:tcPr>
            <w:tcW w:w="1368" w:type="dxa"/>
            <w:tcBorders/>
            <w:shd w:fill="auto" w:val="clear"/>
            <w:vAlign w:val="bottom"/>
          </w:tcPr>
          <w:p>
            <w:pPr>
              <w:pStyle w:val="TableContents"/>
              <w:spacing w:before="0" w:after="0"/>
              <w:ind w:left="144" w:right="0" w:hanging="144"/>
              <w:jc w:val="left"/>
              <w:rPr/>
            </w:pPr>
            <w:r>
              <w:rPr/>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847" w:type="dxa"/>
            <w:tcBorders/>
            <w:shd w:fill="auto" w:val="clear"/>
            <w:vAlign w:val="bottom"/>
          </w:tcPr>
          <w:p>
            <w:pPr>
              <w:pStyle w:val="TableContents"/>
              <w:spacing w:before="0" w:after="283"/>
              <w:rPr/>
            </w:pPr>
            <w:r>
              <w:rPr/>
              <w:t> </w:t>
            </w:r>
          </w:p>
        </w:tc>
        <w:tc>
          <w:tcPr>
            <w:tcW w:w="3529"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r>
      <w:tr>
        <w:trPr/>
        <w:tc>
          <w:tcPr>
            <w:tcW w:w="1368"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r>
          </w:p>
        </w:tc>
        <w:tc>
          <w:tcPr>
            <w:tcW w:w="958" w:type="dxa"/>
            <w:tcBorders/>
            <w:shd w:fill="auto" w:val="clear"/>
            <w:vAlign w:val="bottom"/>
          </w:tcPr>
          <w:p>
            <w:pPr>
              <w:pStyle w:val="TableContents"/>
              <w:spacing w:before="0" w:after="0"/>
              <w:rPr/>
            </w:pPr>
            <w:r>
              <w:rPr/>
            </w:r>
          </w:p>
        </w:tc>
        <w:tc>
          <w:tcPr>
            <w:tcW w:w="60" w:type="dxa"/>
            <w:tcBorders/>
            <w:shd w:fill="auto" w:val="clear"/>
            <w:vAlign w:val="bottom"/>
          </w:tcPr>
          <w:p>
            <w:pPr>
              <w:pStyle w:val="TableContents"/>
              <w:spacing w:before="0" w:after="283"/>
              <w:jc w:val="left"/>
              <w:rPr/>
            </w:pPr>
            <w:r>
              <w:rPr/>
              <w:t> </w:t>
            </w:r>
          </w:p>
        </w:tc>
        <w:tc>
          <w:tcPr>
            <w:tcW w:w="1847" w:type="dxa"/>
            <w:tcBorders/>
            <w:shd w:fill="auto" w:val="clear"/>
            <w:vAlign w:val="bottom"/>
          </w:tcPr>
          <w:p>
            <w:pPr>
              <w:pStyle w:val="TableContents"/>
              <w:spacing w:before="0" w:after="0"/>
              <w:ind w:left="144" w:right="0" w:hanging="144"/>
              <w:jc w:val="left"/>
              <w:rPr/>
            </w:pPr>
            <w:r>
              <w:rPr/>
            </w:r>
          </w:p>
        </w:tc>
        <w:tc>
          <w:tcPr>
            <w:tcW w:w="3529" w:type="dxa"/>
            <w:tcBorders/>
            <w:shd w:fill="auto" w:val="clear"/>
            <w:vAlign w:val="bottom"/>
          </w:tcPr>
          <w:p>
            <w:pPr>
              <w:pStyle w:val="TableContents"/>
              <w:spacing w:before="0" w:after="0"/>
              <w:ind w:left="144" w:right="0" w:hanging="144"/>
              <w:jc w:val="left"/>
              <w:rPr/>
            </w:pPr>
            <w:r>
              <w:rPr/>
            </w:r>
          </w:p>
        </w:tc>
        <w:tc>
          <w:tcPr>
            <w:tcW w:w="108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Impaired loans</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680" w:type="dxa"/>
            <w:gridSpan w:val="2"/>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360" w:right="0" w:hanging="0"/>
              <w:jc w:val="left"/>
              <w:rPr>
                <w:rFonts w:ascii="Times New Roman" w:hAnsi="Times New Roman"/>
                <w:sz w:val="17"/>
              </w:rPr>
            </w:pPr>
            <w:r>
              <w:rPr>
                <w:rFonts w:ascii="Times New Roman" w:hAnsi="Times New Roman"/>
                <w:sz w:val="17"/>
              </w:rPr>
              <w:t>Commercial(1)</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rFonts w:ascii="Times New Roman" w:hAnsi="Times New Roman"/>
                <w:sz w:val="17"/>
              </w:rPr>
            </w:pPr>
            <w:r>
              <w:rPr>
                <w:rFonts w:ascii="Times New Roman" w:hAnsi="Times New Roman"/>
                <w:sz w:val="17"/>
              </w:rPr>
              <w:t>$</w:t>
            </w:r>
          </w:p>
        </w:tc>
        <w:tc>
          <w:tcPr>
            <w:tcW w:w="95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1,654</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80" w:right="0" w:hanging="180"/>
              <w:jc w:val="left"/>
              <w:rPr/>
            </w:pPr>
            <w:r>
              <w:rPr>
                <w:rFonts w:ascii="Times New Roman" w:hAnsi="Times New Roman"/>
                <w:sz w:val="17"/>
              </w:rPr>
              <w:t>Sales comparison</w:t>
            </w:r>
            <w:r>
              <w:rPr/>
              <w:t xml:space="preserve"> </w:t>
            </w:r>
            <w:r>
              <w:rPr>
                <w:rFonts w:ascii="Times New Roman" w:hAnsi="Times New Roman"/>
                <w:sz w:val="17"/>
              </w:rPr>
              <w:t>approach</w:t>
            </w:r>
          </w:p>
        </w:tc>
        <w:tc>
          <w:tcPr>
            <w:tcW w:w="3529"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(48.0)% to 60.0</w:t>
            </w:r>
          </w:p>
        </w:tc>
        <w:tc>
          <w:tcPr>
            <w:tcW w:w="155" w:type="dxa"/>
            <w:tcBorders/>
            <w:shd w:fill="CCEEFF" w:val="clear"/>
            <w:vAlign w:val="bottom"/>
          </w:tcPr>
          <w:p>
            <w:pPr>
              <w:pStyle w:val="TableContents"/>
              <w:spacing w:before="0" w:after="283"/>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(5.1</w:t>
            </w:r>
          </w:p>
        </w:tc>
        <w:tc>
          <w:tcPr>
            <w:tcW w:w="2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368" w:type="dxa"/>
            <w:tcBorders/>
            <w:shd w:fill="FFFFFF" w:val="clear"/>
            <w:vAlign w:val="bottom"/>
          </w:tcPr>
          <w:p>
            <w:pPr>
              <w:pStyle w:val="TableContents"/>
              <w:spacing w:before="0" w:after="0"/>
              <w:ind w:left="144" w:right="0" w:hanging="144"/>
              <w:jc w:val="left"/>
              <w:rPr/>
            </w:pPr>
            <w:r>
              <w:rPr/>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0"/>
              <w:rPr/>
            </w:pPr>
            <w:r>
              <w:rPr/>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Mortgage and</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44" w:right="0" w:hanging="144"/>
              <w:jc w:val="left"/>
              <w:rPr/>
            </w:pPr>
            <w:r>
              <w:rPr/>
            </w:r>
          </w:p>
        </w:tc>
        <w:tc>
          <w:tcPr>
            <w:tcW w:w="3529" w:type="dxa"/>
            <w:tcBorders/>
            <w:shd w:fill="CCEEFF" w:val="clear"/>
            <w:vAlign w:val="bottom"/>
          </w:tcPr>
          <w:p>
            <w:pPr>
              <w:pStyle w:val="TableContents"/>
              <w:spacing w:before="0" w:after="0"/>
              <w:ind w:left="144" w:right="0" w:hanging="144"/>
              <w:jc w:val="left"/>
              <w:rPr/>
            </w:pPr>
            <w:r>
              <w:rPr/>
            </w:r>
          </w:p>
        </w:tc>
        <w:tc>
          <w:tcPr>
            <w:tcW w:w="108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684" w:right="0" w:hanging="144"/>
              <w:jc w:val="left"/>
              <w:rPr>
                <w:rFonts w:ascii="Times New Roman" w:hAnsi="Times New Roman"/>
                <w:sz w:val="17"/>
              </w:rPr>
            </w:pPr>
            <w:r>
              <w:rPr>
                <w:rFonts w:ascii="Times New Roman" w:hAnsi="Times New Roman"/>
                <w:sz w:val="17"/>
              </w:rPr>
              <w:t>Installment(2)</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2,060</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Sales comparison approach</w:t>
            </w:r>
          </w:p>
        </w:tc>
        <w:tc>
          <w:tcPr>
            <w:tcW w:w="3529"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(41.2) to 50.4</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216"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368" w:type="dxa"/>
            <w:tcBorders/>
            <w:shd w:fill="CCEEFF" w:val="clear"/>
            <w:vAlign w:val="bottom"/>
          </w:tcPr>
          <w:p>
            <w:pPr>
              <w:pStyle w:val="TableContents"/>
              <w:spacing w:before="0" w:after="0"/>
              <w:ind w:left="144" w:right="0" w:hanging="144"/>
              <w:jc w:val="left"/>
              <w:rPr/>
            </w:pPr>
            <w:r>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rPr/>
            </w:pPr>
            <w:r>
              <w:rPr/>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44" w:right="0" w:hanging="144"/>
              <w:jc w:val="left"/>
              <w:rPr/>
            </w:pPr>
            <w:r>
              <w:rPr/>
            </w:r>
          </w:p>
        </w:tc>
        <w:tc>
          <w:tcPr>
            <w:tcW w:w="3529" w:type="dxa"/>
            <w:tcBorders/>
            <w:shd w:fill="CCEEFF" w:val="clear"/>
            <w:vAlign w:val="bottom"/>
          </w:tcPr>
          <w:p>
            <w:pPr>
              <w:pStyle w:val="TableContents"/>
              <w:spacing w:before="0" w:after="0"/>
              <w:ind w:left="144" w:right="0" w:hanging="144"/>
              <w:jc w:val="left"/>
              <w:rPr/>
            </w:pPr>
            <w:r>
              <w:rPr/>
            </w:r>
          </w:p>
        </w:tc>
        <w:tc>
          <w:tcPr>
            <w:tcW w:w="108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real estate</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rFonts w:ascii="Times New Roman" w:hAnsi="Times New Roman"/>
                <w:sz w:val="17"/>
              </w:rPr>
            </w:pPr>
            <w:r>
              <w:rPr>
                <w:rFonts w:ascii="Times New Roman" w:hAnsi="Times New Roman"/>
                <w:sz w:val="17"/>
              </w:rPr>
              <w:t>188</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Sales comparison approach</w:t>
            </w:r>
          </w:p>
        </w:tc>
        <w:tc>
          <w:tcPr>
            <w:tcW w:w="3529"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(30.9) to 77.9</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144" w:right="0" w:hanging="144"/>
              <w:jc w:val="left"/>
              <w:rPr/>
            </w:pPr>
            <w:r>
              <w:rPr/>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jc w:val="left"/>
              <w:rPr/>
            </w:pPr>
            <w:r>
              <w:rPr/>
              <w:t> </w:t>
            </w:r>
          </w:p>
        </w:tc>
        <w:tc>
          <w:tcPr>
            <w:tcW w:w="1847" w:type="dxa"/>
            <w:tcBorders/>
            <w:shd w:fill="FFFFFF" w:val="clear"/>
            <w:vAlign w:val="bottom"/>
          </w:tcPr>
          <w:p>
            <w:pPr>
              <w:pStyle w:val="TableContents"/>
              <w:spacing w:before="0" w:after="283"/>
              <w:ind w:left="180" w:right="0" w:hanging="180"/>
              <w:rPr/>
            </w:pPr>
            <w:r>
              <w:rPr/>
              <w:t> </w:t>
            </w:r>
          </w:p>
        </w:tc>
        <w:tc>
          <w:tcPr>
            <w:tcW w:w="3529" w:type="dxa"/>
            <w:tcBorders/>
            <w:shd w:fill="FFFFFF" w:val="clear"/>
            <w:vAlign w:val="bottom"/>
          </w:tcPr>
          <w:p>
            <w:pPr>
              <w:pStyle w:val="TableContents"/>
              <w:spacing w:before="0" w:after="283"/>
              <w:rPr/>
            </w:pPr>
            <w:r>
              <w:rPr/>
              <w:t> </w:t>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December 31, 2018</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0"/>
              <w:rPr/>
            </w:pPr>
            <w:r>
              <w:rPr/>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44" w:right="0" w:hanging="144"/>
              <w:jc w:val="left"/>
              <w:rPr/>
            </w:pPr>
            <w:r>
              <w:rPr/>
            </w:r>
          </w:p>
        </w:tc>
        <w:tc>
          <w:tcPr>
            <w:tcW w:w="3529" w:type="dxa"/>
            <w:tcBorders/>
            <w:shd w:fill="CCEEFF" w:val="clear"/>
            <w:vAlign w:val="bottom"/>
          </w:tcPr>
          <w:p>
            <w:pPr>
              <w:pStyle w:val="TableContents"/>
              <w:spacing w:before="0" w:after="0"/>
              <w:ind w:left="144" w:right="0" w:hanging="144"/>
              <w:jc w:val="left"/>
              <w:rPr/>
            </w:pPr>
            <w:r>
              <w:rPr/>
            </w:r>
          </w:p>
        </w:tc>
        <w:tc>
          <w:tcPr>
            <w:tcW w:w="108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Impaired loans</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Commercial(1)</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rFonts w:ascii="Times New Roman" w:hAnsi="Times New Roman"/>
                <w:sz w:val="17"/>
              </w:rPr>
            </w:pPr>
            <w:r>
              <w:rPr>
                <w:rFonts w:ascii="Times New Roman" w:hAnsi="Times New Roman"/>
                <w:sz w:val="17"/>
              </w:rPr>
              <w:t>$</w:t>
            </w:r>
          </w:p>
        </w:tc>
        <w:tc>
          <w:tcPr>
            <w:tcW w:w="95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2,566</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Sales comparison approach</w:t>
            </w:r>
          </w:p>
        </w:tc>
        <w:tc>
          <w:tcPr>
            <w:tcW w:w="3529"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(32.5)% to 60.0</w:t>
            </w:r>
          </w:p>
        </w:tc>
        <w:tc>
          <w:tcPr>
            <w:tcW w:w="155" w:type="dxa"/>
            <w:tcBorders/>
            <w:shd w:fill="CCEEFF" w:val="clear"/>
            <w:vAlign w:val="bottom"/>
          </w:tcPr>
          <w:p>
            <w:pPr>
              <w:pStyle w:val="TableContents"/>
              <w:spacing w:before="0" w:after="283"/>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2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368"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Mortgage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rFonts w:ascii="Times New Roman" w:hAnsi="Times New Roman"/>
                <w:sz w:val="17"/>
              </w:rPr>
            </w:pPr>
            <w:r>
              <w:rPr>
                <w:rFonts w:ascii="Times New Roman" w:hAnsi="Times New Roman"/>
                <w:sz w:val="17"/>
              </w:rPr>
              <w:t>905</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Sales comparison approach</w:t>
            </w:r>
          </w:p>
        </w:tc>
        <w:tc>
          <w:tcPr>
            <w:tcW w:w="3529"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(40.1) to 25.6</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0.7</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144" w:right="0" w:hanging="144"/>
              <w:jc w:val="left"/>
              <w:rPr/>
            </w:pPr>
            <w:r>
              <w:rPr/>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rPr/>
            </w:pPr>
            <w:r>
              <w:rPr/>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44" w:right="0" w:hanging="144"/>
              <w:jc w:val="left"/>
              <w:rPr/>
            </w:pPr>
            <w:r>
              <w:rPr/>
            </w:r>
          </w:p>
        </w:tc>
        <w:tc>
          <w:tcPr>
            <w:tcW w:w="3529" w:type="dxa"/>
            <w:tcBorders/>
            <w:shd w:fill="FFFFFF" w:val="clear"/>
            <w:vAlign w:val="bottom"/>
          </w:tcPr>
          <w:p>
            <w:pPr>
              <w:pStyle w:val="TableContents"/>
              <w:spacing w:before="0" w:after="0"/>
              <w:ind w:left="144" w:right="0" w:hanging="144"/>
              <w:jc w:val="left"/>
              <w:rPr/>
            </w:pPr>
            <w:r>
              <w:rPr/>
            </w:r>
          </w:p>
        </w:tc>
        <w:tc>
          <w:tcPr>
            <w:tcW w:w="1085"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283"/>
              <w:jc w:val="right"/>
              <w:rPr/>
            </w:pPr>
            <w:r>
              <w:rPr/>
              <w:t> </w:t>
            </w:r>
          </w:p>
        </w:tc>
        <w:tc>
          <w:tcPr>
            <w:tcW w:w="216" w:type="dxa"/>
            <w:tcBorders/>
            <w:shd w:fill="FFFFFF" w:val="clear"/>
            <w:vAlign w:val="bottom"/>
          </w:tcPr>
          <w:p>
            <w:pPr>
              <w:pStyle w:val="TableContents"/>
              <w:spacing w:before="0" w:after="283"/>
              <w:jc w:val="left"/>
              <w:rPr/>
            </w:pPr>
            <w:r>
              <w:rPr/>
              <w:t> </w:t>
            </w:r>
          </w:p>
        </w:tc>
      </w:tr>
      <w:tr>
        <w:trPr/>
        <w:tc>
          <w:tcPr>
            <w:tcW w:w="1368"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Other real estate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847" w:type="dxa"/>
            <w:tcBorders/>
            <w:shd w:fill="CCEEFF" w:val="clear"/>
            <w:vAlign w:val="bottom"/>
          </w:tcPr>
          <w:p>
            <w:pPr>
              <w:pStyle w:val="TableContents"/>
              <w:spacing w:before="0" w:after="0"/>
              <w:ind w:left="144" w:right="0" w:hanging="144"/>
              <w:jc w:val="left"/>
              <w:rPr/>
            </w:pPr>
            <w:r>
              <w:rPr/>
            </w:r>
          </w:p>
        </w:tc>
        <w:tc>
          <w:tcPr>
            <w:tcW w:w="3529" w:type="dxa"/>
            <w:tcBorders/>
            <w:shd w:fill="CCEEFF" w:val="clear"/>
            <w:vAlign w:val="bottom"/>
          </w:tcPr>
          <w:p>
            <w:pPr>
              <w:pStyle w:val="TableContents"/>
              <w:spacing w:before="0" w:after="0"/>
              <w:ind w:left="144" w:right="0" w:hanging="144"/>
              <w:jc w:val="left"/>
              <w:rPr/>
            </w:pPr>
            <w:r>
              <w:rPr/>
            </w:r>
          </w:p>
        </w:tc>
        <w:tc>
          <w:tcPr>
            <w:tcW w:w="108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577"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r>
      <w:tr>
        <w:trPr/>
        <w:tc>
          <w:tcPr>
            <w:tcW w:w="1368" w:type="dxa"/>
            <w:tcBorders/>
            <w:shd w:fill="FFFFFF" w:val="clear"/>
            <w:vAlign w:val="bottom"/>
          </w:tcPr>
          <w:p>
            <w:pPr>
              <w:pStyle w:val="TableContents"/>
              <w:spacing w:before="0" w:after="0"/>
              <w:ind w:left="504" w:right="0" w:hanging="144"/>
              <w:jc w:val="left"/>
              <w:rPr>
                <w:rFonts w:ascii="Times New Roman" w:hAnsi="Times New Roman"/>
                <w:sz w:val="17"/>
              </w:rPr>
            </w:pPr>
            <w:r>
              <w:rPr>
                <w:rFonts w:ascii="Times New Roman" w:hAnsi="Times New Roman"/>
                <w:sz w:val="17"/>
              </w:rPr>
              <w:t>Mortgage</w:t>
            </w:r>
          </w:p>
        </w:tc>
        <w:tc>
          <w:tcPr>
            <w:tcW w:w="60"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rFonts w:ascii="Times New Roman" w:hAnsi="Times New Roman"/>
                <w:sz w:val="17"/>
              </w:rPr>
            </w:pPr>
            <w:r>
              <w:rPr>
                <w:rFonts w:ascii="Times New Roman" w:hAnsi="Times New Roman"/>
                <w:sz w:val="17"/>
              </w:rPr>
              <w:t>154</w:t>
            </w:r>
          </w:p>
        </w:tc>
        <w:tc>
          <w:tcPr>
            <w:tcW w:w="60" w:type="dxa"/>
            <w:tcBorders/>
            <w:shd w:fill="FFFFFF" w:val="clear"/>
            <w:vAlign w:val="bottom"/>
          </w:tcPr>
          <w:p>
            <w:pPr>
              <w:pStyle w:val="TableContents"/>
              <w:spacing w:before="0" w:after="283"/>
              <w:jc w:val="left"/>
              <w:rPr/>
            </w:pPr>
            <w:r>
              <w:rPr/>
              <w:t> </w:t>
            </w:r>
          </w:p>
        </w:tc>
        <w:tc>
          <w:tcPr>
            <w:tcW w:w="1847"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Sales comparison approach</w:t>
            </w:r>
          </w:p>
        </w:tc>
        <w:tc>
          <w:tcPr>
            <w:tcW w:w="3529"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Adjustment for differences between comparable sales</w:t>
            </w:r>
          </w:p>
        </w:tc>
        <w:tc>
          <w:tcPr>
            <w:tcW w:w="108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0.0 to 34.1</w:t>
            </w:r>
          </w:p>
        </w:tc>
        <w:tc>
          <w:tcPr>
            <w:tcW w:w="155"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jc w:val="left"/>
              <w:rPr/>
            </w:pPr>
            <w:r>
              <w:rPr/>
              <w:t> </w:t>
            </w:r>
          </w:p>
        </w:tc>
        <w:tc>
          <w:tcPr>
            <w:tcW w:w="5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11.2</w:t>
            </w:r>
          </w:p>
        </w:tc>
        <w:tc>
          <w:tcPr>
            <w:tcW w:w="216"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467" w:name="z05878227d89240cb9e301979cd3ff9fc"/>
      <w:bookmarkStart w:id="468" w:name="z05878227d89240cb9e301979cd3ff9fc"/>
      <w:bookmarkEnd w:id="468"/>
    </w:p>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10009"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In addition to the valuation techniques and unobservable inputs discussed above, at March 31, 2019 and December 31, 2018, we had an impaired collateral dependent commercial relationship that totaled $0.4 million and $0.7 million, respectively that was secured by collateral other than real estate. Collateral securing this relationship primarily included accounts receivable, inventory and cash at March 31, 2019 and December 31, 2018. Valuation techniques at March 31, 2019 and December 31, 2018, included discounting financial statement values for each particular asset type. Discount rates used ranged from 5% to 97% of stated values at March 31, 2019 and 20% to 80% of stated values at December 31, 2018.</w:t>
            </w:r>
          </w:p>
        </w:tc>
      </w:tr>
    </w:tbl>
    <w:p>
      <w:pPr>
        <w:pStyle w:val="Normal"/>
        <w:spacing w:before="0" w:after="0"/>
        <w:rPr>
          <w:sz w:val="4"/>
          <w:szCs w:val="4"/>
        </w:rPr>
      </w:pPr>
      <w:r>
        <w:rPr>
          <w:sz w:val="4"/>
          <w:szCs w:val="4"/>
        </w:rPr>
      </w:r>
      <w:bookmarkStart w:id="469" w:name="z4e040c34098b44adbb683ee67c5f3ce3"/>
      <w:bookmarkStart w:id="470" w:name="z4e040c34098b44adbb683ee67c5f3ce3"/>
      <w:bookmarkEnd w:id="470"/>
    </w:p>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9996"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In addition to the valuation techniques and unobservable inputs discussed above, at March 31, 2019 certain impaired collateral dependent installment loans totaling approximately $0.2 million are secured by collateral other than real estate.  For the majority of these loans, we apply internal discount rates to industry valuation guides.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 reflects the difference between the aggregate fair value and the aggregate remaining contractual principal balance outstanding for loans held for sale for which the fair value option has been elected for the periods presented.</w:t>
      </w:r>
    </w:p>
    <w:p>
      <w:pPr>
        <w:pStyle w:val="TextBody"/>
        <w:spacing w:before="0" w:after="0"/>
        <w:rPr/>
      </w:pPr>
      <w:r>
        <w:rPr/>
      </w:r>
    </w:p>
    <w:p>
      <w:pPr>
        <w:pStyle w:val="Normal"/>
        <w:spacing w:before="0" w:after="0"/>
        <w:rPr>
          <w:sz w:val="4"/>
          <w:szCs w:val="4"/>
        </w:rPr>
      </w:pPr>
      <w:r>
        <w:rPr>
          <w:sz w:val="4"/>
          <w:szCs w:val="4"/>
        </w:rPr>
      </w:r>
      <w:bookmarkStart w:id="471" w:name="z22772983cb2b468a887799aac8914b2e"/>
      <w:bookmarkStart w:id="472" w:name="z22772983cb2b468a887799aac8914b2e"/>
      <w:bookmarkEnd w:id="472"/>
    </w:p>
    <w:tbl>
      <w:tblPr>
        <w:tblW w:w="4100" w:type="dxa"/>
        <w:jc w:val="left"/>
        <w:tblInd w:w="0" w:type="dxa"/>
        <w:tblCellMar>
          <w:top w:w="0" w:type="dxa"/>
          <w:left w:w="0" w:type="dxa"/>
          <w:bottom w:w="0" w:type="dxa"/>
          <w:right w:w="0" w:type="dxa"/>
        </w:tblCellMar>
      </w:tblPr>
      <w:tblGrid>
        <w:gridCol w:w="1415"/>
        <w:gridCol w:w="60"/>
        <w:gridCol w:w="130"/>
        <w:gridCol w:w="610"/>
        <w:gridCol w:w="60"/>
        <w:gridCol w:w="60"/>
        <w:gridCol w:w="155"/>
        <w:gridCol w:w="600"/>
        <w:gridCol w:w="60"/>
        <w:gridCol w:w="60"/>
        <w:gridCol w:w="143"/>
        <w:gridCol w:w="672"/>
        <w:gridCol w:w="75"/>
      </w:tblGrid>
      <w:tr>
        <w:trPr/>
        <w:tc>
          <w:tcPr>
            <w:tcW w:w="14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Aggregate</w:t>
            </w:r>
          </w:p>
          <w:p>
            <w:pPr>
              <w:pStyle w:val="TableContents"/>
              <w:spacing w:before="0" w:after="0"/>
              <w:jc w:val="center"/>
              <w:rPr>
                <w:rFonts w:ascii="Times New Roman" w:hAnsi="Times New Roman"/>
                <w:sz w:val="17"/>
              </w:rPr>
            </w:pPr>
            <w:r>
              <w:rPr>
                <w:rFonts w:ascii="Times New Roman" w:hAnsi="Times New Roman"/>
                <w:sz w:val="17"/>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Difference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Contractual</w:t>
            </w:r>
          </w:p>
          <w:p>
            <w:pPr>
              <w:pStyle w:val="TableContents"/>
              <w:spacing w:before="0" w:after="0"/>
              <w:jc w:val="center"/>
              <w:rPr>
                <w:rFonts w:ascii="Times New Roman" w:hAnsi="Times New Roman"/>
                <w:sz w:val="17"/>
              </w:rPr>
            </w:pPr>
            <w:r>
              <w:rPr>
                <w:rFonts w:ascii="Times New Roman" w:hAnsi="Times New Roman"/>
                <w:sz w:val="17"/>
              </w:rPr>
              <w:t>Principal</w:t>
            </w:r>
          </w:p>
        </w:tc>
        <w:tc>
          <w:tcPr>
            <w:tcW w:w="75" w:type="dxa"/>
            <w:tcBorders/>
            <w:shd w:fill="auto" w:val="clear"/>
            <w:vAlign w:val="bottom"/>
          </w:tcPr>
          <w:p>
            <w:pPr>
              <w:pStyle w:val="TableContents"/>
              <w:spacing w:before="0" w:after="283"/>
              <w:jc w:val="left"/>
              <w:rPr/>
            </w:pPr>
            <w:r>
              <w:rPr/>
              <w:t> </w:t>
            </w:r>
          </w:p>
        </w:tc>
      </w:tr>
      <w:tr>
        <w:trPr/>
        <w:tc>
          <w:tcPr>
            <w:tcW w:w="14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0"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1415" w:type="dxa"/>
            <w:tcBorders/>
            <w:shd w:fill="auto"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Loans held for sale</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1415" w:type="dxa"/>
            <w:tcBorders/>
            <w:shd w:fill="CCEE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March 31, 2019</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43,098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41,745</w:t>
            </w:r>
          </w:p>
        </w:tc>
        <w:tc>
          <w:tcPr>
            <w:tcW w:w="75" w:type="dxa"/>
            <w:tcBorders/>
            <w:shd w:fill="CCEEFF" w:val="clear"/>
            <w:vAlign w:val="bottom"/>
          </w:tcPr>
          <w:p>
            <w:pPr>
              <w:pStyle w:val="TableContents"/>
              <w:spacing w:before="0" w:after="283"/>
              <w:jc w:val="left"/>
              <w:rPr/>
            </w:pPr>
            <w:r>
              <w:rPr/>
              <w:t> </w:t>
            </w:r>
          </w:p>
        </w:tc>
      </w:tr>
      <w:tr>
        <w:trPr/>
        <w:tc>
          <w:tcPr>
            <w:tcW w:w="1415" w:type="dxa"/>
            <w:tcBorders/>
            <w:shd w:fill="FFFFFF" w:val="clear"/>
            <w:vAlign w:val="bottom"/>
          </w:tcPr>
          <w:p>
            <w:pPr>
              <w:pStyle w:val="TableContents"/>
              <w:spacing w:before="0" w:after="0"/>
              <w:ind w:left="324" w:right="0" w:hanging="144"/>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44,753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6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43,496</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3" w:name="DSPFPageBreakArea44"/>
      <w:bookmarkStart w:id="474" w:name="DSPFPageBreakArea44"/>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75" w:name="DSPFPageNumber44"/>
      <w:bookmarkStart w:id="476" w:name="DSPFPageNumberArea43"/>
      <w:bookmarkEnd w:id="475"/>
      <w:bookmarkEnd w:id="476"/>
      <w:r>
        <w:rPr>
          <w:rFonts w:ascii="Times New Roman" w:hAnsi="Times New Roman"/>
          <w:b w:val="false"/>
          <w:i w:val="false"/>
          <w:caps w:val="false"/>
          <w:smallCaps w:val="false"/>
          <w:sz w:val="13"/>
        </w:rPr>
        <w:t>45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7" w:name="DSPFPageBreak44"/>
      <w:bookmarkStart w:id="478" w:name="DSPFPageBreak44"/>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79" w:name="DSPFPageHeader43"/>
        <w:bookmarkEnd w:id="47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12. </w:t>
      </w:r>
      <w:r>
        <w:rPr>
          <w:rFonts w:ascii="Times New Roman" w:hAnsi="Times New Roman"/>
          <w:sz w:val="17"/>
          <w:u w:val="single"/>
        </w:rPr>
        <w:t>Fair Values of Financial Instruments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0" w:name="DSPFPageBreakArea45"/>
      <w:bookmarkStart w:id="481" w:name="DSPFPageBreakArea45"/>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82" w:name="DSPFPageNumber45"/>
      <w:bookmarkStart w:id="483" w:name="DSPFPageNumberArea44"/>
      <w:bookmarkEnd w:id="482"/>
      <w:bookmarkEnd w:id="483"/>
      <w:r>
        <w:rPr>
          <w:rFonts w:ascii="Times New Roman" w:hAnsi="Times New Roman"/>
          <w:b w:val="false"/>
          <w:i w:val="false"/>
          <w:caps w:val="false"/>
          <w:smallCaps w:val="false"/>
          <w:sz w:val="13"/>
        </w:rPr>
        <w:t>46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4" w:name="DSPFPageBreak45"/>
      <w:bookmarkStart w:id="485" w:name="DSPFPageBreak45"/>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86" w:name="DSPFPageHeader44"/>
        <w:bookmarkEnd w:id="48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The estimated recorded book balances and fair values follow:</w:t>
      </w:r>
    </w:p>
    <w:p>
      <w:pPr>
        <w:pStyle w:val="TextBody"/>
        <w:spacing w:before="0" w:after="0"/>
        <w:rPr/>
      </w:pPr>
      <w:r>
        <w:rPr/>
      </w:r>
    </w:p>
    <w:p>
      <w:pPr>
        <w:pStyle w:val="Normal"/>
        <w:spacing w:before="0" w:after="0"/>
        <w:rPr>
          <w:sz w:val="4"/>
          <w:szCs w:val="4"/>
        </w:rPr>
      </w:pPr>
      <w:r>
        <w:rPr>
          <w:sz w:val="4"/>
          <w:szCs w:val="4"/>
        </w:rPr>
      </w:r>
      <w:bookmarkStart w:id="487" w:name="zc5a12e3c152541f4a291ef86504b6672"/>
      <w:bookmarkStart w:id="488" w:name="zc5a12e3c152541f4a291ef86504b6672"/>
      <w:bookmarkEnd w:id="488"/>
    </w:p>
    <w:tbl>
      <w:tblPr>
        <w:tblW w:w="8930" w:type="dxa"/>
        <w:jc w:val="left"/>
        <w:tblInd w:w="0" w:type="dxa"/>
        <w:tblCellMar>
          <w:top w:w="0" w:type="dxa"/>
          <w:left w:w="0" w:type="dxa"/>
          <w:bottom w:w="0" w:type="dxa"/>
          <w:right w:w="0" w:type="dxa"/>
        </w:tblCellMar>
      </w:tblPr>
      <w:tblGrid>
        <w:gridCol w:w="4115"/>
        <w:gridCol w:w="60"/>
        <w:gridCol w:w="110"/>
        <w:gridCol w:w="740"/>
        <w:gridCol w:w="60"/>
        <w:gridCol w:w="60"/>
        <w:gridCol w:w="110"/>
        <w:gridCol w:w="740"/>
        <w:gridCol w:w="60"/>
        <w:gridCol w:w="60"/>
        <w:gridCol w:w="110"/>
        <w:gridCol w:w="740"/>
        <w:gridCol w:w="60"/>
        <w:gridCol w:w="60"/>
        <w:gridCol w:w="123"/>
        <w:gridCol w:w="677"/>
        <w:gridCol w:w="60"/>
        <w:gridCol w:w="60"/>
        <w:gridCol w:w="110"/>
        <w:gridCol w:w="740"/>
        <w:gridCol w:w="75"/>
      </w:tblGrid>
      <w:tr>
        <w:trPr/>
        <w:tc>
          <w:tcPr>
            <w:tcW w:w="4115" w:type="dxa"/>
            <w:tcBorders/>
            <w:shd w:fill="auto" w:val="clear"/>
            <w:vAlign w:val="bottom"/>
          </w:tcPr>
          <w:p>
            <w:pPr>
              <w:pStyle w:val="TableContents"/>
              <w:spacing w:before="0" w:after="283"/>
              <w:ind w:left="180" w:right="0" w:hanging="180"/>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7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 Value Using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ind w:left="180" w:right="0" w:hanging="180"/>
              <w:jc w:val="left"/>
              <w:rPr/>
            </w:pPr>
            <w:r>
              <w:rPr/>
              <w:t> </w:t>
            </w:r>
          </w:p>
        </w:tc>
      </w:tr>
      <w:tr>
        <w:trPr/>
        <w:tc>
          <w:tcPr>
            <w:tcW w:w="41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Recorded</w:t>
            </w:r>
          </w:p>
          <w:p>
            <w:pPr>
              <w:pStyle w:val="TableContents"/>
              <w:spacing w:before="0" w:after="0"/>
              <w:jc w:val="center"/>
              <w:rPr>
                <w:rFonts w:ascii="Times New Roman" w:hAnsi="Times New Roman"/>
                <w:sz w:val="17"/>
              </w:rPr>
            </w:pPr>
            <w:r>
              <w:rPr>
                <w:rFonts w:ascii="Times New Roman" w:hAnsi="Times New Roman"/>
                <w:sz w:val="17"/>
              </w:rPr>
              <w:t>Book</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Fair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Quoted</w:t>
            </w:r>
          </w:p>
          <w:p>
            <w:pPr>
              <w:pStyle w:val="TableContents"/>
              <w:spacing w:before="0" w:after="0"/>
              <w:jc w:val="center"/>
              <w:rPr>
                <w:rFonts w:ascii="Times New Roman" w:hAnsi="Times New Roman"/>
                <w:sz w:val="17"/>
              </w:rPr>
            </w:pPr>
            <w:r>
              <w:rPr>
                <w:rFonts w:ascii="Times New Roman" w:hAnsi="Times New Roman"/>
                <w:sz w:val="17"/>
              </w:rPr>
              <w:t>Prices</w:t>
            </w:r>
          </w:p>
          <w:p>
            <w:pPr>
              <w:pStyle w:val="TableContents"/>
              <w:spacing w:before="0" w:after="0"/>
              <w:jc w:val="center"/>
              <w:rPr>
                <w:rFonts w:ascii="Times New Roman" w:hAnsi="Times New Roman"/>
                <w:sz w:val="17"/>
              </w:rPr>
            </w:pPr>
            <w:r>
              <w:rPr>
                <w:rFonts w:ascii="Times New Roman" w:hAnsi="Times New Roman"/>
                <w:sz w:val="17"/>
              </w:rPr>
              <w:t>in Active</w:t>
            </w:r>
          </w:p>
          <w:p>
            <w:pPr>
              <w:pStyle w:val="TableContents"/>
              <w:spacing w:before="0" w:after="0"/>
              <w:jc w:val="center"/>
              <w:rPr>
                <w:rFonts w:ascii="Times New Roman" w:hAnsi="Times New Roman"/>
                <w:sz w:val="17"/>
              </w:rPr>
            </w:pPr>
            <w:r>
              <w:rPr>
                <w:rFonts w:ascii="Times New Roman" w:hAnsi="Times New Roman"/>
                <w:sz w:val="17"/>
              </w:rPr>
              <w:t>Markets</w:t>
            </w:r>
          </w:p>
          <w:p>
            <w:pPr>
              <w:pStyle w:val="TableContents"/>
              <w:spacing w:before="0" w:after="0"/>
              <w:jc w:val="center"/>
              <w:rPr>
                <w:rFonts w:ascii="Times New Roman" w:hAnsi="Times New Roman"/>
                <w:sz w:val="17"/>
              </w:rPr>
            </w:pPr>
            <w:r>
              <w:rPr>
                <w:rFonts w:ascii="Times New Roman" w:hAnsi="Times New Roman"/>
                <w:sz w:val="17"/>
              </w:rPr>
              <w:t>for</w:t>
            </w:r>
          </w:p>
          <w:p>
            <w:pPr>
              <w:pStyle w:val="TableContents"/>
              <w:spacing w:before="0" w:after="0"/>
              <w:jc w:val="center"/>
              <w:rPr>
                <w:rFonts w:ascii="Times New Roman" w:hAnsi="Times New Roman"/>
                <w:sz w:val="17"/>
              </w:rPr>
            </w:pPr>
            <w:r>
              <w:rPr>
                <w:rFonts w:ascii="Times New Roman" w:hAnsi="Times New Roman"/>
                <w:sz w:val="17"/>
              </w:rPr>
              <w:t>Identical</w:t>
            </w:r>
          </w:p>
          <w:p>
            <w:pPr>
              <w:pStyle w:val="TableContents"/>
              <w:spacing w:before="0" w:after="0"/>
              <w:jc w:val="center"/>
              <w:rPr>
                <w:rFonts w:ascii="Times New Roman" w:hAnsi="Times New Roman"/>
                <w:sz w:val="17"/>
              </w:rPr>
            </w:pPr>
            <w:r>
              <w:rPr>
                <w:rFonts w:ascii="Times New Roman" w:hAnsi="Times New Roman"/>
                <w:sz w:val="17"/>
              </w:rPr>
              <w:t>Assets</w:t>
            </w:r>
          </w:p>
          <w:p>
            <w:pPr>
              <w:pStyle w:val="TableContents"/>
              <w:spacing w:before="0" w:after="0"/>
              <w:jc w:val="center"/>
              <w:rPr>
                <w:rFonts w:ascii="Times New Roman" w:hAnsi="Times New Roman"/>
                <w:sz w:val="17"/>
              </w:rPr>
            </w:pPr>
            <w:r>
              <w:rPr>
                <w:rFonts w:ascii="Times New Roman" w:hAnsi="Times New Roman"/>
                <w:sz w:val="17"/>
              </w:rPr>
              <w:t>(Level 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Significant</w:t>
            </w:r>
          </w:p>
          <w:p>
            <w:pPr>
              <w:pStyle w:val="TableContents"/>
              <w:spacing w:before="0" w:after="0"/>
              <w:jc w:val="center"/>
              <w:rPr>
                <w:rFonts w:ascii="Times New Roman" w:hAnsi="Times New Roman"/>
                <w:sz w:val="17"/>
              </w:rPr>
            </w:pPr>
            <w:r>
              <w:rPr>
                <w:rFonts w:ascii="Times New Roman" w:hAnsi="Times New Roman"/>
                <w:sz w:val="17"/>
              </w:rPr>
              <w:t>Un-</w:t>
            </w:r>
          </w:p>
          <w:p>
            <w:pPr>
              <w:pStyle w:val="TableContents"/>
              <w:spacing w:before="0" w:after="0"/>
              <w:jc w:val="center"/>
              <w:rPr>
                <w:rFonts w:ascii="Times New Roman" w:hAnsi="Times New Roman"/>
                <w:sz w:val="17"/>
              </w:rPr>
            </w:pPr>
            <w:r>
              <w:rPr>
                <w:rFonts w:ascii="Times New Roman" w:hAnsi="Times New Roman"/>
                <w:sz w:val="17"/>
              </w:rPr>
              <w:t>observable</w:t>
            </w:r>
          </w:p>
          <w:p>
            <w:pPr>
              <w:pStyle w:val="TableContents"/>
              <w:spacing w:before="0" w:after="0"/>
              <w:jc w:val="center"/>
              <w:rPr>
                <w:rFonts w:ascii="Times New Roman" w:hAnsi="Times New Roman"/>
                <w:sz w:val="17"/>
              </w:rPr>
            </w:pPr>
            <w:r>
              <w:rPr>
                <w:rFonts w:ascii="Times New Roman" w:hAnsi="Times New Roman"/>
                <w:sz w:val="17"/>
              </w:rPr>
              <w:t>Inputs</w:t>
            </w:r>
          </w:p>
          <w:p>
            <w:pPr>
              <w:pStyle w:val="TableContents"/>
              <w:spacing w:before="0" w:after="0"/>
              <w:jc w:val="center"/>
              <w:rPr>
                <w:rFonts w:ascii="Times New Roman" w:hAnsi="Times New Roman"/>
                <w:sz w:val="17"/>
              </w:rPr>
            </w:pPr>
            <w:r>
              <w:rPr>
                <w:rFonts w:ascii="Times New Roman" w:hAnsi="Times New Roman"/>
                <w:sz w:val="17"/>
              </w:rPr>
              <w:t>(Level 3)</w:t>
            </w:r>
          </w:p>
        </w:tc>
        <w:tc>
          <w:tcPr>
            <w:tcW w:w="75" w:type="dxa"/>
            <w:tcBorders/>
            <w:shd w:fill="auto" w:val="clear"/>
            <w:vAlign w:val="bottom"/>
          </w:tcPr>
          <w:p>
            <w:pPr>
              <w:pStyle w:val="TableContents"/>
              <w:spacing w:before="0" w:after="283"/>
              <w:ind w:left="180" w:right="0" w:hanging="180"/>
              <w:jc w:val="left"/>
              <w:rPr/>
            </w:pPr>
            <w:r>
              <w:rPr/>
              <w:t> </w:t>
            </w:r>
          </w:p>
        </w:tc>
      </w:tr>
      <w:tr>
        <w:trPr/>
        <w:tc>
          <w:tcPr>
            <w:tcW w:w="41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680"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Assets</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Cash and due from banks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33,247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Interest bearing deposits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38,376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38,376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38,376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Interest bearing deposits - time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Securities available for sale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pPr>
            <w:r>
              <w:rPr>
                <w:rFonts w:ascii="Times New Roman" w:hAnsi="Times New Roman"/>
                <w:sz w:val="17"/>
              </w:rPr>
              <w:t>Federal Home Loan Bank and Federal</w:t>
            </w:r>
            <w:r>
              <w:rPr/>
              <w:t xml:space="preserve"> </w:t>
            </w:r>
            <w:r>
              <w:rPr>
                <w:rFonts w:ascii="Times New Roman" w:hAnsi="Times New Roman"/>
                <w:sz w:val="17"/>
              </w:rPr>
              <w:t>Reserve Bank Stock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18,359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0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Net loans and loans held for sale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2,636,639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2,615,992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43,098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2,572,894</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Accrued interest receivable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10,984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10,984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8,824</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Derivative financial instruments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ind w:left="180" w:right="0" w:hanging="180"/>
              <w:jc w:val="left"/>
              <w:rPr/>
            </w:pPr>
            <w:r>
              <w:rPr/>
              <w:t> </w:t>
            </w:r>
          </w:p>
        </w:tc>
      </w:tr>
      <w:tr>
        <w:trPr/>
        <w:tc>
          <w:tcPr>
            <w:tcW w:w="41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Deposits with no stated maturity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2,276,138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2,276,138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2,276,138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Deposits with stated maturity (1)</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658,087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655,161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655,161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borrowings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Subordinated debentures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39,405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35,162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35,162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Accrued interest payable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Derivative financial instruments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2,219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ind w:left="180" w:right="0" w:hanging="180"/>
              <w:jc w:val="left"/>
              <w:rPr/>
            </w:pPr>
            <w:r>
              <w:rPr/>
              <w:t> </w:t>
            </w:r>
          </w:p>
        </w:tc>
      </w:tr>
      <w:tr>
        <w:trPr/>
        <w:tc>
          <w:tcPr>
            <w:tcW w:w="41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Cash and due from banks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23,350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23,350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23,350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Interest bearing deposits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46,894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46,894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46,894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Interest bearing deposits - time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Equity securities at fair value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Securities available for sale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pPr>
            <w:r>
              <w:rPr>
                <w:rFonts w:ascii="Times New Roman" w:hAnsi="Times New Roman"/>
                <w:sz w:val="17"/>
              </w:rPr>
              <w:t>Federal Home Loan Bank and Federal</w:t>
            </w:r>
            <w:r>
              <w:rPr/>
              <w:t xml:space="preserve"> </w:t>
            </w:r>
            <w:r>
              <w:rPr>
                <w:rFonts w:ascii="Times New Roman" w:hAnsi="Times New Roman"/>
                <w:sz w:val="17"/>
              </w:rPr>
              <w:t>Reserve Bank Stock</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18,359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0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850" w:type="dxa"/>
            <w:gridSpan w:val="2"/>
            <w:tcBorders/>
            <w:shd w:fill="CCEEFF" w:val="clear"/>
            <w:vAlign w:val="center"/>
          </w:tcPr>
          <w:p>
            <w:pPr>
              <w:pStyle w:val="TableContents"/>
              <w:spacing w:before="0" w:after="0"/>
              <w:jc w:val="right"/>
              <w:rPr>
                <w:rFonts w:ascii="Times New Roman" w:hAnsi="Times New Roman"/>
                <w:sz w:val="17"/>
              </w:rPr>
            </w:pPr>
            <w:r>
              <w:rPr>
                <w:rFonts w:ascii="Times New Roman" w:hAnsi="Times New Roman"/>
                <w:sz w:val="17"/>
              </w:rPr>
              <w:t>NA</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Net loans and loans held for sale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2,643,856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2,606,256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41,471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44,753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2,520,032</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Accrued interest receivable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8,353</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Derivative financial instruments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ind w:left="180" w:right="0" w:hanging="180"/>
              <w:jc w:val="left"/>
              <w:rPr/>
            </w:pPr>
            <w:r>
              <w:rPr/>
              <w:t> </w:t>
            </w:r>
          </w:p>
        </w:tc>
      </w:tr>
      <w:tr>
        <w:trPr/>
        <w:tc>
          <w:tcPr>
            <w:tcW w:w="41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Deposits with no stated maturity (1)</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2,197,494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2,197,494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2,197,494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Deposits with stated maturity (1)</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715,934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711,312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711,312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borrowings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Subordinated debentures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39,388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35,021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35,021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Accrued interest payable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67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Derivative financial instruments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c>
          <w:tcPr>
            <w:tcW w:w="67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2,326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489" w:name="z8f80e3cdd9cc4515b9179ab3a12d0e81"/>
      <w:bookmarkStart w:id="490" w:name="z8f80e3cdd9cc4515b9179ab3a12d0e81"/>
      <w:bookmarkEnd w:id="490"/>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9999"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Deposits with no stated maturity include reciprocal deposits with a recorded book balance of $209.912 million and $123.080 million at March 31, 2019 and December 31, 2018, respectively. Deposits with a stated maturity include reciprocal deposits with a recorded book balance of $57.266 million and $58.992 million at March 31, 2019 and December 31, 2018, respectively.</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91" w:name="DSPFPageBreakArea46"/>
      <w:bookmarkStart w:id="492" w:name="DSPFPageBreakArea46"/>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493" w:name="DSPFPageNumber46"/>
      <w:bookmarkStart w:id="494" w:name="DSPFPageNumberArea45"/>
      <w:bookmarkEnd w:id="493"/>
      <w:bookmarkEnd w:id="494"/>
      <w:r>
        <w:rPr>
          <w:rFonts w:ascii="Times New Roman" w:hAnsi="Times New Roman"/>
          <w:b w:val="false"/>
          <w:i w:val="false"/>
          <w:caps w:val="false"/>
          <w:smallCaps w:val="false"/>
          <w:sz w:val="13"/>
        </w:rPr>
        <w:t>47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5" w:name="DSPFPageBreak46"/>
      <w:bookmarkStart w:id="496" w:name="DSPFPageBreak46"/>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497" w:name="DSPFPageHeader45"/>
        <w:bookmarkEnd w:id="49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fair values for commitments to extend credit and standby letters of credit are estimated to approximate their aggregate book balance, which is nominal and therefore are not disclosed.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Fair value estimates for deposit accounts do not include the value of the core deposit intangible asset resulting from the low-cost funding provided by the deposit liabilities compared to the cost of borrowing funds in the market.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13. </w:t>
      </w:r>
      <w:r>
        <w:rPr>
          <w:rFonts w:ascii="Times New Roman" w:hAnsi="Times New Roman"/>
          <w:sz w:val="17"/>
          <w:u w:val="single"/>
        </w:rPr>
        <w:t>Contingent Liabilities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98" w:name="DSPFPageBreakArea47"/>
      <w:bookmarkStart w:id="499" w:name="DSPFPageBreakArea47"/>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00" w:name="DSPFPageNumber47"/>
      <w:bookmarkStart w:id="501" w:name="DSPFPageNumberArea46"/>
      <w:bookmarkEnd w:id="500"/>
      <w:bookmarkEnd w:id="501"/>
      <w:r>
        <w:rPr>
          <w:rFonts w:ascii="Times New Roman" w:hAnsi="Times New Roman"/>
          <w:b w:val="false"/>
          <w:i w:val="false"/>
          <w:caps w:val="false"/>
          <w:smallCaps w:val="false"/>
          <w:sz w:val="13"/>
        </w:rPr>
        <w:t>48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2" w:name="DSPFPageBreak47"/>
      <w:bookmarkStart w:id="503" w:name="DSPFPageBreak47"/>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04" w:name="DSPFPageHeader46"/>
        <w:bookmarkEnd w:id="50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$0.11 million and $0.01 million for the three month periods ended March 31, 2019 and 2018, respectively. The reserve for loss reimbursements on sold mortgage loans totaled $0.80 million and $0.78 million at March 31, 2019 and December 31, 2018,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pStyle w:val="TextBody"/>
        <w:spacing w:before="0" w:after="0"/>
        <w:jc w:val="both"/>
        <w:rPr/>
      </w:pPr>
      <w:r>
        <w:rPr/>
      </w:r>
    </w:p>
    <w:p>
      <w:pPr>
        <w:pStyle w:val="TextBody"/>
        <w:spacing w:before="0" w:after="0"/>
        <w:jc w:val="both"/>
        <w:rPr>
          <w:rFonts w:ascii="Times New Roman" w:hAnsi="Times New Roman"/>
          <w:sz w:val="17"/>
        </w:rPr>
      </w:pPr>
      <w:r>
        <w:rPr>
          <w:rFonts w:ascii="Times New Roman" w:hAnsi="Times New Roman"/>
          <w:sz w:val="17"/>
        </w:rPr>
        <w:t xml:space="preserve">14. </w:t>
      </w:r>
      <w:r>
        <w:rPr>
          <w:rFonts w:ascii="Times New Roman" w:hAnsi="Times New Roman"/>
          <w:sz w:val="17"/>
          <w:u w:val="single"/>
        </w:rPr>
        <w:t>Accumulated Other Comprehensive Loss (“AOCL”)</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summary of changes in AOCL follows:</w:t>
      </w:r>
    </w:p>
    <w:p>
      <w:pPr>
        <w:pStyle w:val="TextBody"/>
        <w:spacing w:before="0" w:after="0"/>
        <w:rPr/>
      </w:pPr>
      <w:r>
        <w:rPr/>
      </w:r>
    </w:p>
    <w:p>
      <w:pPr>
        <w:pStyle w:val="Normal"/>
        <w:spacing w:before="0" w:after="0"/>
        <w:rPr>
          <w:sz w:val="4"/>
          <w:szCs w:val="4"/>
        </w:rPr>
      </w:pPr>
      <w:r>
        <w:rPr>
          <w:sz w:val="4"/>
          <w:szCs w:val="4"/>
        </w:rPr>
      </w:r>
      <w:bookmarkStart w:id="505" w:name="za401e8af526549b2ba2e66914ce4c550"/>
      <w:bookmarkStart w:id="506" w:name="za401e8af526549b2ba2e66914ce4c550"/>
      <w:bookmarkEnd w:id="506"/>
    </w:p>
    <w:tbl>
      <w:tblPr>
        <w:tblW w:w="7775" w:type="dxa"/>
        <w:jc w:val="left"/>
        <w:tblInd w:w="0" w:type="dxa"/>
        <w:tblCellMar>
          <w:top w:w="0" w:type="dxa"/>
          <w:left w:w="0" w:type="dxa"/>
          <w:bottom w:w="0" w:type="dxa"/>
          <w:right w:w="0" w:type="dxa"/>
        </w:tblCellMar>
      </w:tblPr>
      <w:tblGrid>
        <w:gridCol w:w="4115"/>
        <w:gridCol w:w="60"/>
        <w:gridCol w:w="142"/>
        <w:gridCol w:w="628"/>
        <w:gridCol w:w="80"/>
        <w:gridCol w:w="60"/>
        <w:gridCol w:w="150"/>
        <w:gridCol w:w="665"/>
        <w:gridCol w:w="80"/>
        <w:gridCol w:w="60"/>
        <w:gridCol w:w="194"/>
        <w:gridCol w:w="621"/>
        <w:gridCol w:w="80"/>
        <w:gridCol w:w="60"/>
        <w:gridCol w:w="110"/>
        <w:gridCol w:w="575"/>
        <w:gridCol w:w="95"/>
      </w:tblGrid>
      <w:tr>
        <w:trPr/>
        <w:tc>
          <w:tcPr>
            <w:tcW w:w="4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p>
            <w:pPr>
              <w:pStyle w:val="TableContents"/>
              <w:spacing w:before="0" w:after="0"/>
              <w:jc w:val="center"/>
              <w:rPr>
                <w:rFonts w:ascii="Times New Roman" w:hAnsi="Times New Roman"/>
                <w:sz w:val="17"/>
              </w:rPr>
            </w:pPr>
            <w:r>
              <w:rPr>
                <w:rFonts w:ascii="Times New Roman" w:hAnsi="Times New Roman"/>
                <w:sz w:val="17"/>
              </w:rPr>
              <w:t>Losses on</w:t>
            </w:r>
          </w:p>
          <w:p>
            <w:pPr>
              <w:pStyle w:val="TableContents"/>
              <w:spacing w:before="0" w:after="0"/>
              <w:jc w:val="center"/>
              <w:rPr>
                <w:rFonts w:ascii="Times New Roman" w:hAnsi="Times New Roman"/>
                <w:sz w:val="17"/>
              </w:rPr>
            </w:pPr>
            <w:r>
              <w:rPr>
                <w:rFonts w:ascii="Times New Roman" w:hAnsi="Times New Roman"/>
                <w:sz w:val="17"/>
              </w:rPr>
              <w:t>Securities</w:t>
            </w:r>
          </w:p>
          <w:p>
            <w:pPr>
              <w:pStyle w:val="TableContents"/>
              <w:spacing w:before="0" w:after="0"/>
              <w:jc w:val="center"/>
              <w:rPr>
                <w:rFonts w:ascii="Times New Roman" w:hAnsi="Times New Roman"/>
                <w:sz w:val="17"/>
              </w:rPr>
            </w:pPr>
            <w:r>
              <w:rPr>
                <w:rFonts w:ascii="Times New Roman" w:hAnsi="Times New Roman"/>
                <w:sz w:val="17"/>
              </w:rPr>
              <w:t>Available</w:t>
            </w:r>
          </w:p>
          <w:p>
            <w:pPr>
              <w:pStyle w:val="TableContents"/>
              <w:spacing w:before="0" w:after="0"/>
              <w:jc w:val="center"/>
              <w:rPr>
                <w:rFonts w:ascii="Times New Roman" w:hAnsi="Times New Roman"/>
                <w:sz w:val="17"/>
              </w:rPr>
            </w:pPr>
            <w:r>
              <w:rPr>
                <w:rFonts w:ascii="Times New Roman" w:hAnsi="Times New Roman"/>
                <w:sz w:val="17"/>
              </w:rPr>
              <w:t>for Sale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Dispropor-</w:t>
            </w:r>
          </w:p>
          <w:p>
            <w:pPr>
              <w:pStyle w:val="TableContents"/>
              <w:spacing w:before="0" w:after="0"/>
              <w:jc w:val="center"/>
              <w:rPr>
                <w:rFonts w:ascii="Times New Roman" w:hAnsi="Times New Roman"/>
                <w:sz w:val="17"/>
              </w:rPr>
            </w:pPr>
            <w:r>
              <w:rPr>
                <w:rFonts w:ascii="Times New Roman" w:hAnsi="Times New Roman"/>
                <w:sz w:val="17"/>
              </w:rPr>
              <w:t>tionate</w:t>
            </w:r>
          </w:p>
          <w:p>
            <w:pPr>
              <w:pStyle w:val="TableContents"/>
              <w:spacing w:before="0" w:after="0"/>
              <w:jc w:val="center"/>
              <w:rPr>
                <w:rFonts w:ascii="Times New Roman" w:hAnsi="Times New Roman"/>
                <w:sz w:val="17"/>
              </w:rPr>
            </w:pPr>
            <w:r>
              <w:rPr>
                <w:rFonts w:ascii="Times New Roman" w:hAnsi="Times New Roman"/>
                <w:sz w:val="17"/>
              </w:rPr>
              <w:t>Tax Effects</w:t>
            </w:r>
          </w:p>
          <w:p>
            <w:pPr>
              <w:pStyle w:val="TableContents"/>
              <w:spacing w:before="0" w:after="0"/>
              <w:jc w:val="center"/>
              <w:rPr>
                <w:rFonts w:ascii="Times New Roman" w:hAnsi="Times New Roman"/>
                <w:sz w:val="17"/>
              </w:rPr>
            </w:pPr>
            <w:r>
              <w:rPr>
                <w:rFonts w:ascii="Times New Roman" w:hAnsi="Times New Roman"/>
                <w:sz w:val="17"/>
              </w:rPr>
              <w:t>from</w:t>
            </w:r>
          </w:p>
          <w:p>
            <w:pPr>
              <w:pStyle w:val="TableContents"/>
              <w:spacing w:before="0" w:after="0"/>
              <w:jc w:val="center"/>
              <w:rPr>
                <w:rFonts w:ascii="Times New Roman" w:hAnsi="Times New Roman"/>
                <w:sz w:val="17"/>
              </w:rPr>
            </w:pPr>
            <w:r>
              <w:rPr>
                <w:rFonts w:ascii="Times New Roman" w:hAnsi="Times New Roman"/>
                <w:sz w:val="17"/>
              </w:rPr>
              <w:t>Securities</w:t>
            </w:r>
          </w:p>
          <w:p>
            <w:pPr>
              <w:pStyle w:val="TableContents"/>
              <w:spacing w:before="0" w:after="0"/>
              <w:jc w:val="center"/>
              <w:rPr>
                <w:rFonts w:ascii="Times New Roman" w:hAnsi="Times New Roman"/>
                <w:sz w:val="17"/>
              </w:rPr>
            </w:pPr>
            <w:r>
              <w:rPr>
                <w:rFonts w:ascii="Times New Roman" w:hAnsi="Times New Roman"/>
                <w:sz w:val="17"/>
              </w:rPr>
              <w:t>Available</w:t>
            </w:r>
          </w:p>
          <w:p>
            <w:pPr>
              <w:pStyle w:val="TableContents"/>
              <w:spacing w:before="0" w:after="0"/>
              <w:jc w:val="center"/>
              <w:rPr>
                <w:rFonts w:ascii="Times New Roman" w:hAnsi="Times New Roman"/>
                <w:sz w:val="17"/>
              </w:rPr>
            </w:pPr>
            <w:r>
              <w:rPr>
                <w:rFonts w:ascii="Times New Roman" w:hAnsi="Times New Roman"/>
                <w:sz w:val="17"/>
              </w:rPr>
              <w:t>for Sale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p>
            <w:pPr>
              <w:pStyle w:val="TableContents"/>
              <w:spacing w:before="0" w:after="0"/>
              <w:jc w:val="center"/>
              <w:rPr>
                <w:rFonts w:ascii="Times New Roman" w:hAnsi="Times New Roman"/>
                <w:sz w:val="17"/>
              </w:rPr>
            </w:pPr>
            <w:r>
              <w:rPr>
                <w:rFonts w:ascii="Times New Roman" w:hAnsi="Times New Roman"/>
                <w:sz w:val="17"/>
              </w:rPr>
              <w:t>Gains</w:t>
            </w:r>
          </w:p>
          <w:p>
            <w:pPr>
              <w:pStyle w:val="TableContents"/>
              <w:spacing w:before="0" w:after="0"/>
              <w:jc w:val="center"/>
              <w:rPr>
                <w:rFonts w:ascii="Times New Roman" w:hAnsi="Times New Roman"/>
                <w:sz w:val="17"/>
              </w:rPr>
            </w:pPr>
            <w:r>
              <w:rPr>
                <w:rFonts w:ascii="Times New Roman" w:hAnsi="Times New Roman"/>
                <w:sz w:val="17"/>
              </w:rPr>
              <w:t>(Losses) on</w:t>
            </w:r>
          </w:p>
          <w:p>
            <w:pPr>
              <w:pStyle w:val="TableContents"/>
              <w:spacing w:before="0" w:after="0"/>
              <w:jc w:val="center"/>
              <w:rPr>
                <w:rFonts w:ascii="Times New Roman" w:hAnsi="Times New Roman"/>
                <w:sz w:val="17"/>
              </w:rPr>
            </w:pPr>
            <w:r>
              <w:rPr>
                <w:rFonts w:ascii="Times New Roman" w:hAnsi="Times New Roman"/>
                <w:sz w:val="17"/>
              </w:rPr>
              <w:t>Cash Flow</w:t>
            </w:r>
          </w:p>
          <w:p>
            <w:pPr>
              <w:pStyle w:val="TableContents"/>
              <w:spacing w:before="0" w:after="0"/>
              <w:jc w:val="center"/>
              <w:rPr>
                <w:rFonts w:ascii="Times New Roman" w:hAnsi="Times New Roman"/>
                <w:sz w:val="17"/>
              </w:rPr>
            </w:pPr>
            <w:r>
              <w:rPr>
                <w:rFonts w:ascii="Times New Roman" w:hAnsi="Times New Roman"/>
                <w:sz w:val="17"/>
              </w:rPr>
              <w:t>Hedges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95" w:type="dxa"/>
            <w:tcBorders/>
            <w:shd w:fill="auto" w:val="clear"/>
            <w:vAlign w:val="bottom"/>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5"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For the three months ended March 31,</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115" w:type="dxa"/>
            <w:tcBorders/>
            <w:shd w:fill="auto"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Balances at beginning of period</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(4,185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(5,798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(125</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(10,108</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comprehensive income (loss) before reclassifications</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6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4,236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62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(719</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7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3,517</w:t>
            </w:r>
          </w:p>
        </w:tc>
        <w:tc>
          <w:tcPr>
            <w:tcW w:w="9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Amounts reclassified from AOCL</w:t>
            </w:r>
          </w:p>
        </w:tc>
        <w:tc>
          <w:tcPr>
            <w:tcW w:w="60" w:type="dxa"/>
            <w:tcBorders/>
            <w:shd w:fill="CCEEFF" w:val="clear"/>
            <w:vAlign w:val="bottom"/>
          </w:tcPr>
          <w:p>
            <w:pPr>
              <w:pStyle w:val="TableContents"/>
              <w:spacing w:before="0" w:after="283"/>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(226</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115" w:type="dxa"/>
            <w:tcBorders/>
            <w:shd w:fill="FFFF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Net current period other comprehensive income (loss)</w:t>
            </w:r>
          </w:p>
        </w:tc>
        <w:tc>
          <w:tcPr>
            <w:tcW w:w="60" w:type="dxa"/>
            <w:tcBorders/>
            <w:shd w:fill="FFFFFF" w:val="clear"/>
            <w:vAlign w:val="bottom"/>
          </w:tcPr>
          <w:p>
            <w:pPr>
              <w:pStyle w:val="TableContents"/>
              <w:spacing w:before="0" w:after="283"/>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4,128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(837</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7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3,291</w:t>
            </w:r>
          </w:p>
        </w:tc>
        <w:tc>
          <w:tcPr>
            <w:tcW w:w="9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Balances at end of period</w:t>
            </w:r>
          </w:p>
        </w:tc>
        <w:tc>
          <w:tcPr>
            <w:tcW w:w="60"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(5,798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(962</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(6,817</w:t>
            </w:r>
          </w:p>
        </w:tc>
        <w:tc>
          <w:tcPr>
            <w:tcW w:w="9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w:t>
            </w:r>
          </w:p>
        </w:tc>
      </w:tr>
      <w:tr>
        <w:trPr/>
        <w:tc>
          <w:tcPr>
            <w:tcW w:w="41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62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66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621"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75"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2018</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62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621"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7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Balances at beginning of period</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(470</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(5,798</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269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(5,999</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11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comprehensive income before reclassifications</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62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(3,054</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66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62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7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(2,513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Amounts reclassified from AOCL</w:t>
            </w:r>
          </w:p>
        </w:tc>
        <w:tc>
          <w:tcPr>
            <w:tcW w:w="60" w:type="dxa"/>
            <w:tcBorders/>
            <w:shd w:fill="FFFFFF" w:val="clear"/>
            <w:vAlign w:val="bottom"/>
          </w:tcPr>
          <w:p>
            <w:pPr>
              <w:pStyle w:val="TableContents"/>
              <w:spacing w:before="0" w:after="283"/>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7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w:t>
            </w:r>
          </w:p>
        </w:tc>
        <w:tc>
          <w:tcPr>
            <w:tcW w:w="95" w:type="dxa"/>
            <w:tcBorders/>
            <w:shd w:fill="FFFFFF" w:val="clear"/>
            <w:vAlign w:val="bottom"/>
          </w:tcPr>
          <w:p>
            <w:pPr>
              <w:pStyle w:val="TableContents"/>
              <w:spacing w:before="0" w:after="283"/>
              <w:jc w:val="left"/>
              <w:rPr/>
            </w:pPr>
            <w:r>
              <w:rPr/>
              <w:t> </w:t>
            </w:r>
          </w:p>
        </w:tc>
      </w:tr>
      <w:tr>
        <w:trPr/>
        <w:tc>
          <w:tcPr>
            <w:tcW w:w="4115" w:type="dxa"/>
            <w:tcBorders/>
            <w:shd w:fill="CCEE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Net current period other comprehensive income (loss)</w:t>
            </w:r>
          </w:p>
        </w:tc>
        <w:tc>
          <w:tcPr>
            <w:tcW w:w="60" w:type="dxa"/>
            <w:tcBorders/>
            <w:shd w:fill="CCEEFF" w:val="clear"/>
            <w:vAlign w:val="bottom"/>
          </w:tcPr>
          <w:p>
            <w:pPr>
              <w:pStyle w:val="TableContents"/>
              <w:spacing w:before="0" w:after="283"/>
              <w:rPr/>
            </w:pPr>
            <w:r>
              <w:rPr/>
              <w:t> </w:t>
            </w:r>
          </w:p>
        </w:tc>
        <w:tc>
          <w:tcPr>
            <w:tcW w:w="1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(3,039</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536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(2,503</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11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Balances at end of period</w:t>
            </w:r>
          </w:p>
        </w:tc>
        <w:tc>
          <w:tcPr>
            <w:tcW w:w="60"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(3,509</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6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(5,798</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9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(8,502</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07" w:name="DSPFPageBreakArea48"/>
      <w:bookmarkStart w:id="508" w:name="DSPFPageBreakArea48"/>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09" w:name="DSPFPageNumber48"/>
      <w:bookmarkStart w:id="510" w:name="DSPFPageNumberArea47"/>
      <w:bookmarkEnd w:id="509"/>
      <w:bookmarkEnd w:id="510"/>
      <w:r>
        <w:rPr>
          <w:rFonts w:ascii="Times New Roman" w:hAnsi="Times New Roman"/>
          <w:b w:val="false"/>
          <w:i w:val="false"/>
          <w:caps w:val="false"/>
          <w:smallCaps w:val="false"/>
          <w:sz w:val="13"/>
        </w:rPr>
        <w:t>49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11" w:name="DSPFPageBreak48"/>
      <w:bookmarkStart w:id="512" w:name="DSPFPageBreak48"/>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13" w:name="DSPFPageHeader47"/>
        <w:bookmarkEnd w:id="51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 summary of reclassifications out of each component of AOCL for the three months ended March 31 follows:</w:t>
      </w:r>
    </w:p>
    <w:p>
      <w:pPr>
        <w:pStyle w:val="TextBody"/>
        <w:spacing w:before="0" w:after="0"/>
        <w:rPr/>
      </w:pPr>
      <w:r>
        <w:rPr/>
      </w:r>
    </w:p>
    <w:p>
      <w:pPr>
        <w:pStyle w:val="Normal"/>
        <w:spacing w:before="0" w:after="0"/>
        <w:rPr>
          <w:sz w:val="4"/>
          <w:szCs w:val="4"/>
        </w:rPr>
      </w:pPr>
      <w:r>
        <w:rPr>
          <w:sz w:val="4"/>
          <w:szCs w:val="4"/>
        </w:rPr>
      </w:r>
      <w:bookmarkStart w:id="514" w:name="z5dc74213bdfa4cda8732f0a1d3a069ad"/>
      <w:bookmarkStart w:id="515" w:name="z5dc74213bdfa4cda8732f0a1d3a069ad"/>
      <w:bookmarkEnd w:id="515"/>
    </w:p>
    <w:tbl>
      <w:tblPr>
        <w:tblW w:w="7850" w:type="dxa"/>
        <w:jc w:val="left"/>
        <w:tblInd w:w="0" w:type="dxa"/>
        <w:tblCellMar>
          <w:top w:w="0" w:type="dxa"/>
          <w:left w:w="0" w:type="dxa"/>
          <w:bottom w:w="28" w:type="dxa"/>
          <w:right w:w="0" w:type="dxa"/>
        </w:tblCellMar>
      </w:tblPr>
      <w:tblGrid>
        <w:gridCol w:w="3350"/>
        <w:gridCol w:w="60"/>
        <w:gridCol w:w="244"/>
        <w:gridCol w:w="781"/>
        <w:gridCol w:w="80"/>
        <w:gridCol w:w="3335"/>
      </w:tblGrid>
      <w:tr>
        <w:trPr/>
        <w:tc>
          <w:tcPr>
            <w:tcW w:w="3350" w:type="dxa"/>
            <w:tcBorders>
              <w:bottom w:val="single" w:sz="12" w:space="0" w:color="000000"/>
            </w:tcBorders>
            <w:shd w:fill="auto" w:val="clear"/>
            <w:vAlign w:val="bottom"/>
          </w:tcPr>
          <w:p>
            <w:pPr>
              <w:pStyle w:val="TableContents"/>
              <w:spacing w:before="0" w:after="0"/>
              <w:ind w:left="144" w:right="0" w:hanging="144"/>
              <w:jc w:val="center"/>
              <w:rPr>
                <w:rFonts w:ascii="Times New Roman" w:hAnsi="Times New Roman"/>
                <w:sz w:val="17"/>
              </w:rPr>
            </w:pPr>
            <w:r>
              <w:rPr>
                <w:rFonts w:ascii="Times New Roman" w:hAnsi="Times New Roman"/>
                <w:sz w:val="17"/>
              </w:rPr>
              <w:t>AOCL Component</w:t>
            </w:r>
          </w:p>
        </w:tc>
        <w:tc>
          <w:tcPr>
            <w:tcW w:w="60" w:type="dxa"/>
            <w:tcBorders/>
            <w:shd w:fill="auto" w:val="clear"/>
            <w:tcMar>
              <w:bottom w:w="0" w:type="dxa"/>
            </w:tcMar>
            <w:vAlign w:val="bottom"/>
          </w:tcPr>
          <w:p>
            <w:pPr>
              <w:pStyle w:val="TableContents"/>
              <w:spacing w:before="0" w:after="283"/>
              <w:rPr/>
            </w:pPr>
            <w:r>
              <w:rPr/>
              <w:t> </w:t>
            </w:r>
          </w:p>
        </w:tc>
        <w:tc>
          <w:tcPr>
            <w:tcW w:w="1025" w:type="dxa"/>
            <w:gridSpan w:val="2"/>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Amount</w:t>
            </w:r>
          </w:p>
          <w:p>
            <w:pPr>
              <w:pStyle w:val="TableContents"/>
              <w:spacing w:before="0" w:after="0"/>
              <w:jc w:val="center"/>
              <w:rPr>
                <w:rFonts w:ascii="Times New Roman" w:hAnsi="Times New Roman"/>
                <w:sz w:val="17"/>
              </w:rPr>
            </w:pPr>
            <w:r>
              <w:rPr>
                <w:rFonts w:ascii="Times New Roman" w:hAnsi="Times New Roman"/>
                <w:sz w:val="17"/>
              </w:rPr>
              <w:t>Reclassified</w:t>
            </w:r>
          </w:p>
          <w:p>
            <w:pPr>
              <w:pStyle w:val="TableContents"/>
              <w:spacing w:before="0" w:after="0"/>
              <w:jc w:val="center"/>
              <w:rPr>
                <w:rFonts w:ascii="Times New Roman" w:hAnsi="Times New Roman"/>
                <w:sz w:val="17"/>
              </w:rPr>
            </w:pPr>
            <w:r>
              <w:rPr>
                <w:rFonts w:ascii="Times New Roman" w:hAnsi="Times New Roman"/>
                <w:sz w:val="17"/>
              </w:rPr>
              <w:t>From</w:t>
            </w:r>
          </w:p>
          <w:p>
            <w:pPr>
              <w:pStyle w:val="TableContents"/>
              <w:spacing w:before="0" w:after="0"/>
              <w:jc w:val="center"/>
              <w:rPr>
                <w:rFonts w:ascii="Times New Roman" w:hAnsi="Times New Roman"/>
                <w:sz w:val="17"/>
              </w:rPr>
            </w:pPr>
            <w:r>
              <w:rPr>
                <w:rFonts w:ascii="Times New Roman" w:hAnsi="Times New Roman"/>
                <w:sz w:val="17"/>
              </w:rPr>
              <w:t>AOCL</w:t>
            </w:r>
          </w:p>
        </w:tc>
        <w:tc>
          <w:tcPr>
            <w:tcW w:w="80" w:type="dxa"/>
            <w:tcBorders/>
            <w:shd w:fill="auto" w:val="clear"/>
            <w:tcMar>
              <w:bottom w:w="0" w:type="dxa"/>
            </w:tcMar>
            <w:vAlign w:val="bottom"/>
          </w:tcPr>
          <w:p>
            <w:pPr>
              <w:pStyle w:val="TableContents"/>
              <w:spacing w:before="0" w:after="283"/>
              <w:jc w:val="left"/>
              <w:rPr/>
            </w:pPr>
            <w:r>
              <w:rPr/>
              <w:t> </w:t>
            </w:r>
          </w:p>
        </w:tc>
        <w:tc>
          <w:tcPr>
            <w:tcW w:w="3335" w:type="dxa"/>
            <w:tcBorders>
              <w:bottom w:val="single" w:sz="12" w:space="0" w:color="00000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Affected Line Item in Condensed</w:t>
            </w:r>
          </w:p>
          <w:p>
            <w:pPr>
              <w:pStyle w:val="TableContents"/>
              <w:spacing w:before="0" w:after="0"/>
              <w:jc w:val="center"/>
              <w:rPr>
                <w:rFonts w:ascii="Times New Roman" w:hAnsi="Times New Roman"/>
                <w:sz w:val="17"/>
              </w:rPr>
            </w:pPr>
            <w:r>
              <w:rPr>
                <w:rFonts w:ascii="Times New Roman" w:hAnsi="Times New Roman"/>
                <w:sz w:val="17"/>
              </w:rPr>
              <w:t>Consolidated Statements of Operations</w:t>
            </w:r>
          </w:p>
        </w:tc>
      </w:tr>
      <w:tr>
        <w:trPr/>
        <w:tc>
          <w:tcPr>
            <w:tcW w:w="335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25" w:type="dxa"/>
            <w:gridSpan w:val="2"/>
            <w:tcBorders/>
            <w:shd w:fill="auto" w:val="clear"/>
            <w:tcMar>
              <w:bottom w:w="0" w:type="dxa"/>
            </w:tcM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80" w:type="dxa"/>
            <w:tcBorders/>
            <w:shd w:fill="auto" w:val="clear"/>
            <w:tcMar>
              <w:bottom w:w="0" w:type="dxa"/>
            </w:tcMar>
            <w:vAlign w:val="bottom"/>
          </w:tcPr>
          <w:p>
            <w:pPr>
              <w:pStyle w:val="TableContents"/>
              <w:spacing w:before="0" w:after="283"/>
              <w:jc w:val="left"/>
              <w:rPr/>
            </w:pPr>
            <w:r>
              <w:rPr/>
              <w:t> </w:t>
            </w:r>
          </w:p>
        </w:tc>
        <w:tc>
          <w:tcPr>
            <w:tcW w:w="3335" w:type="dxa"/>
            <w:tcBorders/>
            <w:shd w:fill="auto" w:val="clear"/>
            <w:tcMar>
              <w:bottom w:w="0" w:type="dxa"/>
            </w:tcMar>
            <w:vAlign w:val="bottom"/>
          </w:tcPr>
          <w:p>
            <w:pPr>
              <w:pStyle w:val="TableContents"/>
              <w:spacing w:before="0" w:after="283"/>
              <w:rPr/>
            </w:pPr>
            <w:r>
              <w:rPr/>
              <w:t> </w:t>
            </w:r>
          </w:p>
        </w:tc>
      </w:tr>
      <w:tr>
        <w:trPr/>
        <w:tc>
          <w:tcPr>
            <w:tcW w:w="3350" w:type="dxa"/>
            <w:tcBorders/>
            <w:shd w:fill="auto"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2019</w:t>
            </w:r>
          </w:p>
        </w:tc>
        <w:tc>
          <w:tcPr>
            <w:tcW w:w="60" w:type="dxa"/>
            <w:tcBorders/>
            <w:shd w:fill="auto" w:val="clear"/>
            <w:tcMar>
              <w:bottom w:w="0" w:type="dxa"/>
            </w:tcMar>
            <w:vAlign w:val="bottom"/>
          </w:tcPr>
          <w:p>
            <w:pPr>
              <w:pStyle w:val="TableContents"/>
              <w:spacing w:before="0" w:after="283"/>
              <w:rPr/>
            </w:pPr>
            <w:r>
              <w:rPr/>
              <w:t> </w:t>
            </w:r>
          </w:p>
        </w:tc>
        <w:tc>
          <w:tcPr>
            <w:tcW w:w="1025"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3335" w:type="dxa"/>
            <w:tcBorders/>
            <w:shd w:fill="auto" w:val="clear"/>
            <w:tcMar>
              <w:bottom w:w="0" w:type="dxa"/>
            </w:tcMar>
            <w:vAlign w:val="bottom"/>
          </w:tcPr>
          <w:p>
            <w:pPr>
              <w:pStyle w:val="TableContents"/>
              <w:spacing w:before="0" w:after="283"/>
              <w:rPr/>
            </w:pPr>
            <w:r>
              <w:rPr/>
              <w:t>  </w:t>
            </w:r>
          </w:p>
        </w:tc>
      </w:tr>
      <w:tr>
        <w:trPr/>
        <w:tc>
          <w:tcPr>
            <w:tcW w:w="3350" w:type="dxa"/>
            <w:tcBorders/>
            <w:shd w:fill="auto" w:val="clear"/>
            <w:tcMar>
              <w:bottom w:w="0" w:type="dxa"/>
            </w:tcMar>
            <w:vAlign w:val="bottom"/>
          </w:tcPr>
          <w:p>
            <w:pPr>
              <w:pStyle w:val="TableContents"/>
              <w:spacing w:before="0" w:after="0"/>
              <w:ind w:left="360" w:right="0" w:hanging="180"/>
              <w:jc w:val="left"/>
              <w:rPr/>
            </w:pPr>
            <w:r>
              <w:rPr>
                <w:rFonts w:ascii="Times New Roman" w:hAnsi="Times New Roman"/>
                <w:sz w:val="17"/>
              </w:rPr>
              <w:t>Unrealized losses on securities</w:t>
            </w:r>
            <w:r>
              <w:rPr/>
              <w:t xml:space="preserve"> </w:t>
            </w:r>
            <w:r>
              <w:rPr>
                <w:rFonts w:ascii="Times                        New Roman" w:hAnsi="Times                        New Roman"/>
                <w:sz w:val="17"/>
              </w:rPr>
              <w:t>available for sale</w:t>
            </w:r>
          </w:p>
        </w:tc>
        <w:tc>
          <w:tcPr>
            <w:tcW w:w="60" w:type="dxa"/>
            <w:tcBorders/>
            <w:shd w:fill="auto" w:val="clear"/>
            <w:tcMar>
              <w:bottom w:w="0" w:type="dxa"/>
            </w:tcMar>
            <w:vAlign w:val="bottom"/>
          </w:tcPr>
          <w:p>
            <w:pPr>
              <w:pStyle w:val="TableContents"/>
              <w:spacing w:before="0" w:after="283"/>
              <w:rPr/>
            </w:pPr>
            <w:r>
              <w:rPr/>
              <w:t> </w:t>
            </w:r>
          </w:p>
        </w:tc>
        <w:tc>
          <w:tcPr>
            <w:tcW w:w="1025"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3335" w:type="dxa"/>
            <w:tcBorders/>
            <w:shd w:fill="auto" w:val="clear"/>
            <w:tcMar>
              <w:bottom w:w="0" w:type="dxa"/>
            </w:tcMar>
            <w:vAlign w:val="bottom"/>
          </w:tcPr>
          <w:p>
            <w:pPr>
              <w:pStyle w:val="TableContents"/>
              <w:spacing w:before="0" w:after="283"/>
              <w:rPr/>
            </w:pPr>
            <w:r>
              <w:rPr/>
              <w:t>  </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137</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Net gains (losses) on securities</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pPr>
            <w:r>
              <w:rPr/>
              <w:t> </w:t>
            </w:r>
          </w:p>
        </w:tc>
        <w:tc>
          <w:tcPr>
            <w:tcW w:w="781"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Net impairment loss recognized in earnings</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137</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Total reclassifications before tax</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pPr>
            <w:r>
              <w:rPr/>
              <w:t> </w:t>
            </w:r>
          </w:p>
        </w:tc>
        <w:tc>
          <w:tcPr>
            <w:tcW w:w="781"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Income tax expense</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108</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Reclassifications, net of tax</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781"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283"/>
              <w:rPr/>
            </w:pPr>
            <w:r>
              <w:rPr/>
              <w:t>   </w:t>
            </w:r>
          </w:p>
        </w:tc>
      </w:tr>
      <w:tr>
        <w:trPr/>
        <w:tc>
          <w:tcPr>
            <w:tcW w:w="3350" w:type="dxa"/>
            <w:tcBorders/>
            <w:shd w:fill="CCEEFF" w:val="clear"/>
            <w:tcMar>
              <w:bottom w:w="0" w:type="dxa"/>
            </w:tcMar>
            <w:vAlign w:val="bottom"/>
          </w:tcPr>
          <w:p>
            <w:pPr>
              <w:pStyle w:val="TableContents"/>
              <w:spacing w:before="0" w:after="0"/>
              <w:ind w:left="360" w:right="0" w:hanging="180"/>
              <w:jc w:val="left"/>
              <w:rPr/>
            </w:pPr>
            <w:r>
              <w:rPr>
                <w:rFonts w:ascii="Times New Roman" w:hAnsi="Times New Roman"/>
                <w:sz w:val="17"/>
              </w:rPr>
              <w:t>Unrealized gains (losses) on</w:t>
            </w:r>
            <w:r>
              <w:rPr/>
              <w:t xml:space="preserve"> </w:t>
            </w:r>
            <w:r>
              <w:rPr>
                <w:rFonts w:ascii="Times New                        Roman" w:hAnsi="Times New                        Roman"/>
                <w:sz w:val="17"/>
              </w:rPr>
              <w:t>cash flow hedges</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283"/>
              <w:rPr/>
            </w:pPr>
            <w:r>
              <w:rPr/>
              <w:t>  </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(149</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Interest expense</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pPr>
            <w:r>
              <w:rPr/>
              <w:t> </w:t>
            </w:r>
          </w:p>
        </w:tc>
        <w:tc>
          <w:tcPr>
            <w:tcW w:w="781"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Income tax expense</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(118</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Reclassification, net of tax</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283"/>
              <w:rPr/>
            </w:pPr>
            <w:r>
              <w:rPr/>
              <w:t>   </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226</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Total reclassifications for the period, net of tax</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283"/>
              <w:rPr/>
            </w:pPr>
            <w:r>
              <w:rPr/>
              <w:t>   </w:t>
            </w:r>
          </w:p>
        </w:tc>
      </w:tr>
      <w:tr>
        <w:trPr/>
        <w:tc>
          <w:tcPr>
            <w:tcW w:w="3350" w:type="dxa"/>
            <w:tcBorders/>
            <w:shd w:fill="FFFFFF" w:val="clear"/>
            <w:tcMar>
              <w:bottom w:w="0" w:type="dxa"/>
            </w:tcM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2018</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781"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283"/>
              <w:rPr/>
            </w:pPr>
            <w:r>
              <w:rPr/>
              <w:t>  </w:t>
            </w:r>
          </w:p>
        </w:tc>
      </w:tr>
      <w:tr>
        <w:trPr/>
        <w:tc>
          <w:tcPr>
            <w:tcW w:w="3350" w:type="dxa"/>
            <w:tcBorders/>
            <w:shd w:fill="CCEEFF" w:val="clear"/>
            <w:tcMar>
              <w:bottom w:w="0" w:type="dxa"/>
            </w:tcMar>
            <w:vAlign w:val="bottom"/>
          </w:tcPr>
          <w:p>
            <w:pPr>
              <w:pStyle w:val="TableContents"/>
              <w:spacing w:before="0" w:after="0"/>
              <w:ind w:left="360" w:right="0" w:hanging="180"/>
              <w:jc w:val="left"/>
              <w:rPr/>
            </w:pPr>
            <w:r>
              <w:rPr>
                <w:rFonts w:ascii="Times New Roman" w:hAnsi="Times New Roman"/>
                <w:sz w:val="17"/>
              </w:rPr>
              <w:t>Unrealized losses on securities</w:t>
            </w:r>
            <w:r>
              <w:rPr/>
              <w:t xml:space="preserve"> </w:t>
            </w:r>
            <w:r>
              <w:rPr>
                <w:rFonts w:ascii="Times                        New Roman" w:hAnsi="Times                        New Roman"/>
                <w:sz w:val="17"/>
              </w:rPr>
              <w:t>available for sale</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283"/>
              <w:rPr/>
            </w:pPr>
            <w:r>
              <w:rPr/>
              <w:t>  </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Net gains (losses) on securities</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pPr>
            <w:r>
              <w:rPr/>
              <w:t> </w:t>
            </w:r>
          </w:p>
        </w:tc>
        <w:tc>
          <w:tcPr>
            <w:tcW w:w="781"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Net impairment loss recognized in earnings</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781"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(19</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Total reclassifications before tax</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pPr>
            <w:r>
              <w:rPr/>
              <w:t> </w:t>
            </w:r>
          </w:p>
        </w:tc>
        <w:tc>
          <w:tcPr>
            <w:tcW w:w="781"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Income tax expense</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Reclassifications, net of tax</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781" w:type="dxa"/>
            <w:tcBorders/>
            <w:shd w:fill="CCEEFF" w:val="clear"/>
            <w:tcMar>
              <w:bottom w:w="0" w:type="dxa"/>
            </w:tcMar>
            <w:vAlign w:val="bottom"/>
          </w:tcPr>
          <w:p>
            <w:pPr>
              <w:pStyle w:val="TableContents"/>
              <w:spacing w:before="0" w:after="283"/>
              <w:jc w:val="right"/>
              <w:rPr/>
            </w:pPr>
            <w:r>
              <w:rPr/>
              <w:t> </w:t>
            </w:r>
          </w:p>
        </w:tc>
        <w:tc>
          <w:tcPr>
            <w:tcW w:w="80" w:type="dxa"/>
            <w:tcBorders/>
            <w:shd w:fill="CCEEFF" w:val="clear"/>
            <w:tcMar>
              <w:bottom w:w="0" w:type="dxa"/>
            </w:tcMar>
            <w:vAlign w:val="bottom"/>
          </w:tcPr>
          <w:p>
            <w:pPr>
              <w:pStyle w:val="TableContents"/>
              <w:spacing w:before="0" w:after="283"/>
              <w:jc w:val="left"/>
              <w:rPr/>
            </w:pPr>
            <w:r>
              <w:rPr/>
              <w:t> </w:t>
            </w:r>
          </w:p>
        </w:tc>
        <w:tc>
          <w:tcPr>
            <w:tcW w:w="3335" w:type="dxa"/>
            <w:tcBorders/>
            <w:shd w:fill="CCEEFF" w:val="clear"/>
            <w:tcMar>
              <w:bottom w:w="0" w:type="dxa"/>
            </w:tcMar>
            <w:vAlign w:val="bottom"/>
          </w:tcPr>
          <w:p>
            <w:pPr>
              <w:pStyle w:val="TableContents"/>
              <w:spacing w:before="0" w:after="283"/>
              <w:rPr/>
            </w:pPr>
            <w:r>
              <w:rPr/>
              <w:t>   </w:t>
            </w:r>
          </w:p>
        </w:tc>
      </w:tr>
      <w:tr>
        <w:trPr/>
        <w:tc>
          <w:tcPr>
            <w:tcW w:w="3350" w:type="dxa"/>
            <w:tcBorders/>
            <w:shd w:fill="FFFFFF" w:val="clear"/>
            <w:tcMar>
              <w:bottom w:w="0" w:type="dxa"/>
            </w:tcMar>
            <w:vAlign w:val="bottom"/>
          </w:tcPr>
          <w:p>
            <w:pPr>
              <w:pStyle w:val="TableContents"/>
              <w:spacing w:before="0" w:after="0"/>
              <w:ind w:left="360" w:right="0" w:hanging="180"/>
              <w:jc w:val="left"/>
              <w:rPr/>
            </w:pPr>
            <w:r>
              <w:rPr>
                <w:rFonts w:ascii="Times New Roman" w:hAnsi="Times New Roman"/>
                <w:sz w:val="17"/>
              </w:rPr>
              <w:t>Unrealized gains (losses) on</w:t>
            </w:r>
            <w:r>
              <w:rPr/>
              <w:t xml:space="preserve"> </w:t>
            </w:r>
            <w:r>
              <w:rPr>
                <w:rFonts w:ascii="Times New                        Roman" w:hAnsi="Times New                        Roman"/>
                <w:sz w:val="17"/>
              </w:rPr>
              <w:t>cash flow hedges</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781"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283"/>
              <w:rPr/>
            </w:pPr>
            <w:r>
              <w:rPr/>
              <w:t>  </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(6</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Interest expense</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pPr>
            <w:r>
              <w:rPr/>
              <w:t> </w:t>
            </w:r>
          </w:p>
        </w:tc>
        <w:tc>
          <w:tcPr>
            <w:tcW w:w="781" w:type="dxa"/>
            <w:tcBorders>
              <w:bottom w:val="single" w:sz="12"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w:t>
            </w:r>
          </w:p>
        </w:tc>
        <w:tc>
          <w:tcPr>
            <w:tcW w:w="8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FFFFFF" w:val="clear"/>
            <w:tcMar>
              <w:bottom w:w="0" w:type="dxa"/>
            </w:tcMar>
            <w:vAlign w:val="bottom"/>
          </w:tcPr>
          <w:p>
            <w:pPr>
              <w:pStyle w:val="TableContents"/>
              <w:spacing w:before="0" w:after="0"/>
              <w:jc w:val="left"/>
              <w:rPr/>
            </w:pPr>
            <w:r>
              <w:rPr/>
              <w:t> </w:t>
            </w:r>
            <w:r>
              <w:rPr>
                <w:rFonts w:ascii="Times New Roman" w:hAnsi="Times New Roman"/>
                <w:sz w:val="17"/>
              </w:rPr>
              <w:t>Income tax expense</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Reclassification, net of tax</w:t>
            </w:r>
          </w:p>
        </w:tc>
      </w:tr>
      <w:tr>
        <w:trPr/>
        <w:tc>
          <w:tcPr>
            <w:tcW w:w="335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781" w:type="dxa"/>
            <w:tcBorders/>
            <w:shd w:fill="FFFFFF" w:val="clear"/>
            <w:tcMar>
              <w:bottom w:w="0" w:type="dxa"/>
            </w:tcMar>
            <w:vAlign w:val="bottom"/>
          </w:tcPr>
          <w:p>
            <w:pPr>
              <w:pStyle w:val="TableContents"/>
              <w:spacing w:before="0" w:after="283"/>
              <w:jc w:val="right"/>
              <w:rPr/>
            </w:pPr>
            <w:r>
              <w:rPr/>
              <w:t> </w:t>
            </w:r>
          </w:p>
        </w:tc>
        <w:tc>
          <w:tcPr>
            <w:tcW w:w="80" w:type="dxa"/>
            <w:tcBorders/>
            <w:shd w:fill="FFFFFF" w:val="clear"/>
            <w:tcMar>
              <w:bottom w:w="0" w:type="dxa"/>
            </w:tcMar>
            <w:vAlign w:val="bottom"/>
          </w:tcPr>
          <w:p>
            <w:pPr>
              <w:pStyle w:val="TableContents"/>
              <w:spacing w:before="0" w:after="283"/>
              <w:jc w:val="left"/>
              <w:rPr/>
            </w:pPr>
            <w:r>
              <w:rPr/>
              <w:t> </w:t>
            </w:r>
          </w:p>
        </w:tc>
        <w:tc>
          <w:tcPr>
            <w:tcW w:w="3335" w:type="dxa"/>
            <w:tcBorders/>
            <w:shd w:fill="FFFFFF" w:val="clear"/>
            <w:tcMar>
              <w:bottom w:w="0" w:type="dxa"/>
            </w:tcMar>
            <w:vAlign w:val="bottom"/>
          </w:tcPr>
          <w:p>
            <w:pPr>
              <w:pStyle w:val="TableContents"/>
              <w:spacing w:before="0" w:after="283"/>
              <w:rPr/>
            </w:pPr>
            <w:r>
              <w:rPr/>
              <w:t>   </w:t>
            </w:r>
          </w:p>
        </w:tc>
      </w:tr>
      <w:tr>
        <w:trPr/>
        <w:tc>
          <w:tcPr>
            <w:tcW w:w="335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44" w:type="dxa"/>
            <w:tcBorders>
              <w:bottom w:val="double" w:sz="8" w:space="0" w:color="000000"/>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81" w:type="dxa"/>
            <w:tcBorders>
              <w:bottom w:val="double" w:sz="8"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w:t>
            </w:r>
          </w:p>
        </w:tc>
        <w:tc>
          <w:tcPr>
            <w:tcW w:w="8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3335" w:type="dxa"/>
            <w:tcBorders/>
            <w:shd w:fill="CCEEFF" w:val="clear"/>
            <w:tcMar>
              <w:bottom w:w="0" w:type="dxa"/>
            </w:tcMar>
            <w:vAlign w:val="bottom"/>
          </w:tcPr>
          <w:p>
            <w:pPr>
              <w:pStyle w:val="TableContents"/>
              <w:spacing w:before="0" w:after="0"/>
              <w:jc w:val="left"/>
              <w:rPr/>
            </w:pPr>
            <w:r>
              <w:rPr/>
              <w:t> </w:t>
            </w:r>
            <w:r>
              <w:rPr>
                <w:rFonts w:ascii="Times New Roman" w:hAnsi="Times New Roman"/>
                <w:sz w:val="17"/>
              </w:rPr>
              <w:t>Total reclassifications for the period, net of tax</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6" w:name="DSPFPageBreakArea49"/>
      <w:bookmarkStart w:id="517" w:name="DSPFPageBreakArea49"/>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18" w:name="DSPFPageNumber49"/>
      <w:bookmarkStart w:id="519" w:name="DSPFPageNumberArea48"/>
      <w:bookmarkEnd w:id="518"/>
      <w:bookmarkEnd w:id="519"/>
      <w:r>
        <w:rPr>
          <w:rFonts w:ascii="Times New Roman" w:hAnsi="Times New Roman"/>
          <w:b w:val="false"/>
          <w:i w:val="false"/>
          <w:caps w:val="false"/>
          <w:smallCaps w:val="false"/>
          <w:sz w:val="13"/>
        </w:rPr>
        <w:t>50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0" w:name="DSPFPageBreak49"/>
      <w:bookmarkStart w:id="521" w:name="DSPFPageBreak49"/>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22" w:name="DSPFPageHeader48"/>
        <w:bookmarkEnd w:id="52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 xml:space="preserve">15. </w:t>
      </w:r>
      <w:r>
        <w:rPr>
          <w:rFonts w:ascii="Times New Roman" w:hAnsi="Times New Roman"/>
          <w:sz w:val="17"/>
          <w:u w:val="single"/>
        </w:rPr>
        <w:t>Revenue from Contracts with Customers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mortgage loan servicing, net and bank owned life insurance and were approximately 84.9% and 82.2% of total revenues at March 31, 2019 and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Material sources of revenue that are included in the scope of this topic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2019 and December 31,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Service charges on deposit accounts and other deposit related income</w:t>
      </w:r>
      <w:r>
        <w:rPr>
          <w:rFonts w:ascii="Times New Roman" w:hAnsi="Times New Roman"/>
          <w:b/>
          <w:sz w:val="17"/>
          <w:u w:val="single"/>
        </w:rPr>
        <w:t>:</w:t>
      </w:r>
      <w:r>
        <w:rPr>
          <w:rFonts w:ascii="Times New Roman" w:hAnsi="Times New Roman"/>
          <w:sz w:val="17"/>
        </w:rPr>
        <w:t>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Interchange income:</w:t>
      </w:r>
      <w:r>
        <w:rPr>
          <w:rFonts w:ascii="Times New Roman" w:hAnsi="Times New Roman"/>
          <w:sz w:val="17"/>
        </w:rPr>
        <w:t>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Investment and insurance commissions:</w:t>
      </w:r>
      <w:r>
        <w:rPr>
          <w:rFonts w:ascii="Times New Roman" w:hAnsi="Times New Roman"/>
          <w:sz w:val="17"/>
        </w:rPr>
        <w:t>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u w:val="single"/>
        </w:rPr>
        <w:t>Net (gains) losses on other real estate and repossessed assets:</w:t>
      </w:r>
      <w:r>
        <w:rPr>
          <w:rFonts w:ascii="Times New Roman" w:hAnsi="Times New Roman"/>
          <w:sz w:val="17"/>
        </w:rPr>
        <w:t>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2019 and 2018 that were financed by us.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3" w:name="DSPFPageBreakArea50"/>
      <w:bookmarkStart w:id="524" w:name="DSPFPageBreakArea50"/>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25" w:name="DSPFPageNumber50"/>
      <w:bookmarkStart w:id="526" w:name="DSPFPageNumberArea49"/>
      <w:bookmarkEnd w:id="525"/>
      <w:bookmarkEnd w:id="526"/>
      <w:r>
        <w:rPr>
          <w:rFonts w:ascii="Times New Roman" w:hAnsi="Times New Roman"/>
          <w:b w:val="false"/>
          <w:i w:val="false"/>
          <w:caps w:val="false"/>
          <w:smallCaps w:val="false"/>
          <w:sz w:val="13"/>
        </w:rPr>
        <w:t>51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7" w:name="DSPFPageBreak50"/>
      <w:bookmarkStart w:id="528" w:name="DSPFPageBreak50"/>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29" w:name="DSPFPageHeader49"/>
        <w:bookmarkEnd w:id="52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Disaggregation of our revenue sources by attribute follows:</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Three months ending March 31, 2019</w:t>
      </w:r>
    </w:p>
    <w:p>
      <w:pPr>
        <w:pStyle w:val="TextBody"/>
        <w:spacing w:before="0" w:after="0"/>
        <w:rPr/>
      </w:pPr>
      <w:r>
        <w:rPr/>
      </w:r>
    </w:p>
    <w:p>
      <w:pPr>
        <w:pStyle w:val="Normal"/>
        <w:spacing w:before="0" w:after="0"/>
        <w:rPr>
          <w:sz w:val="4"/>
          <w:szCs w:val="4"/>
        </w:rPr>
      </w:pPr>
      <w:r>
        <w:rPr>
          <w:sz w:val="4"/>
          <w:szCs w:val="4"/>
        </w:rPr>
      </w:r>
      <w:bookmarkStart w:id="530" w:name="zb1a626694909499aa1f11a65d25342a2"/>
      <w:bookmarkStart w:id="531" w:name="zb1a626694909499aa1f11a65d25342a2"/>
      <w:bookmarkEnd w:id="531"/>
    </w:p>
    <w:tbl>
      <w:tblPr>
        <w:tblW w:w="7460" w:type="dxa"/>
        <w:jc w:val="left"/>
        <w:tblInd w:w="0" w:type="dxa"/>
        <w:tblCellMar>
          <w:top w:w="0" w:type="dxa"/>
          <w:left w:w="0" w:type="dxa"/>
          <w:bottom w:w="0" w:type="dxa"/>
          <w:right w:w="0" w:type="dxa"/>
        </w:tblCellMar>
      </w:tblPr>
      <w:tblGrid>
        <w:gridCol w:w="2030"/>
        <w:gridCol w:w="86"/>
        <w:gridCol w:w="245"/>
        <w:gridCol w:w="954"/>
        <w:gridCol w:w="86"/>
        <w:gridCol w:w="86"/>
        <w:gridCol w:w="215"/>
        <w:gridCol w:w="572"/>
        <w:gridCol w:w="86"/>
        <w:gridCol w:w="86"/>
        <w:gridCol w:w="250"/>
        <w:gridCol w:w="979"/>
        <w:gridCol w:w="60"/>
        <w:gridCol w:w="60"/>
        <w:gridCol w:w="257"/>
        <w:gridCol w:w="678"/>
        <w:gridCol w:w="60"/>
        <w:gridCol w:w="60"/>
        <w:gridCol w:w="110"/>
        <w:gridCol w:w="425"/>
        <w:gridCol w:w="75"/>
      </w:tblGrid>
      <w:tr>
        <w:trPr/>
        <w:tc>
          <w:tcPr>
            <w:tcW w:w="2030" w:type="dxa"/>
            <w:tcBorders/>
            <w:shd w:fill="auto" w:val="clear"/>
            <w:vAlign w:val="bottom"/>
          </w:tcPr>
          <w:p>
            <w:pPr>
              <w:pStyle w:val="TableContents"/>
              <w:spacing w:before="0" w:after="283"/>
              <w:ind w:left="180" w:right="0" w:hanging="180"/>
              <w:rPr/>
            </w:pPr>
            <w:r>
              <w:rPr/>
              <w:t> </w:t>
            </w:r>
          </w:p>
        </w:tc>
        <w:tc>
          <w:tcPr>
            <w:tcW w:w="86" w:type="dxa"/>
            <w:tcBorders/>
            <w:shd w:fill="auto" w:val="clear"/>
            <w:vAlign w:val="bottom"/>
          </w:tcPr>
          <w:p>
            <w:pPr>
              <w:pStyle w:val="TableContents"/>
              <w:spacing w:before="0" w:after="283"/>
              <w:rPr/>
            </w:pPr>
            <w:r>
              <w:rPr/>
              <w:t> </w:t>
            </w:r>
          </w:p>
        </w:tc>
        <w:tc>
          <w:tcPr>
            <w:tcW w:w="11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Service</w:t>
            </w:r>
          </w:p>
          <w:p>
            <w:pPr>
              <w:pStyle w:val="TableContents"/>
              <w:spacing w:before="0" w:after="0"/>
              <w:jc w:val="center"/>
              <w:rPr>
                <w:rFonts w:ascii="Times New Roman" w:hAnsi="Times New Roman"/>
                <w:sz w:val="17"/>
              </w:rPr>
            </w:pPr>
            <w:r>
              <w:rPr>
                <w:rFonts w:ascii="Times New Roman" w:hAnsi="Times New Roman"/>
                <w:sz w:val="17"/>
              </w:rPr>
              <w:t>Charges</w:t>
            </w:r>
          </w:p>
          <w:p>
            <w:pPr>
              <w:pStyle w:val="TableContents"/>
              <w:spacing w:before="0" w:after="0"/>
              <w:jc w:val="center"/>
              <w:rPr>
                <w:rFonts w:ascii="Times New Roman" w:hAnsi="Times New Roman"/>
                <w:sz w:val="17"/>
              </w:rPr>
            </w:pPr>
            <w:r>
              <w:rPr>
                <w:rFonts w:ascii="Times New Roman" w:hAnsi="Times New Roman"/>
                <w:sz w:val="17"/>
              </w:rPr>
              <w:t>on Deposits</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78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Deposit</w:t>
            </w:r>
          </w:p>
          <w:p>
            <w:pPr>
              <w:pStyle w:val="TableContents"/>
              <w:spacing w:before="0" w:after="0"/>
              <w:jc w:val="center"/>
              <w:rPr>
                <w:rFonts w:ascii="Times New Roman" w:hAnsi="Times New Roman"/>
                <w:sz w:val="17"/>
              </w:rPr>
            </w:pPr>
            <w:r>
              <w:rPr>
                <w:rFonts w:ascii="Times New Roman" w:hAnsi="Times New Roman"/>
                <w:sz w:val="17"/>
              </w:rPr>
              <w:t>Related</w:t>
            </w:r>
          </w:p>
          <w:p>
            <w:pPr>
              <w:pStyle w:val="TableContents"/>
              <w:spacing w:before="0" w:after="0"/>
              <w:jc w:val="center"/>
              <w:rPr>
                <w:rFonts w:ascii="Times New Roman" w:hAnsi="Times New Roman"/>
                <w:sz w:val="17"/>
              </w:rPr>
            </w:pPr>
            <w:r>
              <w:rPr>
                <w:rFonts w:ascii="Times New Roman" w:hAnsi="Times New Roman"/>
                <w:sz w:val="17"/>
              </w:rPr>
              <w:t>Income</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Interchange</w:t>
            </w:r>
          </w:p>
          <w:p>
            <w:pPr>
              <w:pStyle w:val="TableContents"/>
              <w:spacing w:before="0" w:after="0"/>
              <w:jc w:val="center"/>
              <w:rPr>
                <w:rFonts w:ascii="Times New Roman" w:hAnsi="Times New Roman"/>
                <w:sz w:val="17"/>
              </w:rPr>
            </w:pPr>
            <w:r>
              <w:rPr>
                <w:rFonts w:ascii="Times New Roman" w:hAnsi="Times New Roman"/>
                <w:sz w:val="17"/>
              </w:rPr>
              <w:t>Income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Investment</w:t>
            </w:r>
          </w:p>
          <w:p>
            <w:pPr>
              <w:pStyle w:val="TableContents"/>
              <w:spacing w:before="0" w:after="0"/>
              <w:jc w:val="center"/>
              <w:rPr>
                <w:rFonts w:ascii="Times New Roman" w:hAnsi="Times New Roman"/>
                <w:sz w:val="17"/>
              </w:rPr>
            </w:pPr>
            <w:r>
              <w:rPr>
                <w:rFonts w:ascii="Times New Roman" w:hAnsi="Times New Roman"/>
                <w:sz w:val="17"/>
              </w:rPr>
              <w:t>and</w:t>
            </w:r>
          </w:p>
          <w:p>
            <w:pPr>
              <w:pStyle w:val="TableContents"/>
              <w:spacing w:before="0" w:after="0"/>
              <w:jc w:val="center"/>
              <w:rPr>
                <w:rFonts w:ascii="Times New Roman" w:hAnsi="Times New Roman"/>
                <w:sz w:val="17"/>
              </w:rPr>
            </w:pPr>
            <w:r>
              <w:rPr>
                <w:rFonts w:ascii="Times New Roman" w:hAnsi="Times New Roman"/>
                <w:sz w:val="17"/>
              </w:rPr>
              <w:t>Insurance</w:t>
            </w:r>
          </w:p>
          <w:p>
            <w:pPr>
              <w:pStyle w:val="TableContents"/>
              <w:spacing w:before="0" w:after="0"/>
              <w:jc w:val="center"/>
              <w:rPr>
                <w:rFonts w:ascii="Times New Roman" w:hAnsi="Times New Roman"/>
                <w:sz w:val="17"/>
              </w:rPr>
            </w:pPr>
            <w:r>
              <w:rPr>
                <w:rFonts w:ascii="Times New Roman" w:hAnsi="Times New Roman"/>
                <w:sz w:val="17"/>
              </w:rPr>
              <w:t>Commissions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ind w:left="180" w:right="0" w:hanging="180"/>
              <w:jc w:val="left"/>
              <w:rPr/>
            </w:pPr>
            <w:r>
              <w:rPr/>
              <w:t> </w:t>
            </w:r>
          </w:p>
        </w:tc>
      </w:tr>
      <w:tr>
        <w:trPr/>
        <w:tc>
          <w:tcPr>
            <w:tcW w:w="203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5269"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030"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Retail</w:t>
            </w:r>
          </w:p>
        </w:tc>
        <w:tc>
          <w:tcPr>
            <w:tcW w:w="86"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787"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Overdraft fees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1,730</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Account service charges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516</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516</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ATM fees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322</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322</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251</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251</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Business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Overdraft fees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385</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385</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Account service charges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ATM fees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Interchange income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2,355</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Asset management revenue</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254</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Transaction based revenue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w:t>
            </w:r>
          </w:p>
        </w:tc>
        <w:tc>
          <w:tcPr>
            <w:tcW w:w="75" w:type="dxa"/>
            <w:tcBorders/>
            <w:shd w:fill="FFFFFF" w:val="clear"/>
            <w:vAlign w:val="bottom"/>
          </w:tcPr>
          <w:p>
            <w:pPr>
              <w:pStyle w:val="TableContents"/>
              <w:spacing w:before="0" w:after="283"/>
              <w:ind w:left="180" w:right="0" w:hanging="180"/>
              <w:jc w:val="left"/>
              <w:rPr/>
            </w:pPr>
            <w:r>
              <w:rPr/>
              <w:t> </w:t>
            </w:r>
          </w:p>
        </w:tc>
      </w:tr>
      <w:tr>
        <w:trPr/>
        <w:tc>
          <w:tcPr>
            <w:tcW w:w="203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4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7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w:t>
            </w:r>
          </w:p>
        </w:tc>
        <w:tc>
          <w:tcPr>
            <w:tcW w:w="86" w:type="dxa"/>
            <w:tcBorders/>
            <w:shd w:fill="FFFFFF" w:val="clear"/>
            <w:vAlign w:val="bottom"/>
          </w:tcPr>
          <w:p>
            <w:pPr>
              <w:pStyle w:val="TableContents"/>
              <w:spacing w:before="0" w:after="283"/>
              <w:rPr/>
            </w:pPr>
            <w:r>
              <w:rPr/>
              <w:t> </w:t>
            </w:r>
          </w:p>
        </w:tc>
        <w:tc>
          <w:tcPr>
            <w:tcW w:w="24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5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2,640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710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7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2,355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297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6,002</w:t>
            </w:r>
          </w:p>
        </w:tc>
        <w:tc>
          <w:tcPr>
            <w:tcW w:w="75" w:type="dxa"/>
            <w:tcBorders/>
            <w:shd w:fill="FFFFFF" w:val="clear"/>
            <w:vAlign w:val="bottom"/>
          </w:tcPr>
          <w:p>
            <w:pPr>
              <w:pStyle w:val="TableContents"/>
              <w:spacing w:before="0" w:after="283"/>
              <w:ind w:left="180" w:right="0" w:hanging="180"/>
              <w:jc w:val="left"/>
              <w:rPr/>
            </w:pPr>
            <w:r>
              <w:rPr/>
              <w:t> </w:t>
            </w:r>
          </w:p>
        </w:tc>
      </w:tr>
      <w:tr>
        <w:trPr/>
        <w:tc>
          <w:tcPr>
            <w:tcW w:w="203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5675" w:type="dxa"/>
            <w:gridSpan w:val="12"/>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Reconciliation to Condensed Consolidated Statement of Operations: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Non-interest income - 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deposit related income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710</w:t>
            </w:r>
          </w:p>
        </w:tc>
        <w:tc>
          <w:tcPr>
            <w:tcW w:w="75" w:type="dxa"/>
            <w:tcBorders/>
            <w:shd w:fill="FFFFFF" w:val="clear"/>
            <w:vAlign w:val="bottom"/>
          </w:tcPr>
          <w:p>
            <w:pPr>
              <w:pStyle w:val="TableContents"/>
              <w:spacing w:before="0" w:after="283"/>
              <w:jc w:val="left"/>
              <w:rPr/>
            </w:pPr>
            <w:r>
              <w:rPr/>
              <w:t> </w:t>
            </w:r>
          </w:p>
        </w:tc>
      </w:tr>
      <w:tr>
        <w:trPr/>
        <w:tc>
          <w:tcPr>
            <w:tcW w:w="3315" w:type="dxa"/>
            <w:gridSpan w:val="4"/>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Investment and insurance commissions</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297</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Bank owned life insurance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242</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1,015</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Total</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2,264</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2" w:name="DSPFPageBreakArea51"/>
      <w:bookmarkStart w:id="533" w:name="DSPFPageBreakArea51"/>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34" w:name="DSPFPageNumber51"/>
      <w:bookmarkStart w:id="535" w:name="DSPFPageNumberArea50"/>
      <w:bookmarkEnd w:id="534"/>
      <w:bookmarkEnd w:id="535"/>
      <w:r>
        <w:rPr>
          <w:rFonts w:ascii="Times New Roman" w:hAnsi="Times New Roman"/>
          <w:b w:val="false"/>
          <w:i w:val="false"/>
          <w:caps w:val="false"/>
          <w:smallCaps w:val="false"/>
          <w:sz w:val="13"/>
        </w:rPr>
        <w:t>52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6" w:name="DSPFPageBreak51"/>
      <w:bookmarkStart w:id="537" w:name="DSPFPageBreak51"/>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38" w:name="DSPFPageHeader50"/>
        <w:bookmarkEnd w:id="53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jc w:val="center"/>
        <w:rPr>
          <w:rFonts w:ascii="Times New Roman" w:hAnsi="Times New Roman"/>
          <w:sz w:val="17"/>
        </w:rPr>
      </w:pPr>
      <w:r>
        <w:rPr>
          <w:rFonts w:ascii="Times New Roman" w:hAnsi="Times New Roman"/>
          <w:sz w:val="17"/>
        </w:rPr>
      </w:r>
    </w:p>
    <w:p>
      <w:pPr>
        <w:pStyle w:val="TextBody"/>
        <w:spacing w:before="0" w:after="0"/>
        <w:jc w:val="both"/>
        <w:rPr>
          <w:rFonts w:ascii="Times New Roman" w:hAnsi="Times New Roman"/>
          <w:sz w:val="17"/>
        </w:rPr>
      </w:pPr>
      <w:r>
        <w:rPr>
          <w:rFonts w:ascii="Times New Roman" w:hAnsi="Times New Roman"/>
          <w:sz w:val="17"/>
        </w:rPr>
        <w:t>Three months ending March 31, 2018</w:t>
      </w:r>
    </w:p>
    <w:p>
      <w:pPr>
        <w:pStyle w:val="TextBody"/>
        <w:spacing w:before="0" w:after="0"/>
        <w:rPr/>
      </w:pPr>
      <w:r>
        <w:rPr/>
      </w:r>
    </w:p>
    <w:p>
      <w:pPr>
        <w:pStyle w:val="Normal"/>
        <w:spacing w:before="0" w:after="0"/>
        <w:rPr>
          <w:sz w:val="4"/>
          <w:szCs w:val="4"/>
        </w:rPr>
      </w:pPr>
      <w:r>
        <w:rPr>
          <w:sz w:val="4"/>
          <w:szCs w:val="4"/>
        </w:rPr>
      </w:r>
      <w:bookmarkStart w:id="539" w:name="za9e11760ae3340cb8060dd60f0cabaa8"/>
      <w:bookmarkStart w:id="540" w:name="za9e11760ae3340cb8060dd60f0cabaa8"/>
      <w:bookmarkEnd w:id="540"/>
    </w:p>
    <w:tbl>
      <w:tblPr>
        <w:tblW w:w="7460" w:type="dxa"/>
        <w:jc w:val="left"/>
        <w:tblInd w:w="0" w:type="dxa"/>
        <w:tblCellMar>
          <w:top w:w="0" w:type="dxa"/>
          <w:left w:w="0" w:type="dxa"/>
          <w:bottom w:w="0" w:type="dxa"/>
          <w:right w:w="0" w:type="dxa"/>
        </w:tblCellMar>
      </w:tblPr>
      <w:tblGrid>
        <w:gridCol w:w="2030"/>
        <w:gridCol w:w="86"/>
        <w:gridCol w:w="245"/>
        <w:gridCol w:w="954"/>
        <w:gridCol w:w="86"/>
        <w:gridCol w:w="86"/>
        <w:gridCol w:w="215"/>
        <w:gridCol w:w="572"/>
        <w:gridCol w:w="86"/>
        <w:gridCol w:w="86"/>
        <w:gridCol w:w="250"/>
        <w:gridCol w:w="979"/>
        <w:gridCol w:w="60"/>
        <w:gridCol w:w="60"/>
        <w:gridCol w:w="257"/>
        <w:gridCol w:w="678"/>
        <w:gridCol w:w="60"/>
        <w:gridCol w:w="60"/>
        <w:gridCol w:w="110"/>
        <w:gridCol w:w="425"/>
        <w:gridCol w:w="75"/>
      </w:tblGrid>
      <w:tr>
        <w:trPr/>
        <w:tc>
          <w:tcPr>
            <w:tcW w:w="2030" w:type="dxa"/>
            <w:tcBorders/>
            <w:shd w:fill="auto" w:val="clear"/>
            <w:vAlign w:val="bottom"/>
          </w:tcPr>
          <w:p>
            <w:pPr>
              <w:pStyle w:val="TableContents"/>
              <w:spacing w:before="0" w:after="283"/>
              <w:rPr/>
            </w:pPr>
            <w:r>
              <w:rPr/>
            </w:r>
          </w:p>
        </w:tc>
        <w:tc>
          <w:tcPr>
            <w:tcW w:w="86" w:type="dxa"/>
            <w:tcBorders/>
            <w:shd w:fill="auto" w:val="clear"/>
            <w:vAlign w:val="bottom"/>
          </w:tcPr>
          <w:p>
            <w:pPr>
              <w:pStyle w:val="TableContents"/>
              <w:spacing w:before="0" w:after="283"/>
              <w:rPr/>
            </w:pPr>
            <w:r>
              <w:rPr/>
              <w:t> </w:t>
            </w:r>
          </w:p>
        </w:tc>
        <w:tc>
          <w:tcPr>
            <w:tcW w:w="11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Service</w:t>
            </w:r>
          </w:p>
          <w:p>
            <w:pPr>
              <w:pStyle w:val="TableContents"/>
              <w:spacing w:before="0" w:after="0"/>
              <w:jc w:val="center"/>
              <w:rPr>
                <w:rFonts w:ascii="Times New Roman" w:hAnsi="Times New Roman"/>
                <w:sz w:val="17"/>
              </w:rPr>
            </w:pPr>
            <w:r>
              <w:rPr>
                <w:rFonts w:ascii="Times New Roman" w:hAnsi="Times New Roman"/>
                <w:sz w:val="17"/>
              </w:rPr>
              <w:t>Charges</w:t>
            </w:r>
          </w:p>
          <w:p>
            <w:pPr>
              <w:pStyle w:val="TableContents"/>
              <w:spacing w:before="0" w:after="0"/>
              <w:jc w:val="center"/>
              <w:rPr>
                <w:rFonts w:ascii="Times New Roman" w:hAnsi="Times New Roman"/>
                <w:sz w:val="17"/>
              </w:rPr>
            </w:pPr>
            <w:r>
              <w:rPr>
                <w:rFonts w:ascii="Times New Roman" w:hAnsi="Times New Roman"/>
                <w:sz w:val="17"/>
              </w:rPr>
              <w:t>on Deposits</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78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Other</w:t>
            </w:r>
          </w:p>
          <w:p>
            <w:pPr>
              <w:pStyle w:val="TableContents"/>
              <w:spacing w:before="0" w:after="0"/>
              <w:jc w:val="center"/>
              <w:rPr>
                <w:rFonts w:ascii="Times New Roman" w:hAnsi="Times New Roman"/>
                <w:sz w:val="17"/>
              </w:rPr>
            </w:pPr>
            <w:r>
              <w:rPr>
                <w:rFonts w:ascii="Times New Roman" w:hAnsi="Times New Roman"/>
                <w:sz w:val="17"/>
              </w:rPr>
              <w:t>Deposit</w:t>
            </w:r>
          </w:p>
          <w:p>
            <w:pPr>
              <w:pStyle w:val="TableContents"/>
              <w:spacing w:before="0" w:after="0"/>
              <w:jc w:val="center"/>
              <w:rPr>
                <w:rFonts w:ascii="Times New Roman" w:hAnsi="Times New Roman"/>
                <w:sz w:val="17"/>
              </w:rPr>
            </w:pPr>
            <w:r>
              <w:rPr>
                <w:rFonts w:ascii="Times New Roman" w:hAnsi="Times New Roman"/>
                <w:sz w:val="17"/>
              </w:rPr>
              <w:t>Related</w:t>
            </w:r>
          </w:p>
          <w:p>
            <w:pPr>
              <w:pStyle w:val="TableContents"/>
              <w:spacing w:before="0" w:after="0"/>
              <w:jc w:val="center"/>
              <w:rPr>
                <w:rFonts w:ascii="Times New Roman" w:hAnsi="Times New Roman"/>
                <w:sz w:val="17"/>
              </w:rPr>
            </w:pPr>
            <w:r>
              <w:rPr>
                <w:rFonts w:ascii="Times New Roman" w:hAnsi="Times New Roman"/>
                <w:sz w:val="17"/>
              </w:rPr>
              <w:t>Income</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Interchange</w:t>
            </w:r>
          </w:p>
          <w:p>
            <w:pPr>
              <w:pStyle w:val="TableContents"/>
              <w:spacing w:before="0" w:after="0"/>
              <w:jc w:val="center"/>
              <w:rPr>
                <w:rFonts w:ascii="Times New Roman" w:hAnsi="Times New Roman"/>
                <w:sz w:val="17"/>
              </w:rPr>
            </w:pPr>
            <w:r>
              <w:rPr>
                <w:rFonts w:ascii="Times New Roman" w:hAnsi="Times New Roman"/>
                <w:sz w:val="17"/>
              </w:rPr>
              <w:t>Income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Investment</w:t>
            </w:r>
          </w:p>
          <w:p>
            <w:pPr>
              <w:pStyle w:val="TableContents"/>
              <w:spacing w:before="0" w:after="0"/>
              <w:jc w:val="center"/>
              <w:rPr>
                <w:rFonts w:ascii="Times New Roman" w:hAnsi="Times New Roman"/>
                <w:sz w:val="17"/>
              </w:rPr>
            </w:pPr>
            <w:r>
              <w:rPr>
                <w:rFonts w:ascii="Times New Roman" w:hAnsi="Times New Roman"/>
                <w:sz w:val="17"/>
              </w:rPr>
              <w:t>and</w:t>
            </w:r>
          </w:p>
          <w:p>
            <w:pPr>
              <w:pStyle w:val="TableContents"/>
              <w:spacing w:before="0" w:after="0"/>
              <w:jc w:val="center"/>
              <w:rPr>
                <w:rFonts w:ascii="Times New Roman" w:hAnsi="Times New Roman"/>
                <w:sz w:val="17"/>
              </w:rPr>
            </w:pPr>
            <w:r>
              <w:rPr>
                <w:rFonts w:ascii="Times New Roman" w:hAnsi="Times New Roman"/>
                <w:sz w:val="17"/>
              </w:rPr>
              <w:t>Insurance</w:t>
            </w:r>
          </w:p>
          <w:p>
            <w:pPr>
              <w:pStyle w:val="TableContents"/>
              <w:spacing w:before="0" w:after="0"/>
              <w:jc w:val="center"/>
              <w:rPr>
                <w:rFonts w:ascii="Times New Roman" w:hAnsi="Times New Roman"/>
                <w:sz w:val="17"/>
              </w:rPr>
            </w:pPr>
            <w:r>
              <w:rPr>
                <w:rFonts w:ascii="Times New Roman" w:hAnsi="Times New Roman"/>
                <w:sz w:val="17"/>
              </w:rPr>
              <w:t>Commissions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75" w:type="dxa"/>
            <w:tcBorders/>
            <w:shd w:fill="auto" w:val="clear"/>
            <w:vAlign w:val="bottom"/>
          </w:tcPr>
          <w:p>
            <w:pPr>
              <w:pStyle w:val="TableContents"/>
              <w:spacing w:before="0" w:after="283"/>
              <w:ind w:left="180" w:right="0" w:hanging="180"/>
              <w:jc w:val="left"/>
              <w:rPr/>
            </w:pPr>
            <w:r>
              <w:rPr/>
              <w:t> </w:t>
            </w:r>
          </w:p>
        </w:tc>
      </w:tr>
      <w:tr>
        <w:trPr/>
        <w:tc>
          <w:tcPr>
            <w:tcW w:w="203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5269" w:type="dxa"/>
            <w:gridSpan w:val="18"/>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2030"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Retail</w:t>
            </w:r>
          </w:p>
        </w:tc>
        <w:tc>
          <w:tcPr>
            <w:tcW w:w="86"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787"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Overdraft fees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1,972</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1,972</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Account service charges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500</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ATM fees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345</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345</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207</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207</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Business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Overdraft fees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365</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365</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Account service charges</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ATM fees</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Interchange income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2,246</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Asset management revenue</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271</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Transaction based revenue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75" w:type="dxa"/>
            <w:tcBorders/>
            <w:shd w:fill="FFFFFF" w:val="clear"/>
            <w:vAlign w:val="bottom"/>
          </w:tcPr>
          <w:p>
            <w:pPr>
              <w:pStyle w:val="TableContents"/>
              <w:spacing w:before="0" w:after="283"/>
              <w:ind w:left="180" w:right="0" w:hanging="180"/>
              <w:jc w:val="left"/>
              <w:rPr/>
            </w:pPr>
            <w:r>
              <w:rPr/>
              <w:t> </w:t>
            </w:r>
          </w:p>
        </w:tc>
      </w:tr>
      <w:tr>
        <w:trPr/>
        <w:tc>
          <w:tcPr>
            <w:tcW w:w="203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4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7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w:t>
            </w:r>
          </w:p>
        </w:tc>
        <w:tc>
          <w:tcPr>
            <w:tcW w:w="86" w:type="dxa"/>
            <w:tcBorders/>
            <w:shd w:fill="FFFFFF" w:val="clear"/>
            <w:vAlign w:val="bottom"/>
          </w:tcPr>
          <w:p>
            <w:pPr>
              <w:pStyle w:val="TableContents"/>
              <w:spacing w:before="0" w:after="283"/>
              <w:rPr/>
            </w:pPr>
            <w:r>
              <w:rPr/>
              <w:t> </w:t>
            </w:r>
          </w:p>
        </w:tc>
        <w:tc>
          <w:tcPr>
            <w:tcW w:w="24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5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2,905</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72"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689</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79"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7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438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6,278</w:t>
            </w:r>
          </w:p>
        </w:tc>
        <w:tc>
          <w:tcPr>
            <w:tcW w:w="75" w:type="dxa"/>
            <w:tcBorders/>
            <w:shd w:fill="FFFFFF" w:val="clear"/>
            <w:vAlign w:val="bottom"/>
          </w:tcPr>
          <w:p>
            <w:pPr>
              <w:pStyle w:val="TableContents"/>
              <w:spacing w:before="0" w:after="283"/>
              <w:ind w:left="180" w:right="0" w:hanging="180"/>
              <w:jc w:val="left"/>
              <w:rPr/>
            </w:pPr>
            <w:r>
              <w:rPr/>
              <w:t> </w:t>
            </w:r>
          </w:p>
        </w:tc>
      </w:tr>
      <w:tr>
        <w:trPr/>
        <w:tc>
          <w:tcPr>
            <w:tcW w:w="203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5675" w:type="dxa"/>
            <w:gridSpan w:val="12"/>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Reconciliation to Condensed Consolidated Statement of Operations: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Non-interest income - 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 deposit related income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689</w:t>
            </w:r>
          </w:p>
        </w:tc>
        <w:tc>
          <w:tcPr>
            <w:tcW w:w="75" w:type="dxa"/>
            <w:tcBorders/>
            <w:shd w:fill="FFFFFF" w:val="clear"/>
            <w:vAlign w:val="bottom"/>
          </w:tcPr>
          <w:p>
            <w:pPr>
              <w:pStyle w:val="TableContents"/>
              <w:spacing w:before="0" w:after="283"/>
              <w:jc w:val="left"/>
              <w:rPr/>
            </w:pPr>
            <w:r>
              <w:rPr/>
              <w:t> </w:t>
            </w:r>
          </w:p>
        </w:tc>
      </w:tr>
      <w:tr>
        <w:trPr/>
        <w:tc>
          <w:tcPr>
            <w:tcW w:w="3315" w:type="dxa"/>
            <w:gridSpan w:val="4"/>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Investment and insurance commissions</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438</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Bank owned life insurance</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256</w:t>
            </w:r>
          </w:p>
        </w:tc>
        <w:tc>
          <w:tcPr>
            <w:tcW w:w="75" w:type="dxa"/>
            <w:tcBorders/>
            <w:shd w:fill="FFFFFF" w:val="clear"/>
            <w:vAlign w:val="bottom"/>
          </w:tcPr>
          <w:p>
            <w:pPr>
              <w:pStyle w:val="TableContents"/>
              <w:spacing w:before="0" w:after="283"/>
              <w:jc w:val="left"/>
              <w:rPr/>
            </w:pPr>
            <w:r>
              <w:rPr/>
              <w:t> </w:t>
            </w:r>
          </w:p>
        </w:tc>
      </w:tr>
      <w:tr>
        <w:trPr/>
        <w:tc>
          <w:tcPr>
            <w:tcW w:w="2030"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Other</w:t>
            </w:r>
          </w:p>
        </w:tc>
        <w:tc>
          <w:tcPr>
            <w:tcW w:w="8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572"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left"/>
              <w:rPr/>
            </w:pPr>
            <w:r>
              <w:rPr/>
              <w:t> </w:t>
            </w:r>
          </w:p>
        </w:tc>
        <w:tc>
          <w:tcPr>
            <w:tcW w:w="9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560</w:t>
            </w:r>
          </w:p>
        </w:tc>
        <w:tc>
          <w:tcPr>
            <w:tcW w:w="75" w:type="dxa"/>
            <w:tcBorders/>
            <w:shd w:fill="CCEEFF" w:val="clear"/>
            <w:vAlign w:val="bottom"/>
          </w:tcPr>
          <w:p>
            <w:pPr>
              <w:pStyle w:val="TableContents"/>
              <w:spacing w:before="0" w:after="283"/>
              <w:jc w:val="left"/>
              <w:rPr/>
            </w:pPr>
            <w:r>
              <w:rPr/>
              <w:t> </w:t>
            </w:r>
          </w:p>
        </w:tc>
      </w:tr>
      <w:tr>
        <w:trPr/>
        <w:tc>
          <w:tcPr>
            <w:tcW w:w="2030" w:type="dxa"/>
            <w:tcBorders/>
            <w:shd w:fill="FFFFFF" w:val="clear"/>
            <w:vAlign w:val="bottom"/>
          </w:tcPr>
          <w:p>
            <w:pPr>
              <w:pStyle w:val="TableContents"/>
              <w:spacing w:before="0" w:after="0"/>
              <w:ind w:left="720" w:right="0" w:hanging="180"/>
              <w:jc w:val="left"/>
              <w:rPr>
                <w:rFonts w:ascii="Times New Roman" w:hAnsi="Times New Roman"/>
                <w:sz w:val="17"/>
              </w:rPr>
            </w:pPr>
            <w:r>
              <w:rPr>
                <w:rFonts w:ascii="Times New Roman" w:hAnsi="Times New Roman"/>
                <w:sz w:val="17"/>
              </w:rPr>
              <w:t>Total</w:t>
            </w:r>
          </w:p>
        </w:tc>
        <w:tc>
          <w:tcPr>
            <w:tcW w:w="86"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left"/>
              <w:rPr/>
            </w:pPr>
            <w:r>
              <w:rPr/>
              <w:t> </w:t>
            </w:r>
          </w:p>
        </w:tc>
        <w:tc>
          <w:tcPr>
            <w:tcW w:w="572"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1,943</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 xml:space="preserve">16. </w:t>
      </w:r>
      <w:r>
        <w:rPr>
          <w:rFonts w:ascii="Times New Roman" w:hAnsi="Times New Roman"/>
          <w:sz w:val="17"/>
          <w:u w:val="single"/>
        </w:rPr>
        <w:t>Leases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have operating leases, primarily relating to certain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for all leases.  Most of our leases include one or more options to renew. The exercise of lease renewal options is typically at our sole discretion and are included in our ROU assets and lease liabilities if they are reasonably certain of exercise.  As most of our leases do not provide an implicit rate, we use our incremental borrowing rate based on the information available at the lease commencement date in determining the present value of the lease payments.</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The cost components of our operating leases follows:</w:t>
      </w:r>
    </w:p>
    <w:p>
      <w:pPr>
        <w:pStyle w:val="TextBody"/>
        <w:spacing w:before="0" w:after="0"/>
        <w:rPr/>
      </w:pPr>
      <w:r>
        <w:rPr/>
      </w:r>
    </w:p>
    <w:p>
      <w:pPr>
        <w:pStyle w:val="Normal"/>
        <w:spacing w:before="0" w:after="0"/>
        <w:rPr>
          <w:sz w:val="4"/>
          <w:szCs w:val="4"/>
        </w:rPr>
      </w:pPr>
      <w:r>
        <w:rPr>
          <w:sz w:val="4"/>
          <w:szCs w:val="4"/>
        </w:rPr>
      </w:r>
      <w:bookmarkStart w:id="541" w:name="z410e000a5e5e468d8f7fcd3a831af338"/>
      <w:bookmarkStart w:id="542" w:name="z410e000a5e5e468d8f7fcd3a831af338"/>
      <w:bookmarkEnd w:id="542"/>
    </w:p>
    <w:tbl>
      <w:tblPr>
        <w:tblW w:w="3070" w:type="dxa"/>
        <w:jc w:val="left"/>
        <w:tblInd w:w="0" w:type="dxa"/>
        <w:tblCellMar>
          <w:top w:w="0" w:type="dxa"/>
          <w:left w:w="0" w:type="dxa"/>
          <w:bottom w:w="0" w:type="dxa"/>
          <w:right w:w="0" w:type="dxa"/>
        </w:tblCellMar>
      </w:tblPr>
      <w:tblGrid>
        <w:gridCol w:w="1460"/>
        <w:gridCol w:w="60"/>
        <w:gridCol w:w="409"/>
        <w:gridCol w:w="1081"/>
        <w:gridCol w:w="60"/>
      </w:tblGrid>
      <w:tr>
        <w:trPr/>
        <w:tc>
          <w:tcPr>
            <w:tcW w:w="1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r>
      <w:tr>
        <w:trPr/>
        <w:tc>
          <w:tcPr>
            <w:tcW w:w="1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146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Operating lease cost</w:t>
            </w:r>
          </w:p>
        </w:tc>
        <w:tc>
          <w:tcPr>
            <w:tcW w:w="6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8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564</w:t>
            </w:r>
          </w:p>
        </w:tc>
        <w:tc>
          <w:tcPr>
            <w:tcW w:w="60" w:type="dxa"/>
            <w:tcBorders/>
            <w:shd w:fill="CCEEFF" w:val="clear"/>
            <w:vAlign w:val="bottom"/>
          </w:tcPr>
          <w:p>
            <w:pPr>
              <w:pStyle w:val="TableContents"/>
              <w:spacing w:before="0" w:after="283"/>
              <w:jc w:val="left"/>
              <w:rPr/>
            </w:pPr>
            <w:r>
              <w:rPr/>
              <w:t> </w:t>
            </w:r>
          </w:p>
        </w:tc>
      </w:tr>
      <w:tr>
        <w:trPr/>
        <w:tc>
          <w:tcPr>
            <w:tcW w:w="146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Variable lease cost</w:t>
            </w:r>
          </w:p>
        </w:tc>
        <w:tc>
          <w:tcPr>
            <w:tcW w:w="60" w:type="dxa"/>
            <w:tcBorders/>
            <w:shd w:fill="FFFFFF" w:val="clear"/>
            <w:vAlign w:val="bottom"/>
          </w:tcPr>
          <w:p>
            <w:pPr>
              <w:pStyle w:val="TableContents"/>
              <w:spacing w:before="0" w:after="283"/>
              <w:rPr/>
            </w:pPr>
            <w:r>
              <w:rPr/>
              <w:t> </w:t>
            </w:r>
          </w:p>
        </w:tc>
        <w:tc>
          <w:tcPr>
            <w:tcW w:w="409"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w:t>
            </w:r>
          </w:p>
        </w:tc>
        <w:tc>
          <w:tcPr>
            <w:tcW w:w="60" w:type="dxa"/>
            <w:tcBorders/>
            <w:shd w:fill="FFFFFF" w:val="clear"/>
            <w:vAlign w:val="bottom"/>
          </w:tcPr>
          <w:p>
            <w:pPr>
              <w:pStyle w:val="TableContents"/>
              <w:spacing w:before="0" w:after="283"/>
              <w:jc w:val="left"/>
              <w:rPr/>
            </w:pPr>
            <w:r>
              <w:rPr/>
              <w:t> </w:t>
            </w:r>
          </w:p>
        </w:tc>
      </w:tr>
      <w:tr>
        <w:trPr/>
        <w:tc>
          <w:tcPr>
            <w:tcW w:w="146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Short-term lease cost</w:t>
            </w:r>
          </w:p>
        </w:tc>
        <w:tc>
          <w:tcPr>
            <w:tcW w:w="60" w:type="dxa"/>
            <w:tcBorders/>
            <w:shd w:fill="CCEEFF" w:val="clear"/>
            <w:vAlign w:val="bottom"/>
          </w:tcPr>
          <w:p>
            <w:pPr>
              <w:pStyle w:val="TableContents"/>
              <w:spacing w:before="0" w:after="283"/>
              <w:rPr/>
            </w:pPr>
            <w:r>
              <w:rPr/>
              <w:t> </w:t>
            </w:r>
          </w:p>
        </w:tc>
        <w:tc>
          <w:tcPr>
            <w:tcW w:w="4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60" w:type="dxa"/>
            <w:tcBorders/>
            <w:shd w:fill="CCEEFF" w:val="clear"/>
            <w:vAlign w:val="bottom"/>
          </w:tcPr>
          <w:p>
            <w:pPr>
              <w:pStyle w:val="TableContents"/>
              <w:spacing w:before="0" w:after="283"/>
              <w:jc w:val="left"/>
              <w:rPr/>
            </w:pPr>
            <w:r>
              <w:rPr/>
              <w:t> </w:t>
            </w:r>
          </w:p>
        </w:tc>
      </w:tr>
      <w:tr>
        <w:trPr/>
        <w:tc>
          <w:tcPr>
            <w:tcW w:w="146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409"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1081"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592</w:t>
            </w:r>
          </w:p>
        </w:tc>
        <w:tc>
          <w:tcPr>
            <w:tcW w:w="60" w:type="dxa"/>
            <w:tcBorders/>
            <w:shd w:fill="FFFF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3" w:name="DSPFPageBreakArea52"/>
      <w:bookmarkStart w:id="544" w:name="DSPFPageBreakArea52"/>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45" w:name="DSPFPageNumber52"/>
      <w:bookmarkStart w:id="546" w:name="DSPFPageNumberArea51"/>
      <w:bookmarkEnd w:id="545"/>
      <w:bookmarkEnd w:id="546"/>
      <w:r>
        <w:rPr>
          <w:rFonts w:ascii="Times New Roman" w:hAnsi="Times New Roman"/>
          <w:b w:val="false"/>
          <w:i w:val="false"/>
          <w:caps w:val="false"/>
          <w:smallCaps w:val="false"/>
          <w:sz w:val="13"/>
        </w:rPr>
        <w:t>53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7" w:name="DSPFPageBreak52"/>
      <w:bookmarkStart w:id="548" w:name="DSPFPageBreak52"/>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49" w:name="DSPFPageHeader51"/>
        <w:bookmarkEnd w:id="54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Variable lease costs consist primarily of taxes, insurance, and common area or other maintenance costs for our leased facilities.</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Supplemental balance sheet information related to our operating leases follows:</w:t>
      </w:r>
    </w:p>
    <w:p>
      <w:pPr>
        <w:pStyle w:val="TextBody"/>
        <w:spacing w:before="0" w:after="0"/>
        <w:rPr/>
      </w:pPr>
      <w:r>
        <w:rPr/>
      </w:r>
    </w:p>
    <w:p>
      <w:pPr>
        <w:pStyle w:val="Normal"/>
        <w:spacing w:before="0" w:after="0"/>
        <w:rPr>
          <w:sz w:val="4"/>
          <w:szCs w:val="4"/>
        </w:rPr>
      </w:pPr>
      <w:r>
        <w:rPr>
          <w:sz w:val="4"/>
          <w:szCs w:val="4"/>
        </w:rPr>
      </w:r>
      <w:bookmarkStart w:id="550" w:name="z603aeed8ad6a4b83b202465d16a08454"/>
      <w:bookmarkStart w:id="551" w:name="z603aeed8ad6a4b83b202465d16a08454"/>
      <w:bookmarkEnd w:id="551"/>
    </w:p>
    <w:tbl>
      <w:tblPr>
        <w:tblW w:w="4665" w:type="dxa"/>
        <w:jc w:val="left"/>
        <w:tblInd w:w="0" w:type="dxa"/>
        <w:tblCellMar>
          <w:top w:w="0" w:type="dxa"/>
          <w:left w:w="0" w:type="dxa"/>
          <w:bottom w:w="0" w:type="dxa"/>
          <w:right w:w="0" w:type="dxa"/>
        </w:tblCellMar>
      </w:tblPr>
      <w:tblGrid>
        <w:gridCol w:w="3290"/>
        <w:gridCol w:w="60"/>
        <w:gridCol w:w="235"/>
        <w:gridCol w:w="910"/>
        <w:gridCol w:w="170"/>
      </w:tblGrid>
      <w:tr>
        <w:trPr/>
        <w:tc>
          <w:tcPr>
            <w:tcW w:w="3290" w:type="dxa"/>
            <w:tcBorders/>
            <w:shd w:fill="auto" w:val="clear"/>
            <w:vAlign w:val="bottom"/>
          </w:tcPr>
          <w:p>
            <w:pPr>
              <w:pStyle w:val="TableContents"/>
              <w:spacing w:before="0" w:after="283"/>
              <w:ind w:left="180" w:right="0" w:hanging="180"/>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170" w:type="dxa"/>
            <w:tcBorders/>
            <w:shd w:fill="auto" w:val="clear"/>
            <w:vAlign w:val="bottom"/>
          </w:tcPr>
          <w:p>
            <w:pPr>
              <w:pStyle w:val="TableContents"/>
              <w:spacing w:before="0" w:after="283"/>
              <w:ind w:left="180" w:right="0" w:hanging="180"/>
              <w:jc w:val="left"/>
              <w:rPr/>
            </w:pPr>
            <w:r>
              <w:rPr/>
              <w:t> </w:t>
            </w:r>
          </w:p>
        </w:tc>
      </w:tr>
      <w:tr>
        <w:trPr/>
        <w:tc>
          <w:tcPr>
            <w:tcW w:w="3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jc w:val="center"/>
              <w:rPr>
                <w:rFonts w:ascii="Times New Roman" w:hAnsi="Times New Roman"/>
                <w:sz w:val="17"/>
              </w:rPr>
            </w:pPr>
            <w:r>
              <w:rPr>
                <w:rFonts w:ascii="Times New Roman" w:hAnsi="Times New Roman"/>
                <w:sz w:val="17"/>
              </w:rPr>
              <w:t>(In thousands)</w:t>
            </w:r>
          </w:p>
        </w:tc>
        <w:tc>
          <w:tcPr>
            <w:tcW w:w="170"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Lease right of use asset</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7,199</w:t>
            </w:r>
          </w:p>
        </w:tc>
        <w:tc>
          <w:tcPr>
            <w:tcW w:w="170" w:type="dxa"/>
            <w:tcBorders/>
            <w:shd w:fill="CCEEFF" w:val="clear"/>
            <w:vAlign w:val="bottom"/>
          </w:tcPr>
          <w:p>
            <w:pPr>
              <w:pStyle w:val="TableContents"/>
              <w:spacing w:before="0" w:after="283"/>
              <w:jc w:val="left"/>
              <w:rPr/>
            </w:pPr>
            <w:r>
              <w:rPr/>
              <w:t> </w:t>
            </w:r>
          </w:p>
        </w:tc>
      </w:tr>
      <w:tr>
        <w:trPr/>
        <w:tc>
          <w:tcPr>
            <w:tcW w:w="329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Lease liabilities</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1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7,202</w:t>
            </w:r>
          </w:p>
        </w:tc>
        <w:tc>
          <w:tcPr>
            <w:tcW w:w="170" w:type="dxa"/>
            <w:tcBorders/>
            <w:shd w:fill="FFFFFF" w:val="clear"/>
            <w:vAlign w:val="bottom"/>
          </w:tcPr>
          <w:p>
            <w:pPr>
              <w:pStyle w:val="TableContents"/>
              <w:spacing w:before="0" w:after="283"/>
              <w:ind w:left="180" w:right="0" w:hanging="180"/>
              <w:jc w:val="left"/>
              <w:rPr/>
            </w:pPr>
            <w:r>
              <w:rPr/>
              <w:t> </w:t>
            </w:r>
          </w:p>
        </w:tc>
      </w:tr>
      <w:tr>
        <w:trPr/>
        <w:tc>
          <w:tcPr>
            <w:tcW w:w="3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 </w:t>
            </w:r>
          </w:p>
        </w:tc>
        <w:tc>
          <w:tcPr>
            <w:tcW w:w="91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329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Weighted average remaining lease term (years)</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1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5.65</w:t>
            </w:r>
          </w:p>
        </w:tc>
        <w:tc>
          <w:tcPr>
            <w:tcW w:w="170" w:type="dxa"/>
            <w:tcBorders/>
            <w:shd w:fill="FFFFFF"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Weighted average discount rate</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Maturity analysis of our lease liabilities at March 31, 2019 based on required contractual payments follows:</w:t>
      </w:r>
    </w:p>
    <w:p>
      <w:pPr>
        <w:pStyle w:val="TextBody"/>
        <w:spacing w:before="0" w:after="0"/>
        <w:rPr/>
      </w:pPr>
      <w:r>
        <w:rPr/>
      </w:r>
    </w:p>
    <w:p>
      <w:pPr>
        <w:pStyle w:val="Normal"/>
        <w:spacing w:before="0" w:after="0"/>
        <w:rPr>
          <w:sz w:val="4"/>
          <w:szCs w:val="4"/>
        </w:rPr>
      </w:pPr>
      <w:r>
        <w:rPr>
          <w:sz w:val="4"/>
          <w:szCs w:val="4"/>
        </w:rPr>
      </w:r>
      <w:bookmarkStart w:id="552" w:name="zbf1a65b5bbdc4ea8be4273c483554b6b"/>
      <w:bookmarkStart w:id="553" w:name="zbf1a65b5bbdc4ea8be4273c483554b6b"/>
      <w:bookmarkEnd w:id="553"/>
    </w:p>
    <w:tbl>
      <w:tblPr>
        <w:tblW w:w="4080" w:type="dxa"/>
        <w:jc w:val="left"/>
        <w:tblInd w:w="0" w:type="dxa"/>
        <w:tblCellMar>
          <w:top w:w="0" w:type="dxa"/>
          <w:left w:w="0" w:type="dxa"/>
          <w:bottom w:w="0" w:type="dxa"/>
          <w:right w:w="0" w:type="dxa"/>
        </w:tblCellMar>
      </w:tblPr>
      <w:tblGrid>
        <w:gridCol w:w="2870"/>
        <w:gridCol w:w="60"/>
        <w:gridCol w:w="216"/>
        <w:gridCol w:w="839"/>
        <w:gridCol w:w="95"/>
      </w:tblGrid>
      <w:tr>
        <w:trPr/>
        <w:tc>
          <w:tcPr>
            <w:tcW w:w="28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(In thousands)</w:t>
            </w:r>
          </w:p>
        </w:tc>
        <w:tc>
          <w:tcPr>
            <w:tcW w:w="95" w:type="dxa"/>
            <w:tcBorders/>
            <w:shd w:fill="auto" w:val="clear"/>
            <w:vAlign w:val="bottom"/>
          </w:tcPr>
          <w:p>
            <w:pPr>
              <w:pStyle w:val="TableContents"/>
              <w:spacing w:before="0" w:after="283"/>
              <w:jc w:val="left"/>
              <w:rPr/>
            </w:pPr>
            <w:r>
              <w:rPr/>
              <w:t> </w:t>
            </w:r>
          </w:p>
        </w:tc>
      </w:tr>
      <w:tr>
        <w:trPr/>
        <w:tc>
          <w:tcPr>
            <w:tcW w:w="28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Nine months ending December 31, 2019</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1,662</w:t>
            </w:r>
          </w:p>
        </w:tc>
        <w:tc>
          <w:tcPr>
            <w:tcW w:w="9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2020</w:t>
            </w:r>
          </w:p>
        </w:tc>
        <w:tc>
          <w:tcPr>
            <w:tcW w:w="6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left"/>
              <w:rPr/>
            </w:pPr>
            <w:r>
              <w:rPr/>
              <w:t> </w:t>
            </w:r>
          </w:p>
        </w:tc>
        <w:tc>
          <w:tcPr>
            <w:tcW w:w="8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1,711</w:t>
            </w:r>
          </w:p>
        </w:tc>
        <w:tc>
          <w:tcPr>
            <w:tcW w:w="9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2021</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1,248</w:t>
            </w:r>
          </w:p>
        </w:tc>
        <w:tc>
          <w:tcPr>
            <w:tcW w:w="9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2022</w:t>
            </w:r>
          </w:p>
        </w:tc>
        <w:tc>
          <w:tcPr>
            <w:tcW w:w="6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left"/>
              <w:rPr/>
            </w:pPr>
            <w:r>
              <w:rPr/>
              <w:t> </w:t>
            </w:r>
          </w:p>
        </w:tc>
        <w:tc>
          <w:tcPr>
            <w:tcW w:w="8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963</w:t>
            </w:r>
          </w:p>
        </w:tc>
        <w:tc>
          <w:tcPr>
            <w:tcW w:w="9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2023</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925</w:t>
            </w:r>
          </w:p>
        </w:tc>
        <w:tc>
          <w:tcPr>
            <w:tcW w:w="9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2024 and thereafter</w:t>
            </w:r>
          </w:p>
        </w:tc>
        <w:tc>
          <w:tcPr>
            <w:tcW w:w="60" w:type="dxa"/>
            <w:tcBorders/>
            <w:shd w:fill="FFFFFF" w:val="clear"/>
            <w:vAlign w:val="bottom"/>
          </w:tcPr>
          <w:p>
            <w:pPr>
              <w:pStyle w:val="TableContents"/>
              <w:spacing w:before="0" w:after="283"/>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1,423</w:t>
            </w:r>
          </w:p>
        </w:tc>
        <w:tc>
          <w:tcPr>
            <w:tcW w:w="95" w:type="dxa"/>
            <w:tcBorders/>
            <w:shd w:fill="FFFFFF" w:val="clear"/>
            <w:vAlign w:val="bottom"/>
          </w:tcPr>
          <w:p>
            <w:pPr>
              <w:pStyle w:val="TableContents"/>
              <w:spacing w:before="0" w:after="283"/>
              <w:jc w:val="left"/>
              <w:rPr/>
            </w:pPr>
            <w:r>
              <w:rPr/>
              <w:t> </w:t>
            </w:r>
          </w:p>
        </w:tc>
      </w:tr>
      <w:tr>
        <w:trPr/>
        <w:tc>
          <w:tcPr>
            <w:tcW w:w="287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 lease payments</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7,932</w:t>
            </w:r>
          </w:p>
        </w:tc>
        <w:tc>
          <w:tcPr>
            <w:tcW w:w="95" w:type="dxa"/>
            <w:tcBorders/>
            <w:shd w:fill="CCEEFF" w:val="clear"/>
            <w:vAlign w:val="bottom"/>
          </w:tcPr>
          <w:p>
            <w:pPr>
              <w:pStyle w:val="TableContents"/>
              <w:spacing w:before="0" w:after="283"/>
              <w:jc w:val="left"/>
              <w:rPr/>
            </w:pPr>
            <w:r>
              <w:rPr/>
              <w:t> </w:t>
            </w:r>
          </w:p>
        </w:tc>
      </w:tr>
      <w:tr>
        <w:trPr/>
        <w:tc>
          <w:tcPr>
            <w:tcW w:w="28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Less imputed interest</w:t>
            </w:r>
          </w:p>
        </w:tc>
        <w:tc>
          <w:tcPr>
            <w:tcW w:w="60" w:type="dxa"/>
            <w:tcBorders/>
            <w:shd w:fill="FFFFFF" w:val="clear"/>
            <w:vAlign w:val="bottom"/>
          </w:tcPr>
          <w:p>
            <w:pPr>
              <w:pStyle w:val="TableContents"/>
              <w:spacing w:before="0" w:after="283"/>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(730</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87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21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3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7,202</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54" w:name="DSPFPageBreakArea53"/>
      <w:bookmarkStart w:id="555" w:name="DSPFPageBreakArea53"/>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56" w:name="DSPFPageNumber53"/>
      <w:bookmarkStart w:id="557" w:name="DSPFPageNumberArea52"/>
      <w:bookmarkEnd w:id="556"/>
      <w:bookmarkEnd w:id="557"/>
      <w:r>
        <w:rPr>
          <w:rFonts w:ascii="Times New Roman" w:hAnsi="Times New Roman"/>
          <w:b w:val="false"/>
          <w:i w:val="false"/>
          <w:caps w:val="false"/>
          <w:smallCaps w:val="false"/>
          <w:sz w:val="13"/>
        </w:rPr>
        <w:t>54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8" w:name="DSPFPageBreak53"/>
      <w:bookmarkStart w:id="559" w:name="DSPFPageBreak53"/>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60" w:name="DSPFPageHeader52"/>
        <w:bookmarkEnd w:id="560"/>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 xml:space="preserve">17. </w:t>
      </w:r>
      <w:r>
        <w:rPr>
          <w:rFonts w:ascii="Times New Roman" w:hAnsi="Times New Roman"/>
          <w:sz w:val="17"/>
          <w:u w:val="single"/>
        </w:rPr>
        <w:t>Recent Acquisition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 reflects our final valuation of the assets acquired and liabilities assumed:</w:t>
      </w:r>
    </w:p>
    <w:p>
      <w:pPr>
        <w:pStyle w:val="TextBody"/>
        <w:spacing w:before="0" w:after="0"/>
        <w:rPr/>
      </w:pPr>
      <w:r>
        <w:rPr/>
      </w:r>
    </w:p>
    <w:p>
      <w:pPr>
        <w:pStyle w:val="Normal"/>
        <w:spacing w:before="0" w:after="0"/>
        <w:rPr>
          <w:sz w:val="4"/>
          <w:szCs w:val="4"/>
        </w:rPr>
      </w:pPr>
      <w:r>
        <w:rPr>
          <w:sz w:val="4"/>
          <w:szCs w:val="4"/>
        </w:rPr>
      </w:r>
      <w:bookmarkStart w:id="561" w:name="z7fbc4a560c2e4e2abd2761c8cc2d10bb"/>
      <w:bookmarkStart w:id="562" w:name="z7fbc4a560c2e4e2abd2761c8cc2d10bb"/>
      <w:bookmarkEnd w:id="562"/>
    </w:p>
    <w:tbl>
      <w:tblPr>
        <w:tblW w:w="4195" w:type="dxa"/>
        <w:jc w:val="left"/>
        <w:tblInd w:w="0" w:type="dxa"/>
        <w:tblCellMar>
          <w:top w:w="0" w:type="dxa"/>
          <w:left w:w="0" w:type="dxa"/>
          <w:bottom w:w="0" w:type="dxa"/>
          <w:right w:w="0" w:type="dxa"/>
        </w:tblCellMar>
      </w:tblPr>
      <w:tblGrid>
        <w:gridCol w:w="3035"/>
        <w:gridCol w:w="60"/>
        <w:gridCol w:w="157"/>
        <w:gridCol w:w="868"/>
        <w:gridCol w:w="75"/>
      </w:tblGrid>
      <w:tr>
        <w:trPr/>
        <w:tc>
          <w:tcPr>
            <w:tcW w:w="30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7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Cash and cash equivalents</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23,521</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Interest bearing deposits - time</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4,054</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Securities available for sale</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6,066</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Federal Home Loan Bank stock</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778</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Loans, net</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295,799</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Property and equipement, net</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1,067</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 xml:space="preserve">Capitalized mortgage loan servicing rights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3,047</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Accrued income and other assets</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3,362</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 intangibles (1)</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5,798</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Total assets acquired</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343,492</w:t>
            </w:r>
          </w:p>
        </w:tc>
        <w:tc>
          <w:tcPr>
            <w:tcW w:w="75" w:type="dxa"/>
            <w:tcBorders/>
            <w:shd w:fill="FFFFFF" w:val="clear"/>
            <w:vAlign w:val="bottom"/>
          </w:tcPr>
          <w:p>
            <w:pPr>
              <w:pStyle w:val="TableContents"/>
              <w:spacing w:before="0" w:after="283"/>
              <w:ind w:left="180" w:right="0" w:hanging="180"/>
              <w:jc w:val="left"/>
              <w:rPr/>
            </w:pPr>
            <w:r>
              <w:rPr/>
              <w:t> </w:t>
            </w:r>
          </w:p>
        </w:tc>
      </w:tr>
      <w:tr>
        <w:trPr/>
        <w:tc>
          <w:tcPr>
            <w:tcW w:w="30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Deposits</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287,710</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 borrowings</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14,345</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Subordinated debentures</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86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3,768</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Accrued expenses and other liabilities</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1,429</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Total liabilities assumed</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307,252</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Net assets acquired</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36,240</w:t>
            </w:r>
          </w:p>
        </w:tc>
        <w:tc>
          <w:tcPr>
            <w:tcW w:w="75" w:type="dxa"/>
            <w:tcBorders/>
            <w:shd w:fill="CCEEFF" w:val="clear"/>
            <w:vAlign w:val="bottom"/>
          </w:tcPr>
          <w:p>
            <w:pPr>
              <w:pStyle w:val="TableContents"/>
              <w:spacing w:before="0" w:after="283"/>
              <w:jc w:val="left"/>
              <w:rPr/>
            </w:pPr>
            <w:r>
              <w:rPr/>
              <w:t> </w:t>
            </w:r>
          </w:p>
        </w:tc>
      </w:tr>
      <w:tr>
        <w:trPr/>
        <w:tc>
          <w:tcPr>
            <w:tcW w:w="30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Goodwill</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28,300</w:t>
            </w:r>
          </w:p>
        </w:tc>
        <w:tc>
          <w:tcPr>
            <w:tcW w:w="75" w:type="dxa"/>
            <w:tcBorders/>
            <w:shd w:fill="FFFFFF"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44" w:right="0" w:hanging="144"/>
              <w:jc w:val="left"/>
              <w:rPr>
                <w:rFonts w:ascii="Times New Roman" w:hAnsi="Times New Roman"/>
                <w:sz w:val="17"/>
              </w:rPr>
            </w:pPr>
            <w:r>
              <w:rPr>
                <w:rFonts w:ascii="Times New Roman" w:hAnsi="Times New Roman"/>
                <w:sz w:val="17"/>
              </w:rPr>
              <w:t>Purchase price (fair value of consideration)</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64,540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563" w:name="z2fff511b9f4540df9d909ec95c75a218"/>
      <w:bookmarkStart w:id="564" w:name="z2fff511b9f4540df9d909ec95c75a218"/>
      <w:bookmarkEnd w:id="564"/>
    </w:p>
    <w:tbl>
      <w:tblPr>
        <w:tblW w:w="3610" w:type="dxa"/>
        <w:jc w:val="left"/>
        <w:tblInd w:w="0" w:type="dxa"/>
        <w:tblCellMar>
          <w:top w:w="0" w:type="dxa"/>
          <w:left w:w="0" w:type="dxa"/>
          <w:bottom w:w="0" w:type="dxa"/>
          <w:right w:w="0" w:type="dxa"/>
        </w:tblCellMar>
      </w:tblPr>
      <w:tblGrid>
        <w:gridCol w:w="245"/>
        <w:gridCol w:w="3365"/>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3365"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Relates to core deposit intangibles (see note #7).</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65" w:name="DSPFPageBreakArea54"/>
      <w:bookmarkStart w:id="566" w:name="DSPFPageBreakArea54"/>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67" w:name="DSPFPageNumber54"/>
      <w:bookmarkStart w:id="568" w:name="DSPFPageNumberArea53"/>
      <w:bookmarkEnd w:id="567"/>
      <w:bookmarkEnd w:id="568"/>
      <w:r>
        <w:rPr>
          <w:rFonts w:ascii="Times New Roman" w:hAnsi="Times New Roman"/>
          <w:b w:val="false"/>
          <w:i w:val="false"/>
          <w:caps w:val="false"/>
          <w:smallCaps w:val="false"/>
          <w:sz w:val="13"/>
        </w:rPr>
        <w:t>55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9" w:name="DSPFPageBreak54"/>
      <w:bookmarkStart w:id="570" w:name="DSPFPageBreak54"/>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71" w:name="DSPFPageHeader53"/>
        <w:bookmarkEnd w:id="571"/>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NOTES TO INTERIM CONDENSED CONSOLIDATED FINANCIAL STATEMENTS (continued)</w:t>
      </w:r>
    </w:p>
    <w:p>
      <w:pPr>
        <w:pStyle w:val="TextBody"/>
        <w:spacing w:before="0" w:after="0"/>
        <w:jc w:val="center"/>
        <w:rPr>
          <w:rFonts w:ascii="Times New Roman" w:hAnsi="Times New Roman"/>
          <w:sz w:val="17"/>
        </w:rPr>
      </w:pPr>
      <w:r>
        <w:rPr>
          <w:rFonts w:ascii="Times New Roman" w:hAnsi="Times New Roman"/>
          <w:sz w:val="17"/>
        </w:rPr>
        <w:t>(unaudited)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Management views the disclosed fair values presented above to be final as the one-year measurement period for finalizing acquisition-date fair values has expired.  During this measurement period we had one adjustment to our acquisition date fair values.  During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Goodwill related to this acquisition will not be deductible for tax purposes and consists largely of synergies and cost savings resulting from the combining of the operations of TCSB into ours as well as expansion into a new market.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estimated fair value of the core deposit intangible was $5.8 million and is being amortized over an estimated useful life of 10 years.</w:t>
      </w:r>
    </w:p>
    <w:p>
      <w:pPr>
        <w:pStyle w:val="TextBody"/>
        <w:spacing w:before="0" w:after="0"/>
        <w:rPr/>
      </w:pPr>
      <w:r>
        <w:rPr/>
      </w:r>
    </w:p>
    <w:p>
      <w:pPr>
        <w:pStyle w:val="TextBody"/>
        <w:jc w:val="both"/>
        <w:rPr>
          <w:rFonts w:ascii="Times New Roman" w:hAnsi="Times New Roman"/>
          <w:sz w:val="17"/>
        </w:rPr>
      </w:pPr>
      <w:r>
        <w:rPr>
          <w:rFonts w:ascii="Times New Roman" w:hAnsi="Times New Roman"/>
          <w:sz w:val="17"/>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2" w:name="DSPFPageBreakArea55"/>
      <w:bookmarkStart w:id="573" w:name="DSPFPageBreakArea55"/>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74" w:name="DSPFPageNumber55"/>
      <w:bookmarkStart w:id="575" w:name="DSPFPageNumberArea54"/>
      <w:bookmarkEnd w:id="574"/>
      <w:bookmarkEnd w:id="575"/>
      <w:r>
        <w:rPr>
          <w:rFonts w:ascii="Times New Roman" w:hAnsi="Times New Roman"/>
          <w:b w:val="false"/>
          <w:i w:val="false"/>
          <w:caps w:val="false"/>
          <w:smallCaps w:val="false"/>
          <w:sz w:val="13"/>
        </w:rPr>
        <w:t>56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6" w:name="DSPFPageBreak55"/>
      <w:bookmarkStart w:id="577" w:name="DSPFPageBreak55"/>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78" w:name="DSPFPageHeader54"/>
        <w:bookmarkEnd w:id="57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17"/>
        </w:rPr>
      </w:pPr>
      <w:r>
        <w:rPr>
          <w:rFonts w:ascii="Times New Roman" w:hAnsi="Times New Roman"/>
          <w:b/>
          <w:sz w:val="17"/>
        </w:rPr>
        <w:t>ITEM 2.</w:t>
      </w:r>
    </w:p>
    <w:p>
      <w:pPr>
        <w:pStyle w:val="TextBody"/>
        <w:spacing w:before="0" w:after="0"/>
        <w:rPr/>
      </w:pPr>
      <w:r>
        <w:rPr/>
      </w:r>
    </w:p>
    <w:p>
      <w:pPr>
        <w:pStyle w:val="TextBody"/>
        <w:spacing w:before="0" w:after="0"/>
        <w:jc w:val="center"/>
        <w:rPr>
          <w:rFonts w:ascii="Times New Roman" w:hAnsi="Times New Roman"/>
          <w:b/>
          <w:caps w:val="false"/>
          <w:smallCaps w:val="false"/>
          <w:sz w:val="17"/>
        </w:rPr>
      </w:pPr>
      <w:bookmarkStart w:id="579" w:name="ManagementsDiscussionandA"/>
      <w:bookmarkEnd w:id="579"/>
      <w:r>
        <w:rPr>
          <w:rFonts w:ascii="Times New Roman" w:hAnsi="Times New Roman"/>
          <w:b/>
          <w:caps w:val="false"/>
          <w:smallCaps w:val="false"/>
          <w:sz w:val="17"/>
        </w:rPr>
        <w:t>Management’s Discussion and Analysis</w:t>
      </w:r>
    </w:p>
    <w:p>
      <w:pPr>
        <w:pStyle w:val="TextBody"/>
        <w:spacing w:before="0" w:after="0"/>
        <w:jc w:val="center"/>
        <w:rPr>
          <w:rFonts w:ascii="Times New Roman" w:hAnsi="Times New Roman"/>
          <w:b/>
          <w:caps w:val="false"/>
          <w:smallCaps w:val="false"/>
          <w:sz w:val="17"/>
        </w:rPr>
      </w:pPr>
      <w:r>
        <w:rPr>
          <w:rFonts w:ascii="Times New Roman" w:hAnsi="Times New Roman"/>
          <w:b/>
          <w:caps w:val="false"/>
          <w:smallCaps w:val="false"/>
          <w:sz w:val="17"/>
        </w:rPr>
        <w:t>of Financial Condition and Results of Operations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Introduction</w:t>
      </w:r>
      <w:r>
        <w:rPr>
          <w:rFonts w:ascii="Times New Roman" w:hAnsi="Times New Roman"/>
          <w:sz w:val="17"/>
        </w:rPr>
        <w:t>. The following section presents additional information to assess the financial condition and results of operations of Independent Bank Corporation (“IBCP”), its wholly-owned bank, Independent Bank (the “Bank”), and their subsidiaries. This section should be read in conjunction with the Condensed Consolidated Financial Statements. We also encourage you to read our 2018 Annual Report on Form 10-K filed with the U.S. Securities and Exchange Commission (“SEC”). That report includes a list of risk factors that you should consider in connection with any decision to buy or sell our securities.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Overview</w:t>
      </w:r>
      <w:r>
        <w:rPr>
          <w:rFonts w:ascii="Times New Roman" w:hAnsi="Times New Roman"/>
          <w:sz w:val="17"/>
        </w:rPr>
        <w:t>. We provide banking services to customers located primarily in Michigan’s Lower Peninsula.  We also have two loan production offices in Ohio (Columbus and Fairlawn).  As a result, our success depends to a great extent upon the economic conditions in Michigan’s Lower Peninsula. At times, we have experienced a difficult economy in Michigan. Economic conditions in Michigan began to show signs of improvement during 2010.  Generally, these improvements have continued into 2019, albeit at an uneven pace.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pStyle w:val="TextBody"/>
        <w:spacing w:before="0" w:after="0"/>
        <w:ind w:left="0" w:right="0" w:firstLine="540"/>
        <w:jc w:val="both"/>
        <w:rPr/>
      </w:pPr>
      <w:r>
        <w:rPr/>
      </w:r>
    </w:p>
    <w:p>
      <w:pPr>
        <w:pStyle w:val="TextBody"/>
        <w:spacing w:before="0" w:after="0"/>
        <w:ind w:left="0" w:right="100" w:hanging="0"/>
        <w:jc w:val="both"/>
        <w:rPr>
          <w:rFonts w:ascii="Times New Roman" w:hAnsi="Times New Roman"/>
          <w:sz w:val="17"/>
        </w:rPr>
      </w:pPr>
      <w:r>
        <w:rPr>
          <w:rFonts w:ascii="Times New Roman" w:hAnsi="Times New Roman"/>
          <w:b/>
          <w:sz w:val="17"/>
        </w:rPr>
        <w:t>Recent Developments</w:t>
      </w:r>
      <w:r>
        <w:rPr>
          <w:rFonts w:ascii="Times New Roman" w:hAnsi="Times New Roman"/>
          <w:sz w:val="17"/>
        </w:rPr>
        <w:t>. 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 See note #17.</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It is against this backdrop that we discuss our results of operations and financial condition in the first quarter of 2019 as compared to 2018.</w:t>
      </w:r>
    </w:p>
    <w:p>
      <w:pPr>
        <w:pStyle w:val="TextBody"/>
        <w:spacing w:before="0" w:after="0"/>
        <w:rPr/>
      </w:pPr>
      <w:r>
        <w:rPr/>
      </w:r>
    </w:p>
    <w:p>
      <w:pPr>
        <w:pStyle w:val="TextBody"/>
        <w:spacing w:before="0" w:after="0"/>
        <w:jc w:val="center"/>
        <w:rPr>
          <w:rFonts w:ascii="Times New Roman" w:hAnsi="Times New Roman"/>
          <w:b/>
          <w:caps w:val="false"/>
          <w:smallCaps w:val="false"/>
          <w:sz w:val="17"/>
        </w:rPr>
      </w:pPr>
      <w:r>
        <w:rPr>
          <w:rFonts w:ascii="Times New Roman" w:hAnsi="Times New Roman"/>
          <w:b/>
          <w:caps w:val="false"/>
          <w:smallCaps w:val="false"/>
          <w:sz w:val="17"/>
        </w:rPr>
        <w:t>Results of Operations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Summary.  </w:t>
      </w:r>
      <w:r>
        <w:rPr>
          <w:rFonts w:ascii="Times New Roman" w:hAnsi="Times New Roman"/>
          <w:sz w:val="17"/>
        </w:rPr>
        <w:t>We recorded net income of $9.4 million during the three months ended March 31, 2019, compared to net income of $9.2 million during the three months ended March 31, 2018. The increase in net income is primarily due to an increase in net interest income that was partially offset by a decrease in non-interest income and increases in the provision for loan losses, non-interest expense and income tax expense.</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0" w:name="DSPFPageBreakArea56"/>
      <w:bookmarkStart w:id="581" w:name="DSPFPageBreakArea56"/>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82" w:name="DSPFPageNumber56"/>
      <w:bookmarkStart w:id="583" w:name="DSPFPageNumberArea55"/>
      <w:bookmarkEnd w:id="582"/>
      <w:bookmarkEnd w:id="583"/>
      <w:r>
        <w:rPr>
          <w:rFonts w:ascii="Times New Roman" w:hAnsi="Times New Roman"/>
          <w:b w:val="false"/>
          <w:i w:val="false"/>
          <w:caps w:val="false"/>
          <w:smallCaps w:val="false"/>
          <w:sz w:val="13"/>
        </w:rPr>
        <w:t>57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4" w:name="DSPFPageBreak56"/>
      <w:bookmarkStart w:id="585" w:name="DSPFPageBreak56"/>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86" w:name="DSPFPageHeader55"/>
        <w:bookmarkEnd w:id="58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b/>
          <w:sz w:val="17"/>
        </w:rPr>
      </w:pPr>
      <w:r>
        <w:rPr>
          <w:rFonts w:ascii="Times New Roman" w:hAnsi="Times New Roman"/>
          <w:b/>
          <w:sz w:val="17"/>
        </w:rPr>
        <w:t>Key performance ratios</w:t>
      </w:r>
    </w:p>
    <w:p>
      <w:pPr>
        <w:pStyle w:val="TextBody"/>
        <w:spacing w:before="0" w:after="0"/>
        <w:rPr/>
      </w:pPr>
      <w:r>
        <w:rPr/>
      </w:r>
    </w:p>
    <w:p>
      <w:pPr>
        <w:pStyle w:val="Normal"/>
        <w:spacing w:before="0" w:after="0"/>
        <w:rPr>
          <w:sz w:val="4"/>
          <w:szCs w:val="4"/>
        </w:rPr>
      </w:pPr>
      <w:r>
        <w:rPr>
          <w:sz w:val="4"/>
          <w:szCs w:val="4"/>
        </w:rPr>
      </w:r>
      <w:bookmarkStart w:id="587" w:name="z6c4b6db3b59c4288a15a5b2f398bdb61"/>
      <w:bookmarkStart w:id="588" w:name="z6c4b6db3b59c4288a15a5b2f398bdb61"/>
      <w:bookmarkEnd w:id="588"/>
    </w:p>
    <w:tbl>
      <w:tblPr>
        <w:tblW w:w="4515" w:type="dxa"/>
        <w:jc w:val="left"/>
        <w:tblInd w:w="0" w:type="dxa"/>
        <w:tblCellMar>
          <w:top w:w="0" w:type="dxa"/>
          <w:left w:w="0" w:type="dxa"/>
          <w:bottom w:w="0" w:type="dxa"/>
          <w:right w:w="0" w:type="dxa"/>
        </w:tblCellMar>
      </w:tblPr>
      <w:tblGrid>
        <w:gridCol w:w="2735"/>
        <w:gridCol w:w="60"/>
        <w:gridCol w:w="110"/>
        <w:gridCol w:w="425"/>
        <w:gridCol w:w="155"/>
        <w:gridCol w:w="60"/>
        <w:gridCol w:w="110"/>
        <w:gridCol w:w="425"/>
        <w:gridCol w:w="435"/>
      </w:tblGrid>
      <w:tr>
        <w:trPr/>
        <w:tc>
          <w:tcPr>
            <w:tcW w:w="2735" w:type="dxa"/>
            <w:tcBorders/>
            <w:shd w:fill="auto" w:val="clear"/>
            <w:vAlign w:val="bottom"/>
          </w:tcPr>
          <w:p>
            <w:pPr>
              <w:pStyle w:val="TableContents"/>
              <w:spacing w:before="0" w:after="283"/>
              <w:ind w:left="0" w:right="0" w:firstLine="540"/>
              <w:rPr/>
            </w:pPr>
            <w:r>
              <w:rPr/>
              <w:t> </w:t>
            </w:r>
          </w:p>
        </w:tc>
        <w:tc>
          <w:tcPr>
            <w:tcW w:w="60" w:type="dxa"/>
            <w:tcBorders/>
            <w:shd w:fill="auto" w:val="clear"/>
            <w:vAlign w:val="bottom"/>
          </w:tcPr>
          <w:p>
            <w:pPr>
              <w:pStyle w:val="TableContents"/>
              <w:spacing w:before="0" w:after="283"/>
              <w:rPr/>
            </w:pPr>
            <w:r>
              <w:rPr/>
              <w:t> </w:t>
            </w:r>
          </w:p>
        </w:tc>
        <w:tc>
          <w:tcPr>
            <w:tcW w:w="128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w:t>
            </w:r>
          </w:p>
          <w:p>
            <w:pPr>
              <w:pStyle w:val="TableContents"/>
              <w:spacing w:before="0" w:after="0"/>
              <w:jc w:val="center"/>
              <w:rPr>
                <w:rFonts w:ascii="Times New Roman" w:hAnsi="Times New Roman"/>
                <w:sz w:val="17"/>
              </w:rPr>
            </w:pPr>
            <w:r>
              <w:rPr>
                <w:rFonts w:ascii="Times New Roman" w:hAnsi="Times New Roman"/>
                <w:sz w:val="17"/>
              </w:rPr>
              <w:t>ended March 31,</w:t>
            </w:r>
          </w:p>
        </w:tc>
        <w:tc>
          <w:tcPr>
            <w:tcW w:w="435" w:type="dxa"/>
            <w:tcBorders/>
            <w:shd w:fill="auto" w:val="clear"/>
            <w:vAlign w:val="bottom"/>
          </w:tcPr>
          <w:p>
            <w:pPr>
              <w:pStyle w:val="TableContents"/>
              <w:spacing w:before="0" w:after="283"/>
              <w:ind w:left="0" w:right="0" w:firstLine="360"/>
              <w:jc w:val="left"/>
              <w:rPr/>
            </w:pPr>
            <w:r>
              <w:rPr/>
              <w:t> </w:t>
            </w:r>
          </w:p>
        </w:tc>
      </w:tr>
      <w:tr>
        <w:trPr/>
        <w:tc>
          <w:tcPr>
            <w:tcW w:w="27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435" w:type="dxa"/>
            <w:tcBorders/>
            <w:shd w:fill="auto" w:val="clear"/>
            <w:vAlign w:val="bottom"/>
          </w:tcPr>
          <w:p>
            <w:pPr>
              <w:pStyle w:val="TableContents"/>
              <w:spacing w:before="0" w:after="283"/>
              <w:jc w:val="left"/>
              <w:rPr/>
            </w:pPr>
            <w:r>
              <w:rPr/>
              <w:t> </w:t>
            </w:r>
          </w:p>
        </w:tc>
      </w:tr>
      <w:tr>
        <w:trPr/>
        <w:tc>
          <w:tcPr>
            <w:tcW w:w="273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income (annualized) to</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Average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1.13</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1.34</w:t>
            </w:r>
          </w:p>
        </w:tc>
        <w:tc>
          <w:tcPr>
            <w:tcW w:w="43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7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Average common shareholders’ equity</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11.14</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14.04</w:t>
            </w:r>
          </w:p>
        </w:tc>
        <w:tc>
          <w:tcPr>
            <w:tcW w:w="435" w:type="dxa"/>
            <w:tcBorders/>
            <w:shd w:fill="FFFFFF" w:val="clear"/>
            <w:vAlign w:val="bottom"/>
          </w:tcPr>
          <w:p>
            <w:pPr>
              <w:pStyle w:val="TableContents"/>
              <w:spacing w:before="0" w:after="283"/>
              <w:ind w:left="180" w:right="0" w:hanging="180"/>
              <w:jc w:val="left"/>
              <w:rPr/>
            </w:pPr>
            <w:r>
              <w:rPr/>
              <w:t> </w:t>
            </w:r>
          </w:p>
        </w:tc>
      </w:tr>
      <w:tr>
        <w:trPr/>
        <w:tc>
          <w:tcPr>
            <w:tcW w:w="27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425" w:type="dxa"/>
            <w:tcBorders/>
            <w:shd w:fill="CCEEFF" w:val="clear"/>
            <w:vAlign w:val="bottom"/>
          </w:tcPr>
          <w:p>
            <w:pPr>
              <w:pStyle w:val="TableContents"/>
              <w:spacing w:before="0" w:after="283"/>
              <w:jc w:val="right"/>
              <w:rPr/>
            </w:pPr>
            <w:r>
              <w:rPr/>
              <w:t> </w:t>
            </w:r>
          </w:p>
        </w:tc>
        <w:tc>
          <w:tcPr>
            <w:tcW w:w="435" w:type="dxa"/>
            <w:tcBorders/>
            <w:shd w:fill="CCEEFF" w:val="clear"/>
            <w:vAlign w:val="bottom"/>
          </w:tcPr>
          <w:p>
            <w:pPr>
              <w:pStyle w:val="TableContents"/>
              <w:spacing w:before="0" w:after="283"/>
              <w:jc w:val="left"/>
              <w:rPr/>
            </w:pPr>
            <w:r>
              <w:rPr/>
              <w:t> </w:t>
            </w:r>
          </w:p>
        </w:tc>
      </w:tr>
      <w:tr>
        <w:trPr/>
        <w:tc>
          <w:tcPr>
            <w:tcW w:w="273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income per common share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283"/>
              <w:jc w:val="right"/>
              <w:rPr/>
            </w:pPr>
            <w:r>
              <w:rPr/>
              <w:t> </w:t>
            </w:r>
          </w:p>
        </w:tc>
        <w:tc>
          <w:tcPr>
            <w:tcW w:w="435" w:type="dxa"/>
            <w:tcBorders/>
            <w:shd w:fill="FFFFFF" w:val="clear"/>
            <w:vAlign w:val="bottom"/>
          </w:tcPr>
          <w:p>
            <w:pPr>
              <w:pStyle w:val="TableContents"/>
              <w:spacing w:before="0" w:after="283"/>
              <w:jc w:val="left"/>
              <w:rPr/>
            </w:pPr>
            <w:r>
              <w:rPr/>
              <w:t> </w:t>
            </w:r>
          </w:p>
        </w:tc>
      </w:tr>
      <w:tr>
        <w:trPr/>
        <w:tc>
          <w:tcPr>
            <w:tcW w:w="27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0.40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0.43</w:t>
            </w:r>
          </w:p>
        </w:tc>
        <w:tc>
          <w:tcPr>
            <w:tcW w:w="435" w:type="dxa"/>
            <w:tcBorders/>
            <w:shd w:fill="CCEEFF" w:val="clear"/>
            <w:vAlign w:val="bottom"/>
          </w:tcPr>
          <w:p>
            <w:pPr>
              <w:pStyle w:val="TableContents"/>
              <w:spacing w:before="0" w:after="283"/>
              <w:jc w:val="left"/>
              <w:rPr/>
            </w:pPr>
            <w:r>
              <w:rPr/>
              <w:t> </w:t>
            </w:r>
          </w:p>
        </w:tc>
      </w:tr>
      <w:tr>
        <w:trPr/>
        <w:tc>
          <w:tcPr>
            <w:tcW w:w="27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Diluted</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0.39</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0.42</w:t>
            </w:r>
          </w:p>
        </w:tc>
        <w:tc>
          <w:tcPr>
            <w:tcW w:w="43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Net interest income.</w:t>
      </w:r>
      <w:r>
        <w:rPr>
          <w:rFonts w:ascii="Times New Roman" w:hAnsi="Times New Roman"/>
          <w:sz w:val="17"/>
        </w:rPr>
        <w:t>  Net interest income is the most important source of our earnings and thus is critical in evaluating our 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Net interest income totaled $30.2 million during the first quarter of 2019, which represents a $6.3 million, or 26.3% increase, from the comparable quarter one year earlier.  The increase in net interest income in 2019 compared to 2018 primarily reflects a 17 basis point increase in our tax equivalent net interest income as a percent of average interest-earning assets (the “net interest margin”) as well as an increase in average interest-earning assets.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Total average interest-earning assets were $3.15 billion in the first quarter of 2019 compared to $2.61 billion in the year ago quarter.</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increase in average interest-earning assets primarily reflects the Merger and loan growth utilizing funds from an increase in deposits.  The increase in the net interest margin reflects a change in the mix of average-interest earning assets (higher percentage of loans) as well as increases in short-term market interest rates.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net interest income is also adversely impacted by our level of non-accrual loans.  In the first quarter of 2019 non-accrual loans averaged $9.1 million compared to $7.5 million in the first quarter of 2018.</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9" w:name="DSPFPageBreakArea57"/>
      <w:bookmarkStart w:id="590" w:name="DSPFPageBreakArea57"/>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591" w:name="DSPFPageNumber57"/>
      <w:bookmarkStart w:id="592" w:name="DSPFPageNumberArea56"/>
      <w:bookmarkEnd w:id="591"/>
      <w:bookmarkEnd w:id="592"/>
      <w:r>
        <w:rPr>
          <w:rFonts w:ascii="Times New Roman" w:hAnsi="Times New Roman"/>
          <w:b w:val="false"/>
          <w:i w:val="false"/>
          <w:caps w:val="false"/>
          <w:smallCaps w:val="false"/>
          <w:sz w:val="13"/>
        </w:rPr>
        <w:t>58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3" w:name="DSPFPageBreak57"/>
      <w:bookmarkStart w:id="594" w:name="DSPFPageBreak57"/>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595" w:name="DSPFPageHeader56"/>
        <w:bookmarkEnd w:id="595"/>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17"/>
        </w:rPr>
      </w:pPr>
      <w:r>
        <w:rPr>
          <w:rFonts w:ascii="Times New Roman" w:hAnsi="Times New Roman"/>
          <w:b/>
          <w:sz w:val="17"/>
        </w:rPr>
        <w:t>Average Balances and Tax Equivalent Rates</w:t>
      </w:r>
    </w:p>
    <w:p>
      <w:pPr>
        <w:pStyle w:val="TextBody"/>
        <w:spacing w:before="0" w:after="0"/>
        <w:rPr/>
      </w:pPr>
      <w:r>
        <w:rPr/>
      </w:r>
    </w:p>
    <w:p>
      <w:pPr>
        <w:pStyle w:val="Normal"/>
        <w:spacing w:before="0" w:after="0"/>
        <w:rPr>
          <w:sz w:val="4"/>
          <w:szCs w:val="4"/>
        </w:rPr>
      </w:pPr>
      <w:r>
        <w:rPr>
          <w:sz w:val="4"/>
          <w:szCs w:val="4"/>
        </w:rPr>
      </w:r>
      <w:bookmarkStart w:id="596" w:name="z5bc396f1821540a588cea8b126e245f4"/>
      <w:bookmarkStart w:id="597" w:name="z5bc396f1821540a588cea8b126e245f4"/>
      <w:bookmarkEnd w:id="597"/>
    </w:p>
    <w:tbl>
      <w:tblPr>
        <w:tblW w:w="9740" w:type="dxa"/>
        <w:jc w:val="left"/>
        <w:tblInd w:w="0" w:type="dxa"/>
        <w:tblCellMar>
          <w:top w:w="0" w:type="dxa"/>
          <w:left w:w="0" w:type="dxa"/>
          <w:bottom w:w="0" w:type="dxa"/>
          <w:right w:w="0" w:type="dxa"/>
        </w:tblCellMar>
      </w:tblPr>
      <w:tblGrid>
        <w:gridCol w:w="4715"/>
        <w:gridCol w:w="60"/>
        <w:gridCol w:w="110"/>
        <w:gridCol w:w="740"/>
        <w:gridCol w:w="60"/>
        <w:gridCol w:w="60"/>
        <w:gridCol w:w="110"/>
        <w:gridCol w:w="515"/>
        <w:gridCol w:w="60"/>
        <w:gridCol w:w="60"/>
        <w:gridCol w:w="87"/>
        <w:gridCol w:w="488"/>
        <w:gridCol w:w="155"/>
        <w:gridCol w:w="60"/>
        <w:gridCol w:w="110"/>
        <w:gridCol w:w="740"/>
        <w:gridCol w:w="60"/>
        <w:gridCol w:w="60"/>
        <w:gridCol w:w="110"/>
        <w:gridCol w:w="515"/>
        <w:gridCol w:w="60"/>
        <w:gridCol w:w="60"/>
        <w:gridCol w:w="87"/>
        <w:gridCol w:w="488"/>
        <w:gridCol w:w="170"/>
      </w:tblGrid>
      <w:tr>
        <w:trPr/>
        <w:tc>
          <w:tcPr>
            <w:tcW w:w="4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5"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170" w:type="dxa"/>
            <w:tcBorders/>
            <w:shd w:fill="auto" w:val="clear"/>
            <w:vAlign w:val="bottom"/>
          </w:tcPr>
          <w:p>
            <w:pPr>
              <w:pStyle w:val="TableContents"/>
              <w:spacing w:before="0" w:after="283"/>
              <w:jc w:val="left"/>
              <w:rPr/>
            </w:pPr>
            <w:r>
              <w:rPr/>
              <w:t> </w:t>
            </w:r>
          </w:p>
        </w:tc>
      </w:tr>
      <w:tr>
        <w:trPr/>
        <w:tc>
          <w:tcPr>
            <w:tcW w:w="4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r>
      <w:tr>
        <w:trPr/>
        <w:tc>
          <w:tcPr>
            <w:tcW w:w="4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Interest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rFonts w:ascii="Times New Roman" w:hAnsi="Times New Roman"/>
                <w:sz w:val="17"/>
              </w:rPr>
            </w:pPr>
            <w:r>
              <w:rPr>
                <w:rFonts w:ascii="Times New Roman" w:hAnsi="Times New Roman"/>
                <w:sz w:val="17"/>
              </w:rPr>
              <w:t>Rate (2)</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Average</w:t>
            </w:r>
          </w:p>
          <w:p>
            <w:pPr>
              <w:pStyle w:val="TableContents"/>
              <w:spacing w:before="0" w:after="0"/>
              <w:jc w:val="center"/>
              <w:rPr>
                <w:rFonts w:ascii="Times New Roman" w:hAnsi="Times New Roman"/>
                <w:sz w:val="17"/>
              </w:rPr>
            </w:pPr>
            <w:r>
              <w:rPr>
                <w:rFonts w:ascii="Times New Roman" w:hAnsi="Times New Roman"/>
                <w:sz w:val="17"/>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Interest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rFonts w:ascii="Times New Roman" w:hAnsi="Times New Roman"/>
                <w:sz w:val="17"/>
              </w:rPr>
            </w:pPr>
            <w:r>
              <w:rPr>
                <w:rFonts w:ascii="Times New Roman" w:hAnsi="Times New Roman"/>
                <w:sz w:val="17"/>
              </w:rPr>
              <w:t>Rate (2)</w:t>
            </w:r>
          </w:p>
        </w:tc>
        <w:tc>
          <w:tcPr>
            <w:tcW w:w="170" w:type="dxa"/>
            <w:tcBorders/>
            <w:shd w:fill="auto" w:val="clear"/>
            <w:vAlign w:val="bottom"/>
          </w:tcPr>
          <w:p>
            <w:pPr>
              <w:pStyle w:val="TableContents"/>
              <w:spacing w:before="0" w:after="283"/>
              <w:ind w:left="180" w:right="0" w:hanging="180"/>
              <w:jc w:val="left"/>
              <w:rPr/>
            </w:pPr>
            <w:r>
              <w:rPr/>
              <w:t> </w:t>
            </w:r>
          </w:p>
        </w:tc>
      </w:tr>
      <w:tr>
        <w:trPr/>
        <w:tc>
          <w:tcPr>
            <w:tcW w:w="4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5" w:type="dxa"/>
            <w:gridSpan w:val="22"/>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170" w:type="dxa"/>
            <w:tcBorders/>
            <w:shd w:fill="auto" w:val="clear"/>
            <w:vAlign w:val="bottom"/>
          </w:tcPr>
          <w:p>
            <w:pPr>
              <w:pStyle w:val="TableContents"/>
              <w:spacing w:before="0" w:after="283"/>
              <w:jc w:val="left"/>
              <w:rPr/>
            </w:pPr>
            <w:r>
              <w:rPr/>
              <w:t> </w:t>
            </w:r>
          </w:p>
        </w:tc>
      </w:tr>
      <w:tr>
        <w:trPr/>
        <w:tc>
          <w:tcPr>
            <w:tcW w:w="471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Assets</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Taxable loans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2,613,182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32,600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5.03</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2,060,720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23,339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4.57</w:t>
            </w:r>
          </w:p>
        </w:tc>
        <w:tc>
          <w:tcPr>
            <w:tcW w:w="1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715" w:type="dxa"/>
            <w:tcBorders/>
            <w:shd w:fill="FFFFFF" w:val="clear"/>
            <w:vAlign w:val="bottom"/>
          </w:tcPr>
          <w:p>
            <w:pPr>
              <w:pStyle w:val="TableContents"/>
              <w:spacing w:lineRule="auto" w:line="240" w:before="0" w:after="0"/>
              <w:ind w:left="180" w:right="0" w:hanging="180"/>
              <w:jc w:val="left"/>
              <w:rPr>
                <w:rFonts w:ascii="Times New Roman" w:hAnsi="Times New Roman"/>
                <w:sz w:val="17"/>
              </w:rPr>
            </w:pPr>
            <w:r>
              <w:rPr>
                <w:rFonts w:ascii="Times New Roman" w:hAnsi="Times New Roman"/>
                <w:sz w:val="17"/>
              </w:rPr>
              <w:t>Tax-exempt loans (1)</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8,689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4.81</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2,127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3.43</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Taxable securities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389,845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3.08</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422,254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2.50</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lineRule="auto" w:line="240" w:before="0" w:after="0"/>
              <w:ind w:left="180" w:right="0" w:hanging="180"/>
              <w:jc w:val="left"/>
              <w:rPr>
                <w:rFonts w:ascii="Times New Roman" w:hAnsi="Times New Roman"/>
                <w:sz w:val="17"/>
              </w:rPr>
            </w:pPr>
            <w:r>
              <w:rPr>
                <w:rFonts w:ascii="Times New Roman" w:hAnsi="Times New Roman"/>
                <w:sz w:val="17"/>
              </w:rPr>
              <w:t>Tax-exempt securities (1)</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56,889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469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3.30</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78,345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3.08</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Interest bearing cash</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65,213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1.93</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32,901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1.01</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investments</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18,359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5.83</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15,543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6.47</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Interest Earning Assets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3,152,177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36,753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4.70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2,611,890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26,925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4.15</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Cash and due from banks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34,240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32,135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assets, net</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170,586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132,961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Total Assets</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3,357,003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2,776,986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ind w:left="180" w:right="0" w:hanging="180"/>
              <w:jc w:val="left"/>
              <w:rPr/>
            </w:pPr>
            <w:r>
              <w:rPr/>
              <w:t> </w:t>
            </w:r>
          </w:p>
        </w:tc>
      </w:tr>
      <w:tr>
        <w:trPr/>
        <w:tc>
          <w:tcPr>
            <w:tcW w:w="47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pPr>
            <w:r>
              <w:rPr>
                <w:rFonts w:ascii="Times New Roman" w:hAnsi="Times New Roman"/>
                <w:sz w:val="17"/>
              </w:rPr>
              <w:t>Savings and interest-</w:t>
            </w:r>
            <w:r>
              <w:rPr/>
              <w:t xml:space="preserve"> </w:t>
            </w:r>
            <w:r>
              <w:rPr>
                <w:rFonts w:ascii="Times New                        Roman" w:hAnsi="Times New                        Roman"/>
                <w:sz w:val="17"/>
              </w:rPr>
              <w:t>bearing checking</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1,361,057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0.44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1,094,981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0.20</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Time deposits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688,434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4,195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2.47</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564,282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1,736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1.25</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borrowings</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66,058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4.37</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64,890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3.59</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Interest Bearing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2,115,549</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6,393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1.23</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1,724,153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2,861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0.67</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Non-interest bearing deposits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859,605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758,643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liabilities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40,257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29,606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r>
      <w:tr>
        <w:trPr/>
        <w:tc>
          <w:tcPr>
            <w:tcW w:w="471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Shareholders’ equity</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341,592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264,584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right"/>
              <w:rPr/>
            </w:pPr>
            <w:r>
              <w:rPr>
                <w:rFonts w:ascii="Times New Roman" w:hAnsi="Times New Roman"/>
                <w:sz w:val="17"/>
              </w:rPr>
              <w:t>Total liabilities and</w:t>
            </w:r>
            <w:r>
              <w:rPr/>
              <w:t xml:space="preserve"> </w:t>
            </w:r>
            <w:r>
              <w:rPr>
                <w:sz w:val="17"/>
              </w:rPr>
              <w:t>shareholders’ equity</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3,357,003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2,776,986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ind w:left="180" w:right="0" w:hanging="180"/>
              <w:jc w:val="left"/>
              <w:rPr/>
            </w:pPr>
            <w:r>
              <w:rPr/>
              <w:t> </w:t>
            </w:r>
          </w:p>
        </w:tc>
      </w:tr>
      <w:tr>
        <w:trPr/>
        <w:tc>
          <w:tcPr>
            <w:tcW w:w="47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Net Interest Income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30,360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24,064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ind w:left="180" w:right="0" w:hanging="180"/>
              <w:jc w:val="left"/>
              <w:rPr/>
            </w:pPr>
            <w:r>
              <w:rPr/>
              <w:t> </w:t>
            </w:r>
          </w:p>
        </w:tc>
      </w:tr>
      <w:tr>
        <w:trPr/>
        <w:tc>
          <w:tcPr>
            <w:tcW w:w="47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r>
      <w:tr>
        <w:trPr/>
        <w:tc>
          <w:tcPr>
            <w:tcW w:w="4715" w:type="dxa"/>
            <w:tcBorders/>
            <w:shd w:fill="FFFFFF" w:val="clear"/>
            <w:vAlign w:val="bottom"/>
          </w:tcPr>
          <w:p>
            <w:pPr>
              <w:pStyle w:val="TableContents"/>
              <w:spacing w:before="0" w:after="0"/>
              <w:ind w:left="180" w:right="0" w:hanging="180"/>
              <w:jc w:val="right"/>
              <w:rPr/>
            </w:pPr>
            <w:r>
              <w:rPr>
                <w:rFonts w:ascii="Times New Roman" w:hAnsi="Times New Roman"/>
                <w:sz w:val="17"/>
              </w:rPr>
              <w:t>Net Interest Income as a Percent</w:t>
            </w:r>
            <w:r>
              <w:rPr/>
              <w:t xml:space="preserve"> </w:t>
            </w:r>
            <w:r>
              <w:rPr>
                <w:rFonts w:ascii="Times                        New Roman" w:hAnsi="Times                        New Roman"/>
                <w:sz w:val="17"/>
              </w:rPr>
              <w:t>of Average Interest Earning Assets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4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3.88</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8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488"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3.71</w:t>
            </w:r>
          </w:p>
        </w:tc>
        <w:tc>
          <w:tcPr>
            <w:tcW w:w="17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598" w:name="z501bb1433bd4431c89aa0006ae88ccd7"/>
      <w:bookmarkStart w:id="599" w:name="z501bb1433bd4431c89aa0006ae88ccd7"/>
      <w:bookmarkEnd w:id="599"/>
    </w:p>
    <w:tbl>
      <w:tblPr>
        <w:tblW w:w="8815" w:type="dxa"/>
        <w:jc w:val="left"/>
        <w:tblInd w:w="0" w:type="dxa"/>
        <w:tblCellMar>
          <w:top w:w="0" w:type="dxa"/>
          <w:left w:w="0" w:type="dxa"/>
          <w:bottom w:w="0" w:type="dxa"/>
          <w:right w:w="0" w:type="dxa"/>
        </w:tblCellMar>
      </w:tblPr>
      <w:tblGrid>
        <w:gridCol w:w="245"/>
        <w:gridCol w:w="857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(1)</w:t>
            </w:r>
          </w:p>
        </w:tc>
        <w:tc>
          <w:tcPr>
            <w:tcW w:w="857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Interest on tax-exempt loans and securities is presented on a fully tax equivalent basis assuming a marginal tax rate of 21%.</w:t>
            </w:r>
          </w:p>
        </w:tc>
      </w:tr>
    </w:tbl>
    <w:p>
      <w:pPr>
        <w:pStyle w:val="Normal"/>
        <w:spacing w:before="0" w:after="0"/>
        <w:rPr>
          <w:sz w:val="4"/>
          <w:szCs w:val="4"/>
        </w:rPr>
      </w:pPr>
      <w:r>
        <w:rPr>
          <w:sz w:val="4"/>
          <w:szCs w:val="4"/>
        </w:rPr>
      </w:r>
      <w:bookmarkStart w:id="600" w:name="zec2b2d5e754a4601b83c506348f91298"/>
      <w:bookmarkStart w:id="601" w:name="zec2b2d5e754a4601b83c506348f91298"/>
      <w:bookmarkEnd w:id="601"/>
    </w:p>
    <w:tbl>
      <w:tblPr>
        <w:tblW w:w="1075" w:type="dxa"/>
        <w:jc w:val="left"/>
        <w:tblInd w:w="0" w:type="dxa"/>
        <w:tblCellMar>
          <w:top w:w="0" w:type="dxa"/>
          <w:left w:w="0" w:type="dxa"/>
          <w:bottom w:w="0" w:type="dxa"/>
          <w:right w:w="0" w:type="dxa"/>
        </w:tblCellMar>
      </w:tblPr>
      <w:tblGrid>
        <w:gridCol w:w="245"/>
        <w:gridCol w:w="830"/>
      </w:tblGrid>
      <w:tr>
        <w:trPr/>
        <w:tc>
          <w:tcPr>
            <w:tcW w:w="24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(2)</w:t>
            </w:r>
          </w:p>
        </w:tc>
        <w:tc>
          <w:tcPr>
            <w:tcW w:w="83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Annualized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02" w:name="DSPFPageBreakArea58"/>
      <w:bookmarkStart w:id="603" w:name="DSPFPageBreakArea58"/>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04" w:name="DSPFPageNumber58"/>
      <w:bookmarkStart w:id="605" w:name="DSPFPageNumberArea57"/>
      <w:bookmarkEnd w:id="604"/>
      <w:bookmarkEnd w:id="605"/>
      <w:r>
        <w:rPr>
          <w:rFonts w:ascii="Times New Roman" w:hAnsi="Times New Roman"/>
          <w:b w:val="false"/>
          <w:i w:val="false"/>
          <w:caps w:val="false"/>
          <w:smallCaps w:val="false"/>
          <w:sz w:val="13"/>
        </w:rPr>
        <w:t>59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6" w:name="DSPFPageBreak58"/>
      <w:bookmarkStart w:id="607" w:name="DSPFPageBreak58"/>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08" w:name="DSPFPageHeader57"/>
        <w:bookmarkEnd w:id="60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17"/>
        </w:rPr>
      </w:pPr>
      <w:r>
        <w:rPr>
          <w:rFonts w:ascii="Times New Roman" w:hAnsi="Times New Roman"/>
          <w:b/>
          <w:sz w:val="17"/>
        </w:rPr>
        <w:t>Reconciliation of Non-GAAP Financial Measures</w:t>
      </w:r>
    </w:p>
    <w:p>
      <w:pPr>
        <w:pStyle w:val="TextBody"/>
        <w:spacing w:before="0" w:after="0"/>
        <w:rPr/>
      </w:pPr>
      <w:r>
        <w:rPr/>
      </w:r>
    </w:p>
    <w:p>
      <w:pPr>
        <w:pStyle w:val="Normal"/>
        <w:spacing w:before="0" w:after="0"/>
        <w:rPr>
          <w:sz w:val="4"/>
          <w:szCs w:val="4"/>
        </w:rPr>
      </w:pPr>
      <w:r>
        <w:rPr>
          <w:sz w:val="4"/>
          <w:szCs w:val="4"/>
        </w:rPr>
      </w:r>
      <w:bookmarkStart w:id="609" w:name="z98ec709938d44413bc75b35a008fd6ef"/>
      <w:bookmarkStart w:id="610" w:name="z98ec709938d44413bc75b35a008fd6ef"/>
      <w:bookmarkEnd w:id="610"/>
    </w:p>
    <w:tbl>
      <w:tblPr>
        <w:tblW w:w="5820" w:type="dxa"/>
        <w:jc w:val="left"/>
        <w:tblInd w:w="0" w:type="dxa"/>
        <w:tblCellMar>
          <w:top w:w="0" w:type="dxa"/>
          <w:left w:w="0" w:type="dxa"/>
          <w:bottom w:w="0" w:type="dxa"/>
          <w:right w:w="0" w:type="dxa"/>
        </w:tblCellMar>
      </w:tblPr>
      <w:tblGrid>
        <w:gridCol w:w="4055"/>
        <w:gridCol w:w="60"/>
        <w:gridCol w:w="115"/>
        <w:gridCol w:w="544"/>
        <w:gridCol w:w="163"/>
        <w:gridCol w:w="63"/>
        <w:gridCol w:w="115"/>
        <w:gridCol w:w="550"/>
        <w:gridCol w:w="155"/>
      </w:tblGrid>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155" w:type="dxa"/>
            <w:tcBorders/>
            <w:shd w:fill="auto" w:val="clear"/>
            <w:vAlign w:val="bottom"/>
          </w:tcPr>
          <w:p>
            <w:pPr>
              <w:pStyle w:val="TableContents"/>
              <w:spacing w:before="0" w:after="283"/>
              <w:jc w:val="left"/>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155" w:type="dxa"/>
            <w:tcBorders/>
            <w:shd w:fill="auto" w:val="clear"/>
            <w:vAlign w:val="bottom"/>
          </w:tcPr>
          <w:p>
            <w:pPr>
              <w:pStyle w:val="TableContents"/>
              <w:spacing w:before="0" w:after="283"/>
              <w:jc w:val="left"/>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155" w:type="dxa"/>
            <w:tcBorders/>
            <w:shd w:fill="auto" w:val="clear"/>
            <w:vAlign w:val="bottom"/>
          </w:tcPr>
          <w:p>
            <w:pPr>
              <w:pStyle w:val="TableContents"/>
              <w:spacing w:before="0" w:after="283"/>
              <w:jc w:val="left"/>
              <w:rPr/>
            </w:pPr>
            <w:r>
              <w:rPr/>
              <w:t> </w:t>
            </w:r>
          </w:p>
        </w:tc>
      </w:tr>
      <w:tr>
        <w:trPr/>
        <w:tc>
          <w:tcPr>
            <w:tcW w:w="4055" w:type="dxa"/>
            <w:tcBorders/>
            <w:shd w:fill="auto" w:val="clear"/>
            <w:vAlign w:val="bottom"/>
          </w:tcPr>
          <w:p>
            <w:pPr>
              <w:pStyle w:val="TableContents"/>
              <w:spacing w:before="0" w:after="0"/>
              <w:ind w:left="180" w:right="0" w:hanging="180"/>
              <w:jc w:val="left"/>
              <w:rPr/>
            </w:pPr>
            <w:r>
              <w:rPr>
                <w:rFonts w:ascii="Times New Roman" w:hAnsi="Times New Roman"/>
                <w:b/>
                <w:sz w:val="17"/>
              </w:rPr>
              <w:t>Net Interest Margin, Fully Taxable</w:t>
            </w:r>
            <w:r>
              <w:rPr/>
              <w:t xml:space="preserve"> </w:t>
            </w:r>
            <w:r>
              <w:rPr>
                <w:rFonts w:ascii="Times New Roman" w:hAnsi="Times New Roman"/>
                <w:b/>
                <w:sz w:val="17"/>
              </w:rPr>
              <w:t>Equivalent (“FTE”)</w:t>
            </w:r>
          </w:p>
        </w:tc>
        <w:tc>
          <w:tcPr>
            <w:tcW w:w="60" w:type="dxa"/>
            <w:tcBorders/>
            <w:shd w:fill="auto" w:val="clear"/>
            <w:vAlign w:val="bottom"/>
          </w:tcPr>
          <w:p>
            <w:pPr>
              <w:pStyle w:val="TableContents"/>
              <w:spacing w:before="0" w:after="283"/>
              <w:rPr/>
            </w:pPr>
            <w:r>
              <w:rPr/>
              <w:t> </w:t>
            </w:r>
          </w:p>
        </w:tc>
        <w:tc>
          <w:tcPr>
            <w:tcW w:w="659" w:type="dxa"/>
            <w:gridSpan w:val="2"/>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ind w:left="180" w:right="0" w:hanging="180"/>
              <w:jc w:val="left"/>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9" w:type="dxa"/>
            <w:gridSpan w:val="2"/>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r>
      <w:tr>
        <w:trPr/>
        <w:tc>
          <w:tcPr>
            <w:tcW w:w="405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interest income</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30,243</w:t>
            </w:r>
          </w:p>
        </w:tc>
        <w:tc>
          <w:tcPr>
            <w:tcW w:w="1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23,936</w:t>
            </w:r>
          </w:p>
        </w:tc>
        <w:tc>
          <w:tcPr>
            <w:tcW w:w="155" w:type="dxa"/>
            <w:tcBorders/>
            <w:shd w:fill="CCEEFF" w:val="clear"/>
            <w:vAlign w:val="bottom"/>
          </w:tcPr>
          <w:p>
            <w:pPr>
              <w:pStyle w:val="TableContents"/>
              <w:spacing w:before="0" w:after="283"/>
              <w:jc w:val="left"/>
              <w:rPr/>
            </w:pPr>
            <w:r>
              <w:rPr/>
              <w:t> </w:t>
            </w:r>
          </w:p>
        </w:tc>
      </w:tr>
      <w:tr>
        <w:trPr/>
        <w:tc>
          <w:tcPr>
            <w:tcW w:w="405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Add:  taxable equivalent adjustment</w:t>
            </w:r>
          </w:p>
        </w:tc>
        <w:tc>
          <w:tcPr>
            <w:tcW w:w="60" w:type="dxa"/>
            <w:tcBorders/>
            <w:shd w:fill="FFFFFF" w:val="clear"/>
            <w:vAlign w:val="bottom"/>
          </w:tcPr>
          <w:p>
            <w:pPr>
              <w:pStyle w:val="TableContents"/>
              <w:spacing w:before="0" w:after="283"/>
              <w:rPr/>
            </w:pPr>
            <w:r>
              <w:rPr/>
              <w:t> </w:t>
            </w:r>
          </w:p>
        </w:tc>
        <w:tc>
          <w:tcPr>
            <w:tcW w:w="11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117</w:t>
            </w:r>
          </w:p>
        </w:tc>
        <w:tc>
          <w:tcPr>
            <w:tcW w:w="1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128</w:t>
            </w:r>
          </w:p>
        </w:tc>
        <w:tc>
          <w:tcPr>
            <w:tcW w:w="155" w:type="dxa"/>
            <w:tcBorders/>
            <w:shd w:fill="FFFFFF" w:val="clear"/>
            <w:vAlign w:val="bottom"/>
          </w:tcPr>
          <w:p>
            <w:pPr>
              <w:pStyle w:val="TableContents"/>
              <w:spacing w:before="0" w:after="283"/>
              <w:jc w:val="left"/>
              <w:rPr/>
            </w:pPr>
            <w:r>
              <w:rPr/>
              <w:t> </w:t>
            </w:r>
          </w:p>
        </w:tc>
      </w:tr>
      <w:tr>
        <w:trPr/>
        <w:tc>
          <w:tcPr>
            <w:tcW w:w="405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interest income - taxable equivalent</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30,360</w:t>
            </w:r>
          </w:p>
        </w:tc>
        <w:tc>
          <w:tcPr>
            <w:tcW w:w="1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24,064</w:t>
            </w:r>
          </w:p>
        </w:tc>
        <w:tc>
          <w:tcPr>
            <w:tcW w:w="155" w:type="dxa"/>
            <w:tcBorders/>
            <w:shd w:fill="CCEEFF" w:val="clear"/>
            <w:vAlign w:val="bottom"/>
          </w:tcPr>
          <w:p>
            <w:pPr>
              <w:pStyle w:val="TableContents"/>
              <w:spacing w:before="0" w:after="283"/>
              <w:jc w:val="left"/>
              <w:rPr/>
            </w:pPr>
            <w:r>
              <w:rPr/>
              <w:t> </w:t>
            </w:r>
          </w:p>
        </w:tc>
      </w:tr>
      <w:tr>
        <w:trPr/>
        <w:tc>
          <w:tcPr>
            <w:tcW w:w="4055" w:type="dxa"/>
            <w:tcBorders/>
            <w:shd w:fill="FFFFFF" w:val="clear"/>
            <w:vAlign w:val="bottom"/>
          </w:tcPr>
          <w:p>
            <w:pPr>
              <w:pStyle w:val="TableContents"/>
              <w:spacing w:lineRule="auto" w:line="240" w:before="0" w:after="0"/>
              <w:ind w:left="180" w:right="0" w:hanging="180"/>
              <w:jc w:val="left"/>
              <w:rPr>
                <w:rFonts w:ascii="Times New Roman" w:hAnsi="Times New Roman"/>
                <w:sz w:val="17"/>
              </w:rPr>
            </w:pPr>
            <w:r>
              <w:rPr>
                <w:rFonts w:ascii="Times New Roman" w:hAnsi="Times New Roman"/>
                <w:sz w:val="17"/>
              </w:rPr>
              <w:t>Net interest margin (GAAP) (1)</w:t>
            </w:r>
          </w:p>
        </w:tc>
        <w:tc>
          <w:tcPr>
            <w:tcW w:w="60"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4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3.86</w:t>
            </w:r>
          </w:p>
        </w:tc>
        <w:tc>
          <w:tcPr>
            <w:tcW w:w="16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rPr/>
            </w:pPr>
            <w:r>
              <w:rPr/>
              <w:t> </w:t>
            </w:r>
          </w:p>
        </w:tc>
        <w:tc>
          <w:tcPr>
            <w:tcW w:w="11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5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3.69</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055" w:type="dxa"/>
            <w:tcBorders/>
            <w:shd w:fill="CCEEFF" w:val="clear"/>
            <w:vAlign w:val="bottom"/>
          </w:tcPr>
          <w:p>
            <w:pPr>
              <w:pStyle w:val="TableContents"/>
              <w:spacing w:lineRule="auto" w:line="240" w:before="0" w:after="0"/>
              <w:ind w:left="180" w:right="0" w:hanging="180"/>
              <w:jc w:val="left"/>
              <w:rPr>
                <w:rFonts w:ascii="Times New Roman" w:hAnsi="Times New Roman"/>
                <w:sz w:val="17"/>
              </w:rPr>
            </w:pPr>
            <w:r>
              <w:rPr>
                <w:rFonts w:ascii="Times New Roman" w:hAnsi="Times New Roman"/>
                <w:sz w:val="17"/>
              </w:rPr>
              <w:t>Net interest margin (FTE) (1)</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3.88</w:t>
            </w:r>
          </w:p>
        </w:tc>
        <w:tc>
          <w:tcPr>
            <w:tcW w:w="16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3.71</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pStyle w:val="Normal"/>
        <w:spacing w:before="0" w:after="0"/>
        <w:rPr>
          <w:sz w:val="4"/>
          <w:szCs w:val="4"/>
        </w:rPr>
      </w:pPr>
      <w:r>
        <w:rPr>
          <w:sz w:val="4"/>
          <w:szCs w:val="4"/>
        </w:rPr>
      </w:r>
      <w:bookmarkStart w:id="611" w:name="z8853a4d4bad0423c8fec9460a7441851"/>
      <w:bookmarkStart w:id="612" w:name="z8853a4d4bad0423c8fec9460a7441851"/>
      <w:bookmarkEnd w:id="612"/>
    </w:p>
    <w:tbl>
      <w:tblPr>
        <w:tblW w:w="1120" w:type="dxa"/>
        <w:jc w:val="left"/>
        <w:tblInd w:w="0" w:type="dxa"/>
        <w:tblCellMar>
          <w:top w:w="0" w:type="dxa"/>
          <w:left w:w="0" w:type="dxa"/>
          <w:bottom w:w="0" w:type="dxa"/>
          <w:right w:w="0" w:type="dxa"/>
        </w:tblCellMar>
      </w:tblPr>
      <w:tblGrid>
        <w:gridCol w:w="245"/>
        <w:gridCol w:w="875"/>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87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Annualized.</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Provision for loan losses.</w:t>
      </w:r>
      <w:r>
        <w:rPr>
          <w:rFonts w:ascii="Times New Roman" w:hAnsi="Times New Roman"/>
          <w:sz w:val="17"/>
        </w:rPr>
        <w:t>  The provision for loan losses was an expense of $0.7 million and $0.3 million in the first quarters of 2019 and 2018,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first quarter of 2019.</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Non-interest income.  </w:t>
      </w:r>
      <w:r>
        <w:rPr>
          <w:rFonts w:ascii="Times New Roman" w:hAnsi="Times New Roman"/>
          <w:sz w:val="17"/>
        </w:rPr>
        <w:t>Non-interest income is a significant element in assessing our results of operations. Non-interest income totaled $10.0 million and $11.7 million during the first three months of 2019 and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components of non-interest income are as follows:</w:t>
      </w:r>
    </w:p>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Non-Interest Income</w:t>
      </w:r>
    </w:p>
    <w:p>
      <w:pPr>
        <w:pStyle w:val="TextBody"/>
        <w:spacing w:before="0" w:after="0"/>
        <w:rPr/>
      </w:pPr>
      <w:r>
        <w:rPr/>
      </w:r>
    </w:p>
    <w:p>
      <w:pPr>
        <w:pStyle w:val="Normal"/>
        <w:spacing w:before="0" w:after="0"/>
        <w:rPr>
          <w:sz w:val="4"/>
          <w:szCs w:val="4"/>
        </w:rPr>
      </w:pPr>
      <w:r>
        <w:rPr>
          <w:sz w:val="4"/>
          <w:szCs w:val="4"/>
        </w:rPr>
      </w:r>
      <w:bookmarkStart w:id="613" w:name="zcd23003d8c2f43e09ebaf06e6f670370"/>
      <w:bookmarkStart w:id="614" w:name="zcd23003d8c2f43e09ebaf06e6f670370"/>
      <w:bookmarkEnd w:id="614"/>
    </w:p>
    <w:tbl>
      <w:tblPr>
        <w:tblW w:w="4305" w:type="dxa"/>
        <w:jc w:val="left"/>
        <w:tblInd w:w="0" w:type="dxa"/>
        <w:tblCellMar>
          <w:top w:w="0" w:type="dxa"/>
          <w:left w:w="0" w:type="dxa"/>
          <w:bottom w:w="0" w:type="dxa"/>
          <w:right w:w="0" w:type="dxa"/>
        </w:tblCellMar>
      </w:tblPr>
      <w:tblGrid>
        <w:gridCol w:w="2720"/>
        <w:gridCol w:w="60"/>
        <w:gridCol w:w="116"/>
        <w:gridCol w:w="515"/>
        <w:gridCol w:w="85"/>
        <w:gridCol w:w="63"/>
        <w:gridCol w:w="116"/>
        <w:gridCol w:w="550"/>
        <w:gridCol w:w="80"/>
      </w:tblGrid>
      <w:tr>
        <w:trPr/>
        <w:tc>
          <w:tcPr>
            <w:tcW w:w="27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ind w:left="0" w:right="0" w:hanging="360"/>
              <w:jc w:val="center"/>
              <w:rPr>
                <w:rFonts w:ascii="Times New Roman" w:hAnsi="Times New Roman"/>
                <w:sz w:val="17"/>
              </w:rPr>
            </w:pPr>
            <w:r>
              <w:rPr>
                <w:rFonts w:ascii="Times New Roman" w:hAnsi="Times New Roman"/>
                <w:sz w:val="17"/>
              </w:rPr>
              <w:t>Three months ended</w:t>
              <w:br/>
              <w:t>March 31,</w:t>
            </w:r>
          </w:p>
        </w:tc>
        <w:tc>
          <w:tcPr>
            <w:tcW w:w="80" w:type="dxa"/>
            <w:tcBorders/>
            <w:shd w:fill="auto" w:val="clear"/>
            <w:vAlign w:val="bottom"/>
          </w:tcPr>
          <w:p>
            <w:pPr>
              <w:pStyle w:val="TableContents"/>
              <w:spacing w:before="0" w:after="283"/>
              <w:jc w:val="left"/>
              <w:rPr/>
            </w:pPr>
            <w:r>
              <w:rPr/>
              <w:t> </w:t>
            </w:r>
          </w:p>
        </w:tc>
      </w:tr>
      <w:tr>
        <w:trPr/>
        <w:tc>
          <w:tcPr>
            <w:tcW w:w="27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1" w:type="dxa"/>
            <w:gridSpan w:val="2"/>
            <w:tcBorders>
              <w:bottom w:val="single" w:sz="12" w:space="0" w:color="000000"/>
            </w:tcBorders>
            <w:shd w:fill="auto" w:val="clear"/>
            <w:tcMar>
              <w:bottom w:w="28" w:type="dxa"/>
            </w:tcMar>
            <w:vAlign w:val="bottom"/>
          </w:tcPr>
          <w:p>
            <w:pPr>
              <w:pStyle w:val="TableContents"/>
              <w:spacing w:before="0" w:after="0"/>
              <w:ind w:left="0" w:right="0" w:hanging="360"/>
              <w:jc w:val="center"/>
              <w:rPr>
                <w:rFonts w:ascii="Times New Roman" w:hAnsi="Times New Roman"/>
                <w:sz w:val="17"/>
              </w:rPr>
            </w:pPr>
            <w:r>
              <w:rPr>
                <w:rFonts w:ascii="Times New Roman" w:hAnsi="Times New Roman"/>
                <w:sz w:val="17"/>
              </w:rPr>
              <w:t>2019</w:t>
            </w:r>
          </w:p>
        </w:tc>
        <w:tc>
          <w:tcPr>
            <w:tcW w:w="85"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6" w:type="dxa"/>
            <w:gridSpan w:val="2"/>
            <w:tcBorders>
              <w:bottom w:val="single" w:sz="12" w:space="0" w:color="000000"/>
            </w:tcBorders>
            <w:shd w:fill="auto" w:val="clear"/>
            <w:tcMar>
              <w:bottom w:w="28" w:type="dxa"/>
            </w:tcMar>
            <w:vAlign w:val="bottom"/>
          </w:tcPr>
          <w:p>
            <w:pPr>
              <w:pStyle w:val="TableContents"/>
              <w:spacing w:before="0" w:after="0"/>
              <w:ind w:left="0" w:right="0" w:hanging="360"/>
              <w:jc w:val="center"/>
              <w:rPr>
                <w:rFonts w:ascii="Times New Roman" w:hAnsi="Times New Roman"/>
                <w:sz w:val="17"/>
              </w:rPr>
            </w:pPr>
            <w:r>
              <w:rPr>
                <w:rFonts w:ascii="Times New Roman" w:hAnsi="Times New Roman"/>
                <w:sz w:val="17"/>
              </w:rPr>
              <w:t>2018</w:t>
            </w:r>
          </w:p>
        </w:tc>
        <w:tc>
          <w:tcPr>
            <w:tcW w:w="80" w:type="dxa"/>
            <w:tcBorders/>
            <w:shd w:fill="auto" w:val="clear"/>
            <w:vAlign w:val="bottom"/>
          </w:tcPr>
          <w:p>
            <w:pPr>
              <w:pStyle w:val="TableContents"/>
              <w:spacing w:before="0" w:after="283"/>
              <w:jc w:val="left"/>
              <w:rPr/>
            </w:pPr>
            <w:r>
              <w:rPr/>
              <w:t> </w:t>
            </w:r>
          </w:p>
        </w:tc>
      </w:tr>
      <w:tr>
        <w:trPr/>
        <w:tc>
          <w:tcPr>
            <w:tcW w:w="27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ind w:left="0" w:right="0" w:hanging="360"/>
              <w:jc w:val="center"/>
              <w:rPr>
                <w:rFonts w:ascii="Times New Roman" w:hAnsi="Times New Roman"/>
                <w:sz w:val="17"/>
              </w:rPr>
            </w:pPr>
            <w:r>
              <w:rPr>
                <w:rFonts w:ascii="Times New Roman" w:hAnsi="Times New Roman"/>
                <w:sz w:val="17"/>
              </w:rPr>
              <w:t>(In thousands)</w:t>
            </w:r>
          </w:p>
        </w:tc>
        <w:tc>
          <w:tcPr>
            <w:tcW w:w="80" w:type="dxa"/>
            <w:tcBorders/>
            <w:shd w:fill="auto" w:val="clear"/>
            <w:vAlign w:val="bottom"/>
          </w:tcPr>
          <w:p>
            <w:pPr>
              <w:pStyle w:val="TableContents"/>
              <w:spacing w:before="0" w:after="283"/>
              <w:jc w:val="left"/>
              <w:rPr/>
            </w:pPr>
            <w:r>
              <w:rPr/>
              <w:t> </w:t>
            </w:r>
          </w:p>
        </w:tc>
      </w:tr>
      <w:tr>
        <w:trPr/>
        <w:tc>
          <w:tcPr>
            <w:tcW w:w="27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Service charges on deposit accounts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2,640</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2,905</w:t>
            </w:r>
          </w:p>
        </w:tc>
        <w:tc>
          <w:tcPr>
            <w:tcW w:w="80" w:type="dxa"/>
            <w:tcBorders/>
            <w:shd w:fill="CCEEFF" w:val="clear"/>
            <w:vAlign w:val="bottom"/>
          </w:tcPr>
          <w:p>
            <w:pPr>
              <w:pStyle w:val="TableContents"/>
              <w:spacing w:before="0" w:after="283"/>
              <w:jc w:val="left"/>
              <w:rPr/>
            </w:pPr>
            <w:r>
              <w:rPr/>
              <w:t> </w:t>
            </w:r>
          </w:p>
        </w:tc>
      </w:tr>
      <w:tr>
        <w:trPr/>
        <w:tc>
          <w:tcPr>
            <w:tcW w:w="27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Interchange income</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2,355</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5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2,246</w:t>
            </w:r>
          </w:p>
        </w:tc>
        <w:tc>
          <w:tcPr>
            <w:tcW w:w="80" w:type="dxa"/>
            <w:tcBorders/>
            <w:shd w:fill="FFFFFF" w:val="clear"/>
            <w:vAlign w:val="bottom"/>
          </w:tcPr>
          <w:p>
            <w:pPr>
              <w:pStyle w:val="TableContents"/>
              <w:spacing w:before="0" w:after="283"/>
              <w:jc w:val="left"/>
              <w:rPr/>
            </w:pPr>
            <w:r>
              <w:rPr/>
              <w:t> </w:t>
            </w:r>
          </w:p>
        </w:tc>
      </w:tr>
      <w:tr>
        <w:trPr/>
        <w:tc>
          <w:tcPr>
            <w:tcW w:w="27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gains (losses) on assets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r>
      <w:tr>
        <w:trPr/>
        <w:tc>
          <w:tcPr>
            <w:tcW w:w="272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Mortgage loans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3,611</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5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2,571</w:t>
            </w:r>
          </w:p>
        </w:tc>
        <w:tc>
          <w:tcPr>
            <w:tcW w:w="80" w:type="dxa"/>
            <w:tcBorders/>
            <w:shd w:fill="FFFFFF" w:val="clear"/>
            <w:vAlign w:val="bottom"/>
          </w:tcPr>
          <w:p>
            <w:pPr>
              <w:pStyle w:val="TableContents"/>
              <w:spacing w:before="0" w:after="283"/>
              <w:jc w:val="left"/>
              <w:rPr/>
            </w:pPr>
            <w:r>
              <w:rPr/>
              <w:t> </w:t>
            </w:r>
          </w:p>
        </w:tc>
      </w:tr>
      <w:tr>
        <w:trPr/>
        <w:tc>
          <w:tcPr>
            <w:tcW w:w="272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Securities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304</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(173</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7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Mortgage loan servicing, net</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(1,215</w:t>
            </w:r>
          </w:p>
        </w:tc>
        <w:tc>
          <w:tcPr>
            <w:tcW w:w="8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5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2,221</w:t>
            </w:r>
          </w:p>
        </w:tc>
        <w:tc>
          <w:tcPr>
            <w:tcW w:w="80" w:type="dxa"/>
            <w:tcBorders/>
            <w:shd w:fill="FFFFFF" w:val="clear"/>
            <w:vAlign w:val="bottom"/>
          </w:tcPr>
          <w:p>
            <w:pPr>
              <w:pStyle w:val="TableContents"/>
              <w:spacing w:before="0" w:after="283"/>
              <w:jc w:val="left"/>
              <w:rPr/>
            </w:pPr>
            <w:r>
              <w:rPr/>
              <w:t> </w:t>
            </w:r>
          </w:p>
        </w:tc>
      </w:tr>
      <w:tr>
        <w:trPr/>
        <w:tc>
          <w:tcPr>
            <w:tcW w:w="27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Investment and insurance commissions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297</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438</w:t>
            </w:r>
          </w:p>
        </w:tc>
        <w:tc>
          <w:tcPr>
            <w:tcW w:w="80" w:type="dxa"/>
            <w:tcBorders/>
            <w:shd w:fill="CCEEFF" w:val="clear"/>
            <w:vAlign w:val="bottom"/>
          </w:tcPr>
          <w:p>
            <w:pPr>
              <w:pStyle w:val="TableContents"/>
              <w:spacing w:before="0" w:after="283"/>
              <w:jc w:val="left"/>
              <w:rPr/>
            </w:pPr>
            <w:r>
              <w:rPr/>
              <w:t> </w:t>
            </w:r>
          </w:p>
        </w:tc>
      </w:tr>
      <w:tr>
        <w:trPr/>
        <w:tc>
          <w:tcPr>
            <w:tcW w:w="27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Bank owned life insurance</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242</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5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256</w:t>
            </w:r>
          </w:p>
        </w:tc>
        <w:tc>
          <w:tcPr>
            <w:tcW w:w="80" w:type="dxa"/>
            <w:tcBorders/>
            <w:shd w:fill="FFFFFF" w:val="clear"/>
            <w:vAlign w:val="bottom"/>
          </w:tcPr>
          <w:p>
            <w:pPr>
              <w:pStyle w:val="TableContents"/>
              <w:spacing w:before="0" w:after="283"/>
              <w:jc w:val="left"/>
              <w:rPr/>
            </w:pPr>
            <w:r>
              <w:rPr/>
              <w:t> </w:t>
            </w:r>
          </w:p>
        </w:tc>
      </w:tr>
      <w:tr>
        <w:trPr/>
        <w:tc>
          <w:tcPr>
            <w:tcW w:w="27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1,725</w:t>
            </w:r>
          </w:p>
        </w:tc>
        <w:tc>
          <w:tcPr>
            <w:tcW w:w="85"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1,249</w:t>
            </w:r>
          </w:p>
        </w:tc>
        <w:tc>
          <w:tcPr>
            <w:tcW w:w="80" w:type="dxa"/>
            <w:tcBorders/>
            <w:shd w:fill="CCEEFF" w:val="clear"/>
            <w:vAlign w:val="bottom"/>
          </w:tcPr>
          <w:p>
            <w:pPr>
              <w:pStyle w:val="TableContents"/>
              <w:spacing w:before="0" w:after="283"/>
              <w:jc w:val="left"/>
              <w:rPr/>
            </w:pPr>
            <w:r>
              <w:rPr/>
              <w:t> </w:t>
            </w:r>
          </w:p>
        </w:tc>
      </w:tr>
      <w:tr>
        <w:trPr/>
        <w:tc>
          <w:tcPr>
            <w:tcW w:w="272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 non-interest income</w:t>
            </w:r>
          </w:p>
        </w:tc>
        <w:tc>
          <w:tcPr>
            <w:tcW w:w="60"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9 ,959</w:t>
            </w:r>
          </w:p>
        </w:tc>
        <w:tc>
          <w:tcPr>
            <w:tcW w:w="85"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5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11,713</w:t>
            </w:r>
          </w:p>
        </w:tc>
        <w:tc>
          <w:tcPr>
            <w:tcW w:w="80"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Service charges on deposit accounts totaled $2.6 million in the first quarter of 2019, a decrease of $0.3 million from the comparable period in 2018.  This decrease was principally due to a decline in non-sufficient funds charges.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5" w:name="DSPFPageBreakArea59"/>
      <w:bookmarkStart w:id="616" w:name="DSPFPageBreakArea59"/>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17" w:name="DSPFPageNumber59"/>
      <w:bookmarkStart w:id="618" w:name="DSPFPageNumberArea58"/>
      <w:bookmarkEnd w:id="617"/>
      <w:bookmarkEnd w:id="618"/>
      <w:r>
        <w:rPr>
          <w:rFonts w:ascii="Times New Roman" w:hAnsi="Times New Roman"/>
          <w:b w:val="false"/>
          <w:i w:val="false"/>
          <w:caps w:val="false"/>
          <w:smallCaps w:val="false"/>
          <w:sz w:val="13"/>
        </w:rPr>
        <w:t>60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9" w:name="DSPFPageBreak59"/>
      <w:bookmarkStart w:id="620" w:name="DSPFPageBreak59"/>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21" w:name="DSPFPageHeader58"/>
        <w:bookmarkEnd w:id="621"/>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Interchange income totaled $2.4 million in the first quarter of 2019 compared to $2.2 million in the year ago period due primarily to an increase in debit card transaction volume.  The increase in transaction volume reflects the Merger and overall general growth.</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Net gains on mortgage loans were $3.6 million and $2.6 million in the first quarters of 2019 and 2018, respectively.   Mortgage loan sales totaled $154.5 million in the first quarter of 2019 compared to $106.3 million in the first quarter of 2018.  Mortgage loans originated totaled $137.8 million in the first quarter of 2019 compared to $159.0 million in the comparable quarter of 2018.</w:t>
      </w:r>
    </w:p>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Mortgage Loan Activity</w:t>
      </w:r>
    </w:p>
    <w:p>
      <w:pPr>
        <w:pStyle w:val="TextBody"/>
        <w:spacing w:before="0" w:after="0"/>
        <w:jc w:val="left"/>
        <w:rPr>
          <w:rFonts w:ascii="Times New Roman" w:hAnsi="Times New Roman"/>
          <w:b/>
          <w:sz w:val="17"/>
        </w:rPr>
      </w:pPr>
      <w:r>
        <w:rPr>
          <w:rFonts w:ascii="Times New Roman" w:hAnsi="Times New Roman"/>
          <w:b/>
          <w:sz w:val="17"/>
        </w:rPr>
      </w:r>
    </w:p>
    <w:p>
      <w:pPr>
        <w:pStyle w:val="Normal"/>
        <w:spacing w:before="0" w:after="0"/>
        <w:rPr>
          <w:sz w:val="4"/>
          <w:szCs w:val="4"/>
        </w:rPr>
      </w:pPr>
      <w:r>
        <w:rPr>
          <w:sz w:val="4"/>
          <w:szCs w:val="4"/>
        </w:rPr>
      </w:r>
      <w:bookmarkStart w:id="622" w:name="zb57c93c814324721a57d8db10209eddc"/>
      <w:bookmarkStart w:id="623" w:name="zb57c93c814324721a57d8db10209eddc"/>
      <w:bookmarkEnd w:id="623"/>
    </w:p>
    <w:tbl>
      <w:tblPr>
        <w:tblW w:w="6975" w:type="dxa"/>
        <w:jc w:val="center"/>
        <w:tblInd w:w="0" w:type="dxa"/>
        <w:tblCellMar>
          <w:top w:w="0" w:type="dxa"/>
          <w:left w:w="0" w:type="dxa"/>
          <w:bottom w:w="0" w:type="dxa"/>
          <w:right w:w="0" w:type="dxa"/>
        </w:tblCellMar>
      </w:tblPr>
      <w:tblGrid>
        <w:gridCol w:w="5030"/>
        <w:gridCol w:w="60"/>
        <w:gridCol w:w="110"/>
        <w:gridCol w:w="605"/>
        <w:gridCol w:w="155"/>
        <w:gridCol w:w="60"/>
        <w:gridCol w:w="110"/>
        <w:gridCol w:w="605"/>
        <w:gridCol w:w="240"/>
      </w:tblGrid>
      <w:tr>
        <w:trPr/>
        <w:tc>
          <w:tcPr>
            <w:tcW w:w="50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240" w:type="dxa"/>
            <w:tcBorders/>
            <w:shd w:fill="auto" w:val="clear"/>
            <w:vAlign w:val="bottom"/>
          </w:tcPr>
          <w:p>
            <w:pPr>
              <w:pStyle w:val="TableContents"/>
              <w:spacing w:before="0" w:after="283"/>
              <w:ind w:left="0" w:right="0" w:firstLine="180"/>
              <w:jc w:val="left"/>
              <w:rPr/>
            </w:pPr>
            <w:r>
              <w:rPr/>
              <w:t> </w:t>
            </w:r>
          </w:p>
        </w:tc>
      </w:tr>
      <w:tr>
        <w:trPr/>
        <w:tc>
          <w:tcPr>
            <w:tcW w:w="50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240" w:type="dxa"/>
            <w:tcBorders/>
            <w:shd w:fill="auto" w:val="clear"/>
            <w:vAlign w:val="bottom"/>
          </w:tcPr>
          <w:p>
            <w:pPr>
              <w:pStyle w:val="TableContents"/>
              <w:spacing w:before="0" w:after="283"/>
              <w:ind w:left="0" w:right="0" w:firstLine="180"/>
              <w:jc w:val="left"/>
              <w:rPr/>
            </w:pPr>
            <w:r>
              <w:rPr/>
              <w:t> </w:t>
            </w:r>
          </w:p>
        </w:tc>
      </w:tr>
      <w:tr>
        <w:trPr/>
        <w:tc>
          <w:tcPr>
            <w:tcW w:w="50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240" w:type="dxa"/>
            <w:tcBorders/>
            <w:shd w:fill="auto" w:val="clear"/>
            <w:vAlign w:val="bottom"/>
          </w:tcPr>
          <w:p>
            <w:pPr>
              <w:pStyle w:val="TableContents"/>
              <w:spacing w:before="0" w:after="283"/>
              <w:jc w:val="left"/>
              <w:rPr/>
            </w:pPr>
            <w:r>
              <w:rPr/>
              <w:t> </w:t>
            </w:r>
          </w:p>
        </w:tc>
      </w:tr>
      <w:tr>
        <w:trPr/>
        <w:tc>
          <w:tcPr>
            <w:tcW w:w="5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Mortgage loans originated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137,758</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158,967</w:t>
            </w:r>
          </w:p>
        </w:tc>
        <w:tc>
          <w:tcPr>
            <w:tcW w:w="240" w:type="dxa"/>
            <w:tcBorders/>
            <w:shd w:fill="CCEEFF" w:val="clear"/>
            <w:vAlign w:val="bottom"/>
          </w:tcPr>
          <w:p>
            <w:pPr>
              <w:pStyle w:val="TableContents"/>
              <w:spacing w:before="0" w:after="283"/>
              <w:jc w:val="left"/>
              <w:rPr/>
            </w:pPr>
            <w:r>
              <w:rPr/>
              <w:t> </w:t>
            </w:r>
          </w:p>
        </w:tc>
      </w:tr>
      <w:tr>
        <w:trPr/>
        <w:tc>
          <w:tcPr>
            <w:tcW w:w="5030" w:type="dxa"/>
            <w:tcBorders/>
            <w:shd w:fill="FFFFFF" w:val="clear"/>
            <w:vAlign w:val="bottom"/>
          </w:tcPr>
          <w:p>
            <w:pPr>
              <w:pStyle w:val="TableContents"/>
              <w:spacing w:lineRule="auto" w:line="240" w:before="0" w:after="0"/>
              <w:ind w:left="180" w:right="0" w:hanging="180"/>
              <w:jc w:val="left"/>
              <w:rPr>
                <w:rFonts w:ascii="Times New Roman" w:hAnsi="Times New Roman"/>
                <w:sz w:val="17"/>
              </w:rPr>
            </w:pPr>
            <w:r>
              <w:rPr>
                <w:rFonts w:ascii="Times New Roman" w:hAnsi="Times New Roman"/>
                <w:sz w:val="17"/>
              </w:rPr>
              <w:t>Mortgage loans sold(1)</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154,525</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106,343</w:t>
            </w:r>
          </w:p>
        </w:tc>
        <w:tc>
          <w:tcPr>
            <w:tcW w:w="240" w:type="dxa"/>
            <w:tcBorders/>
            <w:shd w:fill="FFFFFF" w:val="clear"/>
            <w:vAlign w:val="bottom"/>
          </w:tcPr>
          <w:p>
            <w:pPr>
              <w:pStyle w:val="TableContents"/>
              <w:spacing w:before="0" w:after="283"/>
              <w:jc w:val="left"/>
              <w:rPr/>
            </w:pPr>
            <w:r>
              <w:rPr/>
              <w:t> </w:t>
            </w:r>
          </w:p>
        </w:tc>
      </w:tr>
      <w:tr>
        <w:trPr/>
        <w:tc>
          <w:tcPr>
            <w:tcW w:w="50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gains on mortgage loans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3,611</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2,571</w:t>
            </w:r>
          </w:p>
        </w:tc>
        <w:tc>
          <w:tcPr>
            <w:tcW w:w="240" w:type="dxa"/>
            <w:tcBorders/>
            <w:shd w:fill="CCEEFF" w:val="clear"/>
            <w:vAlign w:val="bottom"/>
          </w:tcPr>
          <w:p>
            <w:pPr>
              <w:pStyle w:val="TableContents"/>
              <w:spacing w:before="0" w:after="283"/>
              <w:jc w:val="left"/>
              <w:rPr/>
            </w:pPr>
            <w:r>
              <w:rPr/>
              <w:t> </w:t>
            </w:r>
          </w:p>
        </w:tc>
      </w:tr>
      <w:tr>
        <w:trPr/>
        <w:tc>
          <w:tcPr>
            <w:tcW w:w="5030" w:type="dxa"/>
            <w:tcBorders/>
            <w:shd w:fill="FFFFFF" w:val="clear"/>
            <w:vAlign w:val="bottom"/>
          </w:tcPr>
          <w:p>
            <w:pPr>
              <w:pStyle w:val="TableContents"/>
              <w:spacing w:before="0" w:after="0"/>
              <w:ind w:left="180" w:right="0" w:hanging="180"/>
              <w:jc w:val="left"/>
              <w:rPr/>
            </w:pPr>
            <w:r>
              <w:rPr>
                <w:rFonts w:ascii="Times New Roman" w:hAnsi="Times New Roman"/>
                <w:sz w:val="17"/>
              </w:rPr>
              <w:t>Net gains as a percentage of mortgage loans sold</w:t>
            </w:r>
            <w:r>
              <w:rPr/>
              <w:t xml:space="preserve"> </w:t>
            </w:r>
            <w:r>
              <w:rPr>
                <w:rFonts w:ascii="Times New Roman" w:hAnsi="Times New Roman"/>
                <w:sz w:val="17"/>
              </w:rPr>
              <w:t>(“Loan Sales Margin”)</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2.34</w:t>
            </w:r>
          </w:p>
        </w:tc>
        <w:tc>
          <w:tcPr>
            <w:tcW w:w="1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2.42</w:t>
            </w:r>
          </w:p>
        </w:tc>
        <w:tc>
          <w:tcPr>
            <w:tcW w:w="24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5030" w:type="dxa"/>
            <w:tcBorders/>
            <w:shd w:fill="CCEEFF" w:val="clear"/>
            <w:vAlign w:val="bottom"/>
          </w:tcPr>
          <w:p>
            <w:pPr>
              <w:pStyle w:val="TableContents"/>
              <w:spacing w:before="0" w:after="0"/>
              <w:ind w:left="180" w:right="0" w:hanging="180"/>
              <w:jc w:val="left"/>
              <w:rPr/>
            </w:pPr>
            <w:r>
              <w:rPr>
                <w:rFonts w:ascii="Times New Roman" w:hAnsi="Times New Roman"/>
                <w:sz w:val="17"/>
              </w:rPr>
              <w:t>Fair value adjustments included in the Loan</w:t>
            </w:r>
            <w:r>
              <w:rPr/>
              <w:t xml:space="preserve"> </w:t>
            </w:r>
            <w:r>
              <w:rPr>
                <w:rFonts w:ascii="Times New Roman" w:hAnsi="Times New Roman"/>
                <w:sz w:val="17"/>
              </w:rPr>
              <w:t>Sales Margin</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0.58</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0.11</w:t>
            </w:r>
          </w:p>
        </w:tc>
        <w:tc>
          <w:tcPr>
            <w:tcW w:w="24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Normal"/>
        <w:spacing w:before="0" w:after="0"/>
        <w:rPr>
          <w:sz w:val="4"/>
          <w:szCs w:val="4"/>
        </w:rPr>
      </w:pPr>
      <w:r>
        <w:rPr>
          <w:sz w:val="4"/>
          <w:szCs w:val="4"/>
        </w:rPr>
      </w:r>
      <w:bookmarkStart w:id="624" w:name="z24dde0f37f4b4b4b8484d0d0ed075796"/>
      <w:bookmarkStart w:id="625" w:name="z24dde0f37f4b4b4b8484d0d0ed075796"/>
      <w:bookmarkEnd w:id="625"/>
    </w:p>
    <w:tbl>
      <w:tblPr>
        <w:tblW w:w="8418" w:type="dxa"/>
        <w:jc w:val="left"/>
        <w:tblInd w:w="0" w:type="dxa"/>
        <w:tblCellMar>
          <w:top w:w="0" w:type="dxa"/>
          <w:left w:w="0" w:type="dxa"/>
          <w:bottom w:w="0" w:type="dxa"/>
          <w:right w:w="0" w:type="dxa"/>
        </w:tblCellMar>
      </w:tblPr>
      <w:tblGrid>
        <w:gridCol w:w="38"/>
        <w:gridCol w:w="230"/>
        <w:gridCol w:w="8150"/>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815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2019 and 2018 include mortgage loans not originated for sale totaling $70.4 million and $16.5 million, respectively.</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as well as portfolio mortgage loan sales of $70.4 million and $16.5 million in the first quarters of 2019 and 2018, respectively, the adjusted Loan Sales Margin would have been 2.59% and 2.68% for these respective periods. The changes in the fair value accounting adjustments are primarily due to changes in the amount of commitments to originate mortgage loans for sale during each period.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recorded net gains (losses) on securities of approximately $0.30 million and $(0.17) million in the first quarters of 2019 and 2018, respectively.  The first quarter 2019 net gains on securities are due primarily to an increase in the fair value of equity securities of $0.17 million and net gains of $0.14 million on the sale of $42.2 million of securities available for sale.  The first quarter 2018 net losses on securities were due primarily to a decline in the fair value of equity securities of $0.15 million and net losses of $0.02 million on the sale of $22.3 million of securities available for sale.</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26" w:name="DSPFPageBreakArea60"/>
      <w:bookmarkStart w:id="627" w:name="DSPFPageBreakArea60"/>
      <w:bookmarkEnd w:id="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28" w:name="DSPFPageNumber60"/>
      <w:bookmarkStart w:id="629" w:name="DSPFPageNumberArea59"/>
      <w:bookmarkEnd w:id="628"/>
      <w:bookmarkEnd w:id="629"/>
      <w:r>
        <w:rPr>
          <w:rFonts w:ascii="Times New Roman" w:hAnsi="Times New Roman"/>
          <w:b w:val="false"/>
          <w:i w:val="false"/>
          <w:caps w:val="false"/>
          <w:smallCaps w:val="false"/>
          <w:sz w:val="13"/>
        </w:rPr>
        <w:t>61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0" w:name="DSPFPageBreak60"/>
      <w:bookmarkStart w:id="631" w:name="DSPFPageBreak60"/>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32" w:name="DSPFPageHeader59"/>
        <w:bookmarkEnd w:id="63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We recorded no net impairment losses in either the first quarter of 2019 or 2018, for other than temporary impairment of securities available for sale.  (See “Securities.”)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Mortgage loan servicing generated a loss of $1.2 million and income of $2.2 million in the first quarters of 2019 and 2018, respectively.  This activity is summarized in the following table:</w:t>
      </w:r>
    </w:p>
    <w:p>
      <w:pPr>
        <w:pStyle w:val="TextBody"/>
        <w:spacing w:before="0" w:after="0"/>
        <w:rPr/>
      </w:pPr>
      <w:r>
        <w:rPr/>
      </w:r>
    </w:p>
    <w:p>
      <w:pPr>
        <w:pStyle w:val="Normal"/>
        <w:spacing w:before="0" w:after="0"/>
        <w:rPr>
          <w:sz w:val="4"/>
          <w:szCs w:val="4"/>
        </w:rPr>
      </w:pPr>
      <w:r>
        <w:rPr>
          <w:sz w:val="4"/>
          <w:szCs w:val="4"/>
        </w:rPr>
      </w:r>
      <w:bookmarkStart w:id="633" w:name="zbd3b648f57c644488202cae077d8e943"/>
      <w:bookmarkStart w:id="634" w:name="zbd3b648f57c644488202cae077d8e943"/>
      <w:bookmarkEnd w:id="634"/>
    </w:p>
    <w:tbl>
      <w:tblPr>
        <w:tblW w:w="5163" w:type="dxa"/>
        <w:jc w:val="left"/>
        <w:tblInd w:w="0" w:type="dxa"/>
        <w:tblCellMar>
          <w:top w:w="0" w:type="dxa"/>
          <w:left w:w="0" w:type="dxa"/>
          <w:bottom w:w="0" w:type="dxa"/>
          <w:right w:w="0" w:type="dxa"/>
        </w:tblCellMar>
      </w:tblPr>
      <w:tblGrid>
        <w:gridCol w:w="2555"/>
        <w:gridCol w:w="60"/>
        <w:gridCol w:w="211"/>
        <w:gridCol w:w="934"/>
        <w:gridCol w:w="93"/>
        <w:gridCol w:w="70"/>
        <w:gridCol w:w="234"/>
        <w:gridCol w:w="911"/>
        <w:gridCol w:w="95"/>
      </w:tblGrid>
      <w:tr>
        <w:trPr/>
        <w:tc>
          <w:tcPr>
            <w:tcW w:w="25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53"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tc>
        <w:tc>
          <w:tcPr>
            <w:tcW w:w="95" w:type="dxa"/>
            <w:tcBorders/>
            <w:shd w:fill="auto"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March 31, 2019</w:t>
            </w:r>
          </w:p>
        </w:tc>
        <w:tc>
          <w:tcPr>
            <w:tcW w:w="9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March 31, 2018</w:t>
            </w:r>
          </w:p>
        </w:tc>
        <w:tc>
          <w:tcPr>
            <w:tcW w:w="95" w:type="dxa"/>
            <w:tcBorders/>
            <w:shd w:fill="auto" w:val="clear"/>
            <w:vAlign w:val="bottom"/>
          </w:tcPr>
          <w:p>
            <w:pPr>
              <w:pStyle w:val="TableContents"/>
              <w:spacing w:before="0" w:after="283"/>
              <w:jc w:val="left"/>
              <w:rPr/>
            </w:pPr>
            <w:r>
              <w:rPr/>
              <w:t> </w:t>
            </w:r>
          </w:p>
        </w:tc>
      </w:tr>
      <w:tr>
        <w:trPr/>
        <w:tc>
          <w:tcPr>
            <w:tcW w:w="255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Mortgage loan servicing:</w:t>
            </w:r>
          </w:p>
        </w:tc>
        <w:tc>
          <w:tcPr>
            <w:tcW w:w="60" w:type="dxa"/>
            <w:tcBorders/>
            <w:shd w:fill="auto" w:val="clear"/>
            <w:vAlign w:val="bottom"/>
          </w:tcPr>
          <w:p>
            <w:pPr>
              <w:pStyle w:val="TableContents"/>
              <w:spacing w:before="0" w:after="283"/>
              <w:rPr/>
            </w:pPr>
            <w:r>
              <w:rPr/>
              <w:t> </w:t>
            </w:r>
          </w:p>
        </w:tc>
        <w:tc>
          <w:tcPr>
            <w:tcW w:w="2453"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95" w:type="dxa"/>
            <w:tcBorders/>
            <w:shd w:fill="auto"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Revenue, net</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3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1,476</w:t>
            </w:r>
          </w:p>
        </w:tc>
        <w:tc>
          <w:tcPr>
            <w:tcW w:w="93"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11"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1,192</w:t>
            </w:r>
          </w:p>
        </w:tc>
        <w:tc>
          <w:tcPr>
            <w:tcW w:w="95" w:type="dxa"/>
            <w:tcBorders/>
            <w:shd w:fill="CCEEFF" w:val="clear"/>
            <w:vAlign w:val="bottom"/>
          </w:tcPr>
          <w:p>
            <w:pPr>
              <w:pStyle w:val="TableContents"/>
              <w:spacing w:before="0" w:after="283"/>
              <w:jc w:val="left"/>
              <w:rPr/>
            </w:pPr>
            <w:r>
              <w:rPr/>
              <w:t> </w:t>
            </w:r>
          </w:p>
        </w:tc>
      </w:tr>
      <w:tr>
        <w:trPr/>
        <w:tc>
          <w:tcPr>
            <w:tcW w:w="255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Fair value change due to price</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93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(2,203</w:t>
            </w:r>
          </w:p>
        </w:tc>
        <w:tc>
          <w:tcPr>
            <w:tcW w:w="9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1,458</w:t>
            </w:r>
          </w:p>
        </w:tc>
        <w:tc>
          <w:tcPr>
            <w:tcW w:w="95" w:type="dxa"/>
            <w:tcBorders/>
            <w:shd w:fill="FFFFFF" w:val="clear"/>
            <w:vAlign w:val="bottom"/>
          </w:tcPr>
          <w:p>
            <w:pPr>
              <w:pStyle w:val="TableContents"/>
              <w:spacing w:before="0" w:after="283"/>
              <w:jc w:val="left"/>
              <w:rPr/>
            </w:pPr>
            <w:r>
              <w:rPr/>
              <w:t> </w:t>
            </w:r>
          </w:p>
        </w:tc>
      </w:tr>
      <w:tr>
        <w:trPr/>
        <w:tc>
          <w:tcPr>
            <w:tcW w:w="255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Fair value change due to pay-downs</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(488</w:t>
            </w:r>
          </w:p>
        </w:tc>
        <w:tc>
          <w:tcPr>
            <w:tcW w:w="93" w:type="dxa"/>
            <w:tcBorders>
              <w:bottom w:val="single" w:sz="12"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2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(429</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255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3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(1,215</w:t>
            </w:r>
          </w:p>
        </w:tc>
        <w:tc>
          <w:tcPr>
            <w:tcW w:w="93" w:type="dxa"/>
            <w:tcBorders>
              <w:bottom w:val="single" w:sz="12"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234" w:type="dxa"/>
            <w:tcBorders>
              <w:bottom w:val="single" w:sz="12"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911"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2,221</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significant variance in the fair value change due to price relates primarily to the decline in mortgage loan interest rates in the first quarter of 2019.  That decline increased projected prepayment rates for mortgage loans serviced for others, leading to a decrease in fair value.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Activity related to capitalized mortgage loan servicing rights is as follows:</w:t>
      </w:r>
    </w:p>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Capitalized Mortgage Loan Servicing Rights</w:t>
      </w:r>
    </w:p>
    <w:p>
      <w:pPr>
        <w:pStyle w:val="TextBody"/>
        <w:spacing w:before="0" w:after="0"/>
        <w:rPr/>
      </w:pPr>
      <w:r>
        <w:rPr/>
      </w:r>
    </w:p>
    <w:p>
      <w:pPr>
        <w:pStyle w:val="Normal"/>
        <w:spacing w:before="0" w:after="0"/>
        <w:rPr>
          <w:sz w:val="4"/>
          <w:szCs w:val="4"/>
        </w:rPr>
      </w:pPr>
      <w:r>
        <w:rPr>
          <w:sz w:val="4"/>
          <w:szCs w:val="4"/>
        </w:rPr>
      </w:r>
      <w:bookmarkStart w:id="635" w:name="z646242c91c5a4203beaa99ede4cc8ed3"/>
      <w:bookmarkStart w:id="636" w:name="z646242c91c5a4203beaa99ede4cc8ed3"/>
      <w:bookmarkEnd w:id="636"/>
    </w:p>
    <w:tbl>
      <w:tblPr>
        <w:tblW w:w="4210" w:type="dxa"/>
        <w:jc w:val="left"/>
        <w:tblInd w:w="0" w:type="dxa"/>
        <w:tblCellMar>
          <w:top w:w="0" w:type="dxa"/>
          <w:left w:w="0" w:type="dxa"/>
          <w:bottom w:w="0" w:type="dxa"/>
          <w:right w:w="0" w:type="dxa"/>
        </w:tblCellMar>
      </w:tblPr>
      <w:tblGrid>
        <w:gridCol w:w="2645"/>
        <w:gridCol w:w="60"/>
        <w:gridCol w:w="114"/>
        <w:gridCol w:w="535"/>
        <w:gridCol w:w="83"/>
        <w:gridCol w:w="62"/>
        <w:gridCol w:w="114"/>
        <w:gridCol w:w="537"/>
        <w:gridCol w:w="60"/>
      </w:tblGrid>
      <w:tr>
        <w:trPr/>
        <w:tc>
          <w:tcPr>
            <w:tcW w:w="26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60" w:type="dxa"/>
            <w:tcBorders/>
            <w:shd w:fill="auto" w:val="clear"/>
            <w:vAlign w:val="bottom"/>
          </w:tcPr>
          <w:p>
            <w:pPr>
              <w:pStyle w:val="TableContents"/>
              <w:spacing w:before="0" w:after="283"/>
              <w:jc w:val="left"/>
              <w:rPr/>
            </w:pPr>
            <w:r>
              <w:rPr/>
              <w:t> </w:t>
            </w:r>
          </w:p>
        </w:tc>
      </w:tr>
      <w:tr>
        <w:trPr/>
        <w:tc>
          <w:tcPr>
            <w:tcW w:w="26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83"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65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60" w:type="dxa"/>
            <w:tcBorders/>
            <w:shd w:fill="auto" w:val="clear"/>
            <w:vAlign w:val="bottom"/>
          </w:tcPr>
          <w:p>
            <w:pPr>
              <w:pStyle w:val="TableContents"/>
              <w:spacing w:before="0" w:after="283"/>
              <w:jc w:val="left"/>
              <w:rPr/>
            </w:pPr>
            <w:r>
              <w:rPr/>
              <w:t> </w:t>
            </w:r>
          </w:p>
        </w:tc>
      </w:tr>
      <w:tr>
        <w:trPr/>
        <w:tc>
          <w:tcPr>
            <w:tcW w:w="26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264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21,400</w:t>
            </w:r>
          </w:p>
        </w:tc>
        <w:tc>
          <w:tcPr>
            <w:tcW w:w="83"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15,699</w:t>
            </w:r>
          </w:p>
        </w:tc>
        <w:tc>
          <w:tcPr>
            <w:tcW w:w="60" w:type="dxa"/>
            <w:tcBorders/>
            <w:shd w:fill="CCEEFF" w:val="clear"/>
            <w:vAlign w:val="bottom"/>
          </w:tcPr>
          <w:p>
            <w:pPr>
              <w:pStyle w:val="TableContents"/>
              <w:spacing w:before="0" w:after="283"/>
              <w:jc w:val="left"/>
              <w:rPr/>
            </w:pPr>
            <w:r>
              <w:rPr/>
              <w:t> </w:t>
            </w:r>
          </w:p>
        </w:tc>
      </w:tr>
      <w:tr>
        <w:trPr/>
        <w:tc>
          <w:tcPr>
            <w:tcW w:w="2645"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Originated servicing rights capitalized</w:t>
            </w:r>
          </w:p>
        </w:tc>
        <w:tc>
          <w:tcPr>
            <w:tcW w:w="60"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1,200</w:t>
            </w:r>
          </w:p>
        </w:tc>
        <w:tc>
          <w:tcPr>
            <w:tcW w:w="83" w:type="dxa"/>
            <w:tcBorders/>
            <w:shd w:fill="FFFFFF" w:val="clear"/>
            <w:vAlign w:val="bottom"/>
          </w:tcPr>
          <w:p>
            <w:pPr>
              <w:pStyle w:val="TableContents"/>
              <w:spacing w:before="0" w:after="283"/>
              <w:jc w:val="left"/>
              <w:rPr/>
            </w:pPr>
            <w:r>
              <w:rPr/>
              <w:t> </w:t>
            </w:r>
          </w:p>
        </w:tc>
        <w:tc>
          <w:tcPr>
            <w:tcW w:w="62"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1,055</w:t>
            </w:r>
          </w:p>
        </w:tc>
        <w:tc>
          <w:tcPr>
            <w:tcW w:w="60" w:type="dxa"/>
            <w:tcBorders/>
            <w:shd w:fill="FFFFFF" w:val="clear"/>
            <w:vAlign w:val="bottom"/>
          </w:tcPr>
          <w:p>
            <w:pPr>
              <w:pStyle w:val="TableContents"/>
              <w:spacing w:before="0" w:after="283"/>
              <w:jc w:val="left"/>
              <w:rPr/>
            </w:pPr>
            <w:r>
              <w:rPr/>
              <w:t> </w:t>
            </w:r>
          </w:p>
        </w:tc>
      </w:tr>
      <w:tr>
        <w:trPr/>
        <w:tc>
          <w:tcPr>
            <w:tcW w:w="2645"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Change in fair value</w:t>
            </w:r>
          </w:p>
        </w:tc>
        <w:tc>
          <w:tcPr>
            <w:tcW w:w="60"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(2,691</w:t>
            </w:r>
          </w:p>
        </w:tc>
        <w:tc>
          <w:tcPr>
            <w:tcW w:w="8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 w:type="dxa"/>
            <w:tcBorders/>
            <w:shd w:fill="CCEEFF" w:val="clear"/>
            <w:vAlign w:val="bottom"/>
          </w:tcPr>
          <w:p>
            <w:pPr>
              <w:pStyle w:val="TableContents"/>
              <w:spacing w:before="0" w:after="283"/>
              <w:rPr/>
            </w:pPr>
            <w:r>
              <w:rPr/>
              <w:t> </w:t>
            </w:r>
          </w:p>
        </w:tc>
        <w:tc>
          <w:tcPr>
            <w:tcW w:w="1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60" w:type="dxa"/>
            <w:tcBorders/>
            <w:shd w:fill="CCEEFF" w:val="clear"/>
            <w:vAlign w:val="bottom"/>
          </w:tcPr>
          <w:p>
            <w:pPr>
              <w:pStyle w:val="TableContents"/>
              <w:spacing w:before="0" w:after="283"/>
              <w:jc w:val="left"/>
              <w:rPr/>
            </w:pPr>
            <w:r>
              <w:rPr/>
              <w:t> </w:t>
            </w:r>
          </w:p>
        </w:tc>
      </w:tr>
      <w:tr>
        <w:trPr/>
        <w:tc>
          <w:tcPr>
            <w:tcW w:w="264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Balance at end of period</w:t>
            </w:r>
          </w:p>
        </w:tc>
        <w:tc>
          <w:tcPr>
            <w:tcW w:w="60" w:type="dxa"/>
            <w:tcBorders/>
            <w:shd w:fill="FFFFFF" w:val="clear"/>
            <w:vAlign w:val="bottom"/>
          </w:tcPr>
          <w:p>
            <w:pPr>
              <w:pStyle w:val="TableContents"/>
              <w:spacing w:before="0" w:after="283"/>
              <w:rPr/>
            </w:pPr>
            <w:r>
              <w:rPr/>
              <w:t> </w:t>
            </w:r>
          </w:p>
        </w:tc>
        <w:tc>
          <w:tcPr>
            <w:tcW w:w="11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5"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19,909</w:t>
            </w:r>
          </w:p>
        </w:tc>
        <w:tc>
          <w:tcPr>
            <w:tcW w:w="83" w:type="dxa"/>
            <w:tcBorders/>
            <w:shd w:fill="FFFFFF" w:val="clear"/>
            <w:vAlign w:val="bottom"/>
          </w:tcPr>
          <w:p>
            <w:pPr>
              <w:pStyle w:val="TableContents"/>
              <w:spacing w:before="0" w:after="283"/>
              <w:jc w:val="left"/>
              <w:rPr/>
            </w:pPr>
            <w:r>
              <w:rPr/>
              <w:t> </w:t>
            </w:r>
          </w:p>
        </w:tc>
        <w:tc>
          <w:tcPr>
            <w:tcW w:w="62" w:type="dxa"/>
            <w:tcBorders/>
            <w:shd w:fill="FFFFFF" w:val="clear"/>
            <w:vAlign w:val="bottom"/>
          </w:tcPr>
          <w:p>
            <w:pPr>
              <w:pStyle w:val="TableContents"/>
              <w:spacing w:before="0" w:after="283"/>
              <w:rPr/>
            </w:pPr>
            <w:r>
              <w:rPr/>
              <w:t> </w:t>
            </w:r>
          </w:p>
        </w:tc>
        <w:tc>
          <w:tcPr>
            <w:tcW w:w="114"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17,783</w:t>
            </w:r>
          </w:p>
        </w:tc>
        <w:tc>
          <w:tcPr>
            <w:tcW w:w="60"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At March 31, 2019 we were servicing approximately $2.38 billion in mortgage loans for others on which servicing rights have been capitalized. This servicing portfolio had a weighted average coupon rate of 4.26% and a weighted average service fee of approximately 25.8 basis points. Capitalized mortgage loan servicing rights (recorded at fair value) at March 31, 2019 totaled $19.9 million, representing approximately 83.6 basis points on the related amount of mortgage loans serviced for others.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Investment and insurance commissions declined by $0.14 million in the first quarter of 2019 as compared to the year ago period due primarily to slower product sales reflecting market volatility and uncertainty and a $0.05 million charge-back related to commission on a large annuity sale from the fourth quarter of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earned $0.24 million and $0.26 million in the first quarters of 2019 and 2018, respectively, principally as a result of increases in the cash surrender value of our separate account bank owned life insurance.  Our separate account is primarily invested in agency mortgage-backed securities and managed by a third-party. The crediting rate (on which the earnings are based) reflects the performance of the separate account.  The total cash surrender value of our bank owned life insurance was $55.3 million and $55.1 million at March 31, 2019 and December 31, 2018, respectively.</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7" w:name="DSPFPageBreakArea61"/>
      <w:bookmarkStart w:id="638" w:name="DSPFPageBreakArea61"/>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39" w:name="DSPFPageNumber61"/>
      <w:bookmarkStart w:id="640" w:name="DSPFPageNumberArea60"/>
      <w:bookmarkEnd w:id="639"/>
      <w:bookmarkEnd w:id="640"/>
      <w:r>
        <w:rPr>
          <w:rFonts w:ascii="Times New Roman" w:hAnsi="Times New Roman"/>
          <w:b w:val="false"/>
          <w:i w:val="false"/>
          <w:caps w:val="false"/>
          <w:smallCaps w:val="false"/>
          <w:sz w:val="13"/>
        </w:rPr>
        <w:t>62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1" w:name="DSPFPageBreak61"/>
      <w:bookmarkStart w:id="642" w:name="DSPFPageBreak61"/>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43" w:name="DSPFPageHeader60"/>
        <w:bookmarkEnd w:id="643"/>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Other non-interest income totaled $1.73 million and $1.25 million during the first quarters of 2019 and 2018, respectively.  This increase is primarily due to $0.38 million of recoveries on TCSB loans that had been charged-off prior to the Merger and an increase in wire transfer fees.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Non-interest expense.</w:t>
      </w:r>
      <w:r>
        <w:rPr>
          <w:rFonts w:ascii="Times New Roman" w:hAnsi="Times New Roman"/>
          <w:sz w:val="17"/>
        </w:rPr>
        <w:t>  Non-interest expense is an important component of our results of operations. We strive to efficiently manage our cost structure.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Non-interest expense totaled $28.0 million in the first quarter of 2019 compared to $24.1 million in the year ago period. Many categories of non-interest expense have increased primarily as a result of the Merger.  The components of non-interest expense are as follows:</w:t>
      </w:r>
    </w:p>
    <w:p>
      <w:pPr>
        <w:pStyle w:val="TextBody"/>
        <w:spacing w:before="0" w:after="0"/>
        <w:rPr/>
      </w:pPr>
      <w:r>
        <w:rPr/>
      </w:r>
    </w:p>
    <w:p>
      <w:pPr>
        <w:pStyle w:val="Normal"/>
        <w:spacing w:before="0" w:after="0"/>
        <w:rPr>
          <w:sz w:val="4"/>
          <w:szCs w:val="4"/>
        </w:rPr>
      </w:pPr>
      <w:r>
        <w:rPr>
          <w:sz w:val="4"/>
          <w:szCs w:val="4"/>
        </w:rPr>
      </w:r>
      <w:bookmarkStart w:id="644" w:name="zf6ec2f42d2684b8281f388cae4d6a0eb"/>
      <w:bookmarkStart w:id="645" w:name="zf6ec2f42d2684b8281f388cae4d6a0eb"/>
      <w:bookmarkEnd w:id="645"/>
    </w:p>
    <w:tbl>
      <w:tblPr>
        <w:tblW w:w="5820" w:type="dxa"/>
        <w:jc w:val="center"/>
        <w:tblInd w:w="0" w:type="dxa"/>
        <w:tblCellMar>
          <w:top w:w="0" w:type="dxa"/>
          <w:left w:w="0" w:type="dxa"/>
          <w:bottom w:w="0" w:type="dxa"/>
          <w:right w:w="0" w:type="dxa"/>
        </w:tblCellMar>
      </w:tblPr>
      <w:tblGrid>
        <w:gridCol w:w="4220"/>
        <w:gridCol w:w="60"/>
        <w:gridCol w:w="116"/>
        <w:gridCol w:w="543"/>
        <w:gridCol w:w="63"/>
        <w:gridCol w:w="63"/>
        <w:gridCol w:w="116"/>
        <w:gridCol w:w="544"/>
        <w:gridCol w:w="95"/>
      </w:tblGrid>
      <w:tr>
        <w:trPr/>
        <w:tc>
          <w:tcPr>
            <w:tcW w:w="4220" w:type="dxa"/>
            <w:tcBorders/>
            <w:shd w:fill="auto" w:val="clear"/>
            <w:vAlign w:val="bottom"/>
          </w:tcPr>
          <w:p>
            <w:pPr>
              <w:pStyle w:val="TableContents"/>
              <w:spacing w:before="0" w:after="0"/>
              <w:jc w:val="left"/>
              <w:rPr>
                <w:rFonts w:ascii="Times New Roman" w:hAnsi="Times New Roman"/>
                <w:b/>
                <w:sz w:val="17"/>
              </w:rPr>
            </w:pPr>
            <w:r>
              <w:rPr>
                <w:rFonts w:ascii="Times New Roman" w:hAnsi="Times New Roman"/>
                <w:b/>
                <w:sz w:val="17"/>
              </w:rPr>
              <w:t>Non-Interest Expense</w:t>
            </w:r>
          </w:p>
        </w:tc>
        <w:tc>
          <w:tcPr>
            <w:tcW w:w="60" w:type="dxa"/>
            <w:tcBorders/>
            <w:shd w:fill="auto" w:val="clear"/>
            <w:vAlign w:val="bottom"/>
          </w:tcPr>
          <w:p>
            <w:pPr>
              <w:pStyle w:val="TableContents"/>
              <w:spacing w:before="0" w:after="283"/>
              <w:rPr/>
            </w:pPr>
            <w:r>
              <w:rPr/>
              <w:t> </w:t>
            </w:r>
          </w:p>
        </w:tc>
        <w:tc>
          <w:tcPr>
            <w:tcW w:w="659" w:type="dxa"/>
            <w:gridSpan w:val="2"/>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9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6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9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Compensation</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10,481</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8,930</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Performance-based compensation</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2,220</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2,783</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Payroll taxes and employee benefits</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3,650</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2,755</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Compensation and employee benefits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16,351</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14,468</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Occupancy, net</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2,505</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2,264</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Data processing</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2,144</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1,878</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Furniture, fixtures and equipment</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1,029</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967</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Communications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769</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680</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Interchange expense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688</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598</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Advertising</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672</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441</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Loan and collection</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634</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677</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Legal and professional</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369</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378</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FDIC deposit insurance</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368</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230</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Amortization of intangible assets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272</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86</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Costs (recoveries) related to unfunded lending commitments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160</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(114</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Supplies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158</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165</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(gains) losses on other real estate and repossessed assets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119</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(290</w:t>
            </w:r>
          </w:p>
        </w:tc>
        <w:tc>
          <w:tcPr>
            <w:tcW w:w="9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Provision for loss reimbursement on sold loans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111</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11</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Credit card and bank service fees</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3"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103</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54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96</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Merger related expenses</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3"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544"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174</w:t>
            </w:r>
          </w:p>
        </w:tc>
        <w:tc>
          <w:tcPr>
            <w:tcW w:w="95" w:type="dxa"/>
            <w:tcBorders/>
            <w:shd w:fill="FFFFFF"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w:t>
            </w:r>
          </w:p>
        </w:tc>
        <w:tc>
          <w:tcPr>
            <w:tcW w:w="60"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1,538</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rPr/>
            </w:pPr>
            <w:r>
              <w:rPr/>
              <w:t> </w:t>
            </w:r>
          </w:p>
        </w:tc>
        <w:tc>
          <w:tcPr>
            <w:tcW w:w="1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1,426</w:t>
            </w:r>
          </w:p>
        </w:tc>
        <w:tc>
          <w:tcPr>
            <w:tcW w:w="95" w:type="dxa"/>
            <w:tcBorders/>
            <w:shd w:fill="CCEEFF" w:val="clear"/>
            <w:vAlign w:val="bottom"/>
          </w:tcPr>
          <w:p>
            <w:pPr>
              <w:pStyle w:val="TableContents"/>
              <w:spacing w:before="0" w:after="283"/>
              <w:jc w:val="left"/>
              <w:rPr/>
            </w:pPr>
            <w:r>
              <w:rPr/>
              <w:t> </w:t>
            </w:r>
          </w:p>
        </w:tc>
      </w:tr>
      <w:tr>
        <w:trPr/>
        <w:tc>
          <w:tcPr>
            <w:tcW w:w="422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Total non-interest expense</w:t>
            </w:r>
          </w:p>
        </w:tc>
        <w:tc>
          <w:tcPr>
            <w:tcW w:w="60"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3"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27,990</w:t>
            </w:r>
          </w:p>
        </w:tc>
        <w:tc>
          <w:tcPr>
            <w:tcW w:w="63" w:type="dxa"/>
            <w:tcBorders/>
            <w:shd w:fill="FFFFFF" w:val="clear"/>
            <w:vAlign w:val="bottom"/>
          </w:tcPr>
          <w:p>
            <w:pPr>
              <w:pStyle w:val="TableContents"/>
              <w:spacing w:before="0" w:after="283"/>
              <w:jc w:val="left"/>
              <w:rPr/>
            </w:pPr>
            <w:r>
              <w:rPr/>
              <w:t> </w:t>
            </w:r>
          </w:p>
        </w:tc>
        <w:tc>
          <w:tcPr>
            <w:tcW w:w="63"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4"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24,135</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Compensation and employee benefits expenses, in total, increased by $1.9 million, or 13.0%, in the first quarter of 2019, as compared to the year ago period.</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6" w:name="DSPFPageBreakArea62"/>
      <w:bookmarkStart w:id="647" w:name="DSPFPageBreakArea62"/>
      <w:bookmarkEnd w:id="6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48" w:name="DSPFPageNumber62"/>
      <w:bookmarkStart w:id="649" w:name="DSPFPageNumberArea61"/>
      <w:bookmarkEnd w:id="648"/>
      <w:bookmarkEnd w:id="649"/>
      <w:r>
        <w:rPr>
          <w:rFonts w:ascii="Times New Roman" w:hAnsi="Times New Roman"/>
          <w:b w:val="false"/>
          <w:i w:val="false"/>
          <w:caps w:val="false"/>
          <w:smallCaps w:val="false"/>
          <w:sz w:val="13"/>
        </w:rPr>
        <w:t>63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0" w:name="DSPFPageBreak62"/>
      <w:bookmarkStart w:id="651" w:name="DSPFPageBreak62"/>
      <w:bookmarkEnd w:id="6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52" w:name="DSPFPageHeader61"/>
        <w:bookmarkEnd w:id="652"/>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Compensation expense increased by $1.6 million, or 17.4%.  This year-over-year increase was generally attributable to the Merger (approximately $0.9 million) and the balance of the increase was due primarily to annual compensation increases that were effective on January 1, 2019.</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Performance-based compensation decreased by $0.6 million in 2019 due primarily to a lower accrual for anticipated incentive compensation for salaried employees based on our forecasted 2019 performance as compared to goals.  In addition, the first quarter of 2018 included a $0.3 million bonus that was paid to hourly employees.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Payroll taxes and employee benefits increased $0.9 million in 2019 due primarily to higher health insurance costs ($0.7 million increase) as well as higher payroll taxes and 401(k) plan costs (in part, reflecting an increased number of employees due to the Merger).  We have a self-insured health insurance plan with an individual claim stop-loss limit.  Health insurance claims levels have increased substantially since the second quarter of 2018 and continuing into 2019.</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Occupancy, net, increased $0.2 million, or 10.6%, in the first quarter of 2019 compared to 2018 primarily due to additional branch locations added as a result of the Merger and higher snow removal costs.</w:t>
      </w:r>
    </w:p>
    <w:p>
      <w:pPr>
        <w:pStyle w:val="TextBody"/>
        <w:spacing w:before="0" w:after="0"/>
        <w:rPr/>
      </w:pPr>
      <w:r>
        <w:rPr/>
      </w:r>
    </w:p>
    <w:p>
      <w:pPr>
        <w:pStyle w:val="TextBody"/>
        <w:spacing w:before="0" w:after="0"/>
        <w:ind w:left="0" w:right="113" w:hanging="0"/>
        <w:jc w:val="both"/>
        <w:rPr>
          <w:rFonts w:ascii="Times New Roman" w:hAnsi="Times New Roman"/>
          <w:sz w:val="17"/>
        </w:rPr>
      </w:pPr>
      <w:r>
        <w:rPr>
          <w:rFonts w:ascii="Times New Roman" w:hAnsi="Times New Roman"/>
          <w:sz w:val="17"/>
        </w:rPr>
        <w:t>Data processing expense increased $0.3 million, or 14.2%, in the first quarter of 2019 compared to the year earlier period due primarily to the Merger and various new software products that have been implemented.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Furniture, fixtures and equipment, legal and professional fees, supplies and credit card and bank service fees were all relatively unchanged in the first quarter of 2019 as compared to the year earlier period.</w:t>
      </w:r>
    </w:p>
    <w:p>
      <w:pPr>
        <w:pStyle w:val="TextBody"/>
        <w:spacing w:before="0" w:after="0"/>
        <w:rPr/>
      </w:pPr>
      <w:r>
        <w:rPr/>
      </w:r>
    </w:p>
    <w:p>
      <w:pPr>
        <w:pStyle w:val="TextBody"/>
        <w:spacing w:before="0" w:after="0"/>
        <w:ind w:left="0" w:right="113" w:hanging="0"/>
        <w:jc w:val="both"/>
        <w:rPr>
          <w:rFonts w:ascii="Times New Roman" w:hAnsi="Times New Roman"/>
          <w:sz w:val="17"/>
        </w:rPr>
      </w:pPr>
      <w:r>
        <w:rPr>
          <w:rFonts w:ascii="Times New Roman" w:hAnsi="Times New Roman"/>
          <w:sz w:val="17"/>
        </w:rPr>
        <w:t>Communications expense increased $0.1 million, or 13.1%, in the first quarter of 2019 compared to the year earlier period due primarily to the Merger.</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Interchange expense increased by $0.1 million in the first quarter of 2019 compared to the year ago quarter due primarily to increased transaction volume as a result of the Merger and general growth.</w:t>
      </w:r>
    </w:p>
    <w:p>
      <w:pPr>
        <w:pStyle w:val="TextBody"/>
        <w:spacing w:before="0" w:after="0"/>
        <w:rPr/>
      </w:pPr>
      <w:r>
        <w:rPr/>
      </w:r>
    </w:p>
    <w:p>
      <w:pPr>
        <w:pStyle w:val="TextBody"/>
        <w:spacing w:before="0" w:after="0"/>
        <w:ind w:left="0" w:right="113" w:hanging="0"/>
        <w:jc w:val="both"/>
        <w:rPr>
          <w:rFonts w:ascii="Times New Roman" w:hAnsi="Times New Roman"/>
          <w:sz w:val="17"/>
        </w:rPr>
      </w:pPr>
      <w:r>
        <w:rPr>
          <w:rFonts w:ascii="Times New Roman" w:hAnsi="Times New Roman"/>
          <w:sz w:val="17"/>
        </w:rPr>
        <w:t>Advertising expense increased $0.2 million, or 52.4%, in the first quarter of 2019 compared to the year earlier period due primarily to increases in outdoor (billboards) advertising and sponsorship of various community events.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Loan and collection expenses primarily reflect costs related to lending activities, including the management and collection of non-performing loans and other problem credits. These expenses were relatively unchanged in the first quarter of 2019 compared to the year ago quarter.</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FDIC deposit insurance expense increased by $0.1 million in the first quarter of 2019 compared to the year ago quarter due to a combination of an increase in our assessment rate and growth in our total assets.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amortization of intangible assets primarily relates to the Merger and prior branch acquisitions and the amortization of the deposit customer relationship value, including core deposit value, which was acquired in connection with those transactions. We had remaining unamortized intangible assets of $6.1 million and $6.4 million at March 31, 2019 and December 31, 2018, respectively. See note #7 to the Condensed Consolidated Financial Statements for a schedule of future amortization of intangible assets.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3" w:name="DSPFPageBreakArea63"/>
      <w:bookmarkStart w:id="654" w:name="DSPFPageBreakArea63"/>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55" w:name="DSPFPageNumber63"/>
      <w:bookmarkStart w:id="656" w:name="DSPFPageNumberArea62"/>
      <w:bookmarkEnd w:id="655"/>
      <w:bookmarkEnd w:id="656"/>
      <w:r>
        <w:rPr>
          <w:rFonts w:ascii="Times New Roman" w:hAnsi="Times New Roman"/>
          <w:b w:val="false"/>
          <w:i w:val="false"/>
          <w:caps w:val="false"/>
          <w:smallCaps w:val="false"/>
          <w:sz w:val="13"/>
        </w:rPr>
        <w:t>64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7" w:name="DSPFPageBreak63"/>
      <w:bookmarkStart w:id="658" w:name="DSPFPageBreak63"/>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59" w:name="DSPFPageHeader62"/>
        <w:bookmarkEnd w:id="659"/>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The changes in costs related to unfunded lending commitments are primarily impacted by changes in the amounts of such commitments to originate portfolio loans as well as (for commercial loan commitments) the grade (pursuant to our loan rating system) of such commitments.  In addition, in the first quarter of 2019, we made some adjustments to the look back period for determining these costs that led to the increased expense.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$0.1 million of net losses in the first quarter of 2019 were primarily attributed to write-downs of residential real estate.  The $0.3 million net gain in the first quarter of 2018 primarily relates to the sale of residential real estate and reflected generally increasing housing prices in our markets at that time.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provision for loss reimbursement on sold loans was an expense of $0.11 million and $0.01 million in the first quarters of 2019 and 2018, respectively, and represents our estimate of incurred losses related to mortgage loans that we have sold to investors (primarily Fannie Mae, Freddie Mac, Ginnie Mae and the Federal Home Loan Bank of Indianapolis [“FHLB”]).  Since we sell mortgage loans without recourse, loss reimbursements only occur in those instances where we have breached a representation or warranty or other contractual requirement related to the loan sale.  The reserve for loss reimbursements on sold mortgage loans totaled $0.80 million and $0.78 million at March 31, 2019 and December 31, 2018, respectively. This reserve is included in accrued expenses and other liabilities in our Condensed Consolidated Statements of Financial Condition. We believe that the amounts that we have accrued for incurred losses on sold mortgage loans are appropriate given our analyses.  However, future losses could exceed our current estimate.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Merger related expenses totaled $0.2 million in the first quarter of 2018 and primarily represented professional fees incurred related to the Merger.</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Other non-interest expenses increased by $0.1 million in the first quarter of 2019 compared to the year ago quarter due primarily to a higher level of debit card fraud losses.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Income tax expense.</w:t>
      </w:r>
      <w:r>
        <w:rPr>
          <w:rFonts w:ascii="Times New Roman" w:hAnsi="Times New Roman"/>
          <w:sz w:val="17"/>
        </w:rPr>
        <w:t>  We recorded an income tax expense of $2.2 million and $2.0 million in the first quarters of 2019 and 2018, respectively.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both the first quarters of 2019 and 2018, include a reduction of $0.2 million of income tax expense related to impact of the excess value of stock awards that vested and stock options that were exercised as compared to the initial fair values that were expensed.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2019 and 2018 and at December 31, 2018, that the realization of substantially all of our deferred tax assets continues to be more likely than not.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0" w:name="DSPFPageBreakArea64"/>
      <w:bookmarkStart w:id="661" w:name="DSPFPageBreakArea64"/>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62" w:name="DSPFPageNumber64"/>
      <w:bookmarkStart w:id="663" w:name="DSPFPageNumberArea63"/>
      <w:bookmarkEnd w:id="662"/>
      <w:bookmarkEnd w:id="663"/>
      <w:r>
        <w:rPr>
          <w:rFonts w:ascii="Times New Roman" w:hAnsi="Times New Roman"/>
          <w:b w:val="false"/>
          <w:i w:val="false"/>
          <w:caps w:val="false"/>
          <w:smallCaps w:val="false"/>
          <w:sz w:val="13"/>
        </w:rPr>
        <w:t>65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4" w:name="DSPFPageBreak64"/>
      <w:bookmarkStart w:id="665" w:name="DSPFPageBreak64"/>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66" w:name="DSPFPageHeader63"/>
        <w:bookmarkEnd w:id="66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aps w:val="false"/>
          <w:smallCaps w:val="false"/>
          <w:sz w:val="17"/>
        </w:rPr>
      </w:pPr>
      <w:r>
        <w:rPr>
          <w:rFonts w:ascii="Times New Roman" w:hAnsi="Times New Roman"/>
          <w:b/>
          <w:caps w:val="false"/>
          <w:smallCaps w:val="false"/>
          <w:sz w:val="17"/>
        </w:rPr>
        <w:t>Financial Condition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Summary.</w:t>
      </w:r>
      <w:r>
        <w:rPr>
          <w:rFonts w:ascii="Times New Roman" w:hAnsi="Times New Roman"/>
          <w:sz w:val="17"/>
        </w:rPr>
        <w:t>  Our total assets increased by $30.3 million during the first three months of 2019.  Loans, excluding loans held for sale (“Portfolio Loans”), totaled $2.62 billion at March 31, 2019, an increase of $36.3 million, or 1.4%, from December 31, 2018.  (See “Portfolio Loans and asset quality.”)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Deposits totaled $2.93 billion at March 31, 2019, compared to $2.91 billion at December 31, 2018.  The $20.8 million increase in total deposits during the period is due to growth in savings and interest-bearing checking deposit account balances and in reciprocal deposits.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Securities.</w:t>
      </w:r>
      <w:r>
        <w:rPr>
          <w:rFonts w:ascii="Times New Roman" w:hAnsi="Times New Roman"/>
          <w:sz w:val="17"/>
        </w:rPr>
        <w:t>  We maintain diversified securities portfolios, which include obligations of U.S. government-sponsored agencies, securities issued by states 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pStyle w:val="TextBody"/>
        <w:spacing w:before="0" w:after="0"/>
        <w:rPr/>
      </w:pPr>
      <w:r>
        <w:rPr/>
      </w:r>
    </w:p>
    <w:p>
      <w:pPr>
        <w:pStyle w:val="Normal"/>
        <w:spacing w:before="0" w:after="0"/>
        <w:rPr>
          <w:sz w:val="4"/>
          <w:szCs w:val="4"/>
        </w:rPr>
      </w:pPr>
      <w:r>
        <w:rPr>
          <w:sz w:val="4"/>
          <w:szCs w:val="4"/>
        </w:rPr>
      </w:r>
      <w:bookmarkStart w:id="667" w:name="z2d7a3bc3dc61454d9cbd27b1d191ed43"/>
      <w:bookmarkStart w:id="668" w:name="z2d7a3bc3dc61454d9cbd27b1d191ed43"/>
      <w:bookmarkEnd w:id="668"/>
    </w:p>
    <w:tbl>
      <w:tblPr>
        <w:tblW w:w="4855" w:type="dxa"/>
        <w:jc w:val="center"/>
        <w:tblInd w:w="0" w:type="dxa"/>
        <w:tblCellMar>
          <w:top w:w="0" w:type="dxa"/>
          <w:left w:w="0" w:type="dxa"/>
          <w:bottom w:w="0" w:type="dxa"/>
          <w:right w:w="0" w:type="dxa"/>
        </w:tblCellMar>
      </w:tblPr>
      <w:tblGrid>
        <w:gridCol w:w="1895"/>
        <w:gridCol w:w="60"/>
        <w:gridCol w:w="116"/>
        <w:gridCol w:w="639"/>
        <w:gridCol w:w="60"/>
        <w:gridCol w:w="60"/>
        <w:gridCol w:w="110"/>
        <w:gridCol w:w="425"/>
        <w:gridCol w:w="60"/>
        <w:gridCol w:w="110"/>
        <w:gridCol w:w="425"/>
        <w:gridCol w:w="60"/>
        <w:gridCol w:w="60"/>
        <w:gridCol w:w="110"/>
        <w:gridCol w:w="605"/>
        <w:gridCol w:w="60"/>
      </w:tblGrid>
      <w:tr>
        <w:trPr/>
        <w:tc>
          <w:tcPr>
            <w:tcW w:w="3365" w:type="dxa"/>
            <w:gridSpan w:val="8"/>
            <w:tcBorders/>
            <w:shd w:fill="auto" w:val="clear"/>
            <w:vAlign w:val="bottom"/>
          </w:tcPr>
          <w:p>
            <w:pPr>
              <w:pStyle w:val="TableContents"/>
              <w:spacing w:before="0" w:after="0"/>
              <w:jc w:val="left"/>
              <w:rPr>
                <w:rFonts w:ascii="Times New Roman" w:hAnsi="Times New Roman"/>
                <w:b/>
                <w:sz w:val="17"/>
              </w:rPr>
            </w:pPr>
            <w:r>
              <w:rPr>
                <w:rFonts w:ascii="Times New Roman" w:hAnsi="Times New Roman"/>
                <w:b/>
                <w:sz w:val="17"/>
              </w:rPr>
              <w:t>Securities</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5"/>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Unrealized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Amortized</w:t>
            </w:r>
          </w:p>
          <w:p>
            <w:pPr>
              <w:pStyle w:val="TableContents"/>
              <w:spacing w:before="0" w:after="0"/>
              <w:jc w:val="center"/>
              <w:rPr>
                <w:rFonts w:ascii="Times New Roman" w:hAnsi="Times New Roman"/>
                <w:sz w:val="17"/>
              </w:rPr>
            </w:pPr>
            <w:r>
              <w:rPr>
                <w:rFonts w:ascii="Times New Roman" w:hAnsi="Times New Roman"/>
                <w:sz w:val="17"/>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Gains</w:t>
            </w:r>
          </w:p>
        </w:tc>
        <w:tc>
          <w:tcPr>
            <w:tcW w:w="60" w:type="dxa"/>
            <w:tcBorders/>
            <w:shd w:fill="auto" w:val="clear"/>
            <w:vAlign w:val="bottom"/>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Fair</w:t>
            </w:r>
          </w:p>
          <w:p>
            <w:pPr>
              <w:pStyle w:val="TableContents"/>
              <w:spacing w:before="0" w:after="0"/>
              <w:jc w:val="center"/>
              <w:rPr>
                <w:rFonts w:ascii="Times New Roman" w:hAnsi="Times New Roman"/>
                <w:sz w:val="17"/>
              </w:rPr>
            </w:pPr>
            <w:r>
              <w:rPr>
                <w:rFonts w:ascii="Times New Roman" w:hAnsi="Times New Roman"/>
                <w:sz w:val="17"/>
              </w:rPr>
              <w:t>Value</w:t>
            </w:r>
          </w:p>
        </w:tc>
        <w:tc>
          <w:tcPr>
            <w:tcW w:w="60"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0" w:type="dxa"/>
            <w:gridSpan w:val="13"/>
            <w:tcBorders/>
            <w:shd w:fill="auto" w:val="clear"/>
            <w:vAlign w:val="bottom"/>
          </w:tcPr>
          <w:p>
            <w:pPr>
              <w:pStyle w:val="TableContents"/>
              <w:spacing w:before="0" w:after="283"/>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Securities available for sale</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89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March 31, 2019</w:t>
            </w:r>
          </w:p>
        </w:tc>
        <w:tc>
          <w:tcPr>
            <w:tcW w:w="6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461,604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2,755</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42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2,828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461,531</w:t>
            </w:r>
          </w:p>
        </w:tc>
        <w:tc>
          <w:tcPr>
            <w:tcW w:w="60" w:type="dxa"/>
            <w:tcBorders/>
            <w:shd w:fill="CCEEFF" w:val="clear"/>
            <w:vAlign w:val="bottom"/>
          </w:tcPr>
          <w:p>
            <w:pPr>
              <w:pStyle w:val="TableContents"/>
              <w:spacing w:before="0" w:after="283"/>
              <w:jc w:val="left"/>
              <w:rPr/>
            </w:pPr>
            <w:r>
              <w:rPr/>
              <w:t> </w:t>
            </w:r>
          </w:p>
        </w:tc>
      </w:tr>
      <w:tr>
        <w:trPr/>
        <w:tc>
          <w:tcPr>
            <w:tcW w:w="189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December 31, 2018</w:t>
            </w:r>
          </w:p>
        </w:tc>
        <w:tc>
          <w:tcPr>
            <w:tcW w:w="60"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63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433,224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1,520</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42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6,818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60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427,926</w:t>
            </w:r>
          </w:p>
        </w:tc>
        <w:tc>
          <w:tcPr>
            <w:tcW w:w="60" w:type="dxa"/>
            <w:tcBorders/>
            <w:shd w:fill="FFFF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17"/>
        </w:rPr>
      </w:pPr>
      <w:r>
        <w:rPr>
          <w:rFonts w:ascii="Times New Roman" w:hAnsi="Times New Roman"/>
          <w:sz w:val="17"/>
        </w:rPr>
      </w:r>
    </w:p>
    <w:p>
      <w:pPr>
        <w:pStyle w:val="TextBody"/>
        <w:jc w:val="both"/>
        <w:rPr>
          <w:rFonts w:ascii="Times New Roman" w:hAnsi="Times New Roman"/>
          <w:sz w:val="17"/>
        </w:rPr>
      </w:pPr>
      <w:r>
        <w:rPr>
          <w:rFonts w:ascii="Times New Roman" w:hAnsi="Times New Roman"/>
          <w:sz w:val="17"/>
        </w:rPr>
        <w:t>Securities available for sale increased $33.6 million during the first quarter of 2019.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the first quarter of 2019 or 2018.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9" w:name="DSPFPageBreakArea65"/>
      <w:bookmarkStart w:id="670" w:name="DSPFPageBreakArea65"/>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71" w:name="DSPFPageNumber65"/>
      <w:bookmarkStart w:id="672" w:name="DSPFPageNumberArea64"/>
      <w:bookmarkEnd w:id="671"/>
      <w:bookmarkEnd w:id="672"/>
      <w:r>
        <w:rPr>
          <w:rFonts w:ascii="Times New Roman" w:hAnsi="Times New Roman"/>
          <w:b w:val="false"/>
          <w:i w:val="false"/>
          <w:caps w:val="false"/>
          <w:smallCaps w:val="false"/>
          <w:sz w:val="13"/>
        </w:rPr>
        <w:t>66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3" w:name="DSPFPageBreak65"/>
      <w:bookmarkStart w:id="674" w:name="DSPFPageBreak65"/>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75" w:name="DSPFPageHeader64"/>
        <w:bookmarkEnd w:id="675"/>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Sales of securities were as follows (See “Non-interest income.”):</w:t>
      </w:r>
    </w:p>
    <w:p>
      <w:pPr>
        <w:pStyle w:val="TextBody"/>
        <w:spacing w:before="0" w:after="0"/>
        <w:rPr/>
      </w:pPr>
      <w:r>
        <w:rPr/>
      </w:r>
    </w:p>
    <w:p>
      <w:pPr>
        <w:pStyle w:val="Normal"/>
        <w:spacing w:before="0" w:after="0"/>
        <w:rPr>
          <w:sz w:val="4"/>
          <w:szCs w:val="4"/>
        </w:rPr>
      </w:pPr>
      <w:r>
        <w:rPr>
          <w:sz w:val="4"/>
          <w:szCs w:val="4"/>
        </w:rPr>
      </w:r>
      <w:bookmarkStart w:id="676" w:name="ze4190d1fd7684518acf64c51f23afa00"/>
      <w:bookmarkStart w:id="677" w:name="ze4190d1fd7684518acf64c51f23afa00"/>
      <w:bookmarkEnd w:id="677"/>
    </w:p>
    <w:tbl>
      <w:tblPr>
        <w:tblW w:w="3255" w:type="dxa"/>
        <w:jc w:val="center"/>
        <w:tblInd w:w="0" w:type="dxa"/>
        <w:tblCellMar>
          <w:top w:w="0" w:type="dxa"/>
          <w:left w:w="0" w:type="dxa"/>
          <w:bottom w:w="0" w:type="dxa"/>
          <w:right w:w="0" w:type="dxa"/>
        </w:tblCellMar>
      </w:tblPr>
      <w:tblGrid>
        <w:gridCol w:w="1670"/>
        <w:gridCol w:w="60"/>
        <w:gridCol w:w="114"/>
        <w:gridCol w:w="535"/>
        <w:gridCol w:w="83"/>
        <w:gridCol w:w="62"/>
        <w:gridCol w:w="114"/>
        <w:gridCol w:w="537"/>
        <w:gridCol w:w="80"/>
      </w:tblGrid>
      <w:tr>
        <w:trPr/>
        <w:tc>
          <w:tcPr>
            <w:tcW w:w="16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80" w:type="dxa"/>
            <w:tcBorders/>
            <w:shd w:fill="auto" w:val="clear"/>
            <w:vAlign w:val="bottom"/>
          </w:tcPr>
          <w:p>
            <w:pPr>
              <w:pStyle w:val="TableContents"/>
              <w:spacing w:before="0" w:after="283"/>
              <w:jc w:val="left"/>
              <w:rPr/>
            </w:pPr>
            <w:r>
              <w:rPr/>
              <w:t> </w:t>
            </w:r>
          </w:p>
        </w:tc>
      </w:tr>
      <w:tr>
        <w:trPr/>
        <w:tc>
          <w:tcPr>
            <w:tcW w:w="16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9" w:type="dxa"/>
            <w:gridSpan w:val="2"/>
            <w:tcBorders>
              <w:bottom w:val="single" w:sz="12" w:space="0" w:color="000000"/>
            </w:tcBorders>
            <w:shd w:fill="auto" w:val="clear"/>
            <w:tcMar>
              <w:bottom w:w="28" w:type="dxa"/>
            </w:tcMar>
            <w:vAlign w:val="bottom"/>
          </w:tcPr>
          <w:p>
            <w:pPr>
              <w:pStyle w:val="TableContents"/>
              <w:spacing w:before="0" w:after="0"/>
              <w:ind w:left="0" w:right="0" w:firstLine="40"/>
              <w:jc w:val="center"/>
              <w:rPr>
                <w:rFonts w:ascii="Times New Roman" w:hAnsi="Times New Roman"/>
                <w:sz w:val="17"/>
              </w:rPr>
            </w:pPr>
            <w:r>
              <w:rPr>
                <w:rFonts w:ascii="Times New Roman" w:hAnsi="Times New Roman"/>
                <w:sz w:val="17"/>
              </w:rPr>
              <w:t>2019</w:t>
            </w:r>
          </w:p>
        </w:tc>
        <w:tc>
          <w:tcPr>
            <w:tcW w:w="83"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65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80" w:type="dxa"/>
            <w:tcBorders/>
            <w:shd w:fill="auto" w:val="clear"/>
            <w:vAlign w:val="bottom"/>
          </w:tcPr>
          <w:p>
            <w:pPr>
              <w:pStyle w:val="TableContents"/>
              <w:spacing w:before="0" w:after="283"/>
              <w:jc w:val="left"/>
              <w:rPr/>
            </w:pPr>
            <w:r>
              <w:rPr/>
              <w:t> </w:t>
            </w:r>
          </w:p>
        </w:tc>
      </w:tr>
      <w:tr>
        <w:trPr/>
        <w:tc>
          <w:tcPr>
            <w:tcW w:w="16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80" w:type="dxa"/>
            <w:tcBorders/>
            <w:shd w:fill="auto" w:val="clear"/>
            <w:vAlign w:val="bottom"/>
          </w:tcPr>
          <w:p>
            <w:pPr>
              <w:pStyle w:val="TableContents"/>
              <w:spacing w:before="0" w:after="283"/>
              <w:jc w:val="left"/>
              <w:rPr/>
            </w:pPr>
            <w:r>
              <w:rPr/>
              <w:t> </w:t>
            </w:r>
          </w:p>
        </w:tc>
      </w:tr>
      <w:tr>
        <w:trPr/>
        <w:tc>
          <w:tcPr>
            <w:tcW w:w="2379" w:type="dxa"/>
            <w:gridSpan w:val="4"/>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651"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r>
      <w:tr>
        <w:trPr/>
        <w:tc>
          <w:tcPr>
            <w:tcW w:w="16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Proceeds</w:t>
            </w:r>
          </w:p>
        </w:tc>
        <w:tc>
          <w:tcPr>
            <w:tcW w:w="60" w:type="dxa"/>
            <w:tcBorders/>
            <w:shd w:fill="CCEEFF" w:val="clear"/>
            <w:vAlign w:val="bottom"/>
          </w:tcPr>
          <w:p>
            <w:pPr>
              <w:pStyle w:val="TableContents"/>
              <w:spacing w:before="0" w:after="283"/>
              <w:rPr/>
            </w:pPr>
            <w:r>
              <w:rPr/>
              <w:t> </w:t>
            </w:r>
          </w:p>
        </w:tc>
        <w:tc>
          <w:tcPr>
            <w:tcW w:w="11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42,236</w:t>
            </w:r>
          </w:p>
        </w:tc>
        <w:tc>
          <w:tcPr>
            <w:tcW w:w="83"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rPr/>
            </w:pPr>
            <w:r>
              <w:rPr/>
              <w:t> </w:t>
            </w:r>
          </w:p>
        </w:tc>
        <w:tc>
          <w:tcPr>
            <w:tcW w:w="11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22,277</w:t>
            </w:r>
          </w:p>
        </w:tc>
        <w:tc>
          <w:tcPr>
            <w:tcW w:w="80" w:type="dxa"/>
            <w:tcBorders/>
            <w:shd w:fill="CCEEFF" w:val="clear"/>
            <w:vAlign w:val="bottom"/>
          </w:tcPr>
          <w:p>
            <w:pPr>
              <w:pStyle w:val="TableContents"/>
              <w:spacing w:before="0" w:after="283"/>
              <w:ind w:left="180" w:right="0" w:hanging="180"/>
              <w:jc w:val="left"/>
              <w:rPr/>
            </w:pPr>
            <w:r>
              <w:rPr/>
              <w:t> </w:t>
            </w:r>
          </w:p>
        </w:tc>
      </w:tr>
      <w:tr>
        <w:trPr/>
        <w:tc>
          <w:tcPr>
            <w:tcW w:w="167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5" w:type="dxa"/>
            <w:tcBorders/>
            <w:shd w:fill="FFFFFF" w:val="clear"/>
            <w:vAlign w:val="bottom"/>
          </w:tcPr>
          <w:p>
            <w:pPr>
              <w:pStyle w:val="TableContents"/>
              <w:spacing w:before="0" w:after="283"/>
              <w:jc w:val="right"/>
              <w:rPr/>
            </w:pPr>
            <w:r>
              <w:rPr/>
              <w:t> </w:t>
            </w:r>
          </w:p>
        </w:tc>
        <w:tc>
          <w:tcPr>
            <w:tcW w:w="83" w:type="dxa"/>
            <w:tcBorders/>
            <w:shd w:fill="FFFFFF" w:val="clear"/>
            <w:vAlign w:val="bottom"/>
          </w:tcPr>
          <w:p>
            <w:pPr>
              <w:pStyle w:val="TableContents"/>
              <w:spacing w:before="0" w:after="283"/>
              <w:jc w:val="left"/>
              <w:rPr/>
            </w:pPr>
            <w:r>
              <w:rPr/>
              <w:t> </w:t>
            </w:r>
          </w:p>
        </w:tc>
        <w:tc>
          <w:tcPr>
            <w:tcW w:w="62"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r>
      <w:tr>
        <w:trPr/>
        <w:tc>
          <w:tcPr>
            <w:tcW w:w="16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Gross gains</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169</w:t>
            </w:r>
          </w:p>
        </w:tc>
        <w:tc>
          <w:tcPr>
            <w:tcW w:w="83"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76</w:t>
            </w:r>
          </w:p>
        </w:tc>
        <w:tc>
          <w:tcPr>
            <w:tcW w:w="80" w:type="dxa"/>
            <w:tcBorders/>
            <w:shd w:fill="CCEEFF" w:val="clear"/>
            <w:vAlign w:val="bottom"/>
          </w:tcPr>
          <w:p>
            <w:pPr>
              <w:pStyle w:val="TableContents"/>
              <w:spacing w:before="0" w:after="283"/>
              <w:jc w:val="left"/>
              <w:rPr/>
            </w:pPr>
            <w:r>
              <w:rPr/>
              <w:t> </w:t>
            </w:r>
          </w:p>
        </w:tc>
      </w:tr>
      <w:tr>
        <w:trPr/>
        <w:tc>
          <w:tcPr>
            <w:tcW w:w="16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Gross losses</w:t>
            </w:r>
          </w:p>
        </w:tc>
        <w:tc>
          <w:tcPr>
            <w:tcW w:w="60"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w:t>
            </w:r>
          </w:p>
        </w:tc>
        <w:tc>
          <w:tcPr>
            <w:tcW w:w="83"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jc w:val="left"/>
              <w:rPr/>
            </w:pPr>
            <w:r>
              <w:rPr/>
              <w:t> </w:t>
            </w:r>
          </w:p>
        </w:tc>
        <w:tc>
          <w:tcPr>
            <w:tcW w:w="53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(95</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67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Net impairment charges</w:t>
            </w:r>
          </w:p>
        </w:tc>
        <w:tc>
          <w:tcPr>
            <w:tcW w:w="6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3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3"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53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before="0" w:after="283"/>
              <w:jc w:val="left"/>
              <w:rPr/>
            </w:pPr>
            <w:r>
              <w:rPr/>
              <w:t> </w:t>
            </w:r>
          </w:p>
        </w:tc>
      </w:tr>
      <w:tr>
        <w:trPr/>
        <w:tc>
          <w:tcPr>
            <w:tcW w:w="167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Fair value adjustments</w:t>
            </w:r>
          </w:p>
        </w:tc>
        <w:tc>
          <w:tcPr>
            <w:tcW w:w="60" w:type="dxa"/>
            <w:tcBorders/>
            <w:shd w:fill="FFFFFF" w:val="clear"/>
            <w:vAlign w:val="bottom"/>
          </w:tcPr>
          <w:p>
            <w:pPr>
              <w:pStyle w:val="TableContents"/>
              <w:spacing w:before="0" w:after="283"/>
              <w:rPr/>
            </w:pPr>
            <w:r>
              <w:rPr/>
              <w:t> </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3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167</w:t>
            </w:r>
          </w:p>
        </w:tc>
        <w:tc>
          <w:tcPr>
            <w:tcW w:w="83" w:type="dxa"/>
            <w:tcBorders/>
            <w:shd w:fill="FFFFFF" w:val="clear"/>
            <w:vAlign w:val="bottom"/>
          </w:tcPr>
          <w:p>
            <w:pPr>
              <w:pStyle w:val="TableContents"/>
              <w:spacing w:before="0" w:after="283"/>
              <w:jc w:val="left"/>
              <w:rPr/>
            </w:pPr>
            <w:r>
              <w:rPr/>
              <w:t> </w:t>
            </w:r>
          </w:p>
        </w:tc>
        <w:tc>
          <w:tcPr>
            <w:tcW w:w="62" w:type="dxa"/>
            <w:tcBorders/>
            <w:shd w:fill="FFFFFF" w:val="clear"/>
            <w:vAlign w:val="bottom"/>
          </w:tcPr>
          <w:p>
            <w:pPr>
              <w:pStyle w:val="TableContents"/>
              <w:spacing w:before="0" w:after="283"/>
              <w:rPr/>
            </w:pPr>
            <w:r>
              <w:rPr/>
              <w:t> </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3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(154</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67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Net gains (losses)</w:t>
            </w:r>
          </w:p>
        </w:tc>
        <w:tc>
          <w:tcPr>
            <w:tcW w:w="60" w:type="dxa"/>
            <w:tcBorders/>
            <w:shd w:fill="CCEEFF" w:val="clear"/>
            <w:vAlign w:val="bottom"/>
          </w:tcPr>
          <w:p>
            <w:pPr>
              <w:pStyle w:val="TableContents"/>
              <w:spacing w:before="0" w:after="283"/>
              <w:rPr/>
            </w:pPr>
            <w:r>
              <w:rPr/>
              <w:t> </w:t>
            </w:r>
          </w:p>
        </w:tc>
        <w:tc>
          <w:tcPr>
            <w:tcW w:w="11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304</w:t>
            </w:r>
          </w:p>
        </w:tc>
        <w:tc>
          <w:tcPr>
            <w:tcW w:w="83"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rPr/>
            </w:pPr>
            <w:r>
              <w:rPr/>
              <w:t> </w:t>
            </w:r>
          </w:p>
        </w:tc>
        <w:tc>
          <w:tcPr>
            <w:tcW w:w="11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3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(173</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Portfolio Loans and asset quality.  </w:t>
      </w:r>
      <w:r>
        <w:rPr>
          <w:rFonts w:ascii="Times New Roman" w:hAnsi="Times New Roman"/>
          <w:sz w:val="17"/>
        </w:rPr>
        <w:t>In addition to the communities served by our Bank branch and loan production office 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8" w:name="DSPFPageBreakArea66"/>
      <w:bookmarkStart w:id="679" w:name="DSPFPageBreakArea66"/>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80" w:name="DSPFPageNumber66"/>
      <w:bookmarkStart w:id="681" w:name="DSPFPageNumberArea65"/>
      <w:bookmarkEnd w:id="680"/>
      <w:bookmarkEnd w:id="681"/>
      <w:r>
        <w:rPr>
          <w:rFonts w:ascii="Times New Roman" w:hAnsi="Times New Roman"/>
          <w:b w:val="false"/>
          <w:i w:val="false"/>
          <w:caps w:val="false"/>
          <w:smallCaps w:val="false"/>
          <w:sz w:val="13"/>
        </w:rPr>
        <w:t>67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2" w:name="DSPFPageBreak66"/>
      <w:bookmarkStart w:id="683" w:name="DSPFPageBreak66"/>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684" w:name="DSPFPageHeader65"/>
        <w:bookmarkEnd w:id="68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A summary of our Portfolio Loans follows:</w:t>
      </w:r>
    </w:p>
    <w:p>
      <w:pPr>
        <w:pStyle w:val="TextBody"/>
        <w:spacing w:before="0" w:after="0"/>
        <w:rPr/>
      </w:pPr>
      <w:r>
        <w:rPr/>
      </w:r>
    </w:p>
    <w:p>
      <w:pPr>
        <w:pStyle w:val="Normal"/>
        <w:spacing w:before="0" w:after="0"/>
        <w:rPr>
          <w:sz w:val="4"/>
          <w:szCs w:val="4"/>
        </w:rPr>
      </w:pPr>
      <w:r>
        <w:rPr>
          <w:sz w:val="4"/>
          <w:szCs w:val="4"/>
        </w:rPr>
      </w:r>
      <w:bookmarkStart w:id="685" w:name="z59d15783662a46c4bb412f2c16e6a545"/>
      <w:bookmarkStart w:id="686" w:name="z59d15783662a46c4bb412f2c16e6a545"/>
      <w:bookmarkEnd w:id="686"/>
    </w:p>
    <w:tbl>
      <w:tblPr>
        <w:tblW w:w="5735" w:type="dxa"/>
        <w:jc w:val="left"/>
        <w:tblInd w:w="0" w:type="dxa"/>
        <w:tblCellMar>
          <w:top w:w="0" w:type="dxa"/>
          <w:left w:w="0" w:type="dxa"/>
          <w:bottom w:w="0" w:type="dxa"/>
          <w:right w:w="0" w:type="dxa"/>
        </w:tblCellMar>
      </w:tblPr>
      <w:tblGrid>
        <w:gridCol w:w="3635"/>
        <w:gridCol w:w="60"/>
        <w:gridCol w:w="110"/>
        <w:gridCol w:w="740"/>
        <w:gridCol w:w="60"/>
        <w:gridCol w:w="60"/>
        <w:gridCol w:w="128"/>
        <w:gridCol w:w="867"/>
        <w:gridCol w:w="75"/>
      </w:tblGrid>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7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5" w:type="dxa"/>
            <w:gridSpan w:val="6"/>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(In thousands)</w:t>
            </w:r>
          </w:p>
        </w:tc>
        <w:tc>
          <w:tcPr>
            <w:tcW w:w="7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Real estate(1)</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Residential first mortgages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805,875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811,719</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Residential home equity and other junior mortgages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176,082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177,574</w:t>
            </w:r>
          </w:p>
        </w:tc>
        <w:tc>
          <w:tcPr>
            <w:tcW w:w="75" w:type="dxa"/>
            <w:tcBorders/>
            <w:shd w:fill="FFFFFF"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Construction and land development</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189,865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180,286</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Other(2)</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719,622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707,347</w:t>
            </w:r>
          </w:p>
        </w:tc>
        <w:tc>
          <w:tcPr>
            <w:tcW w:w="75" w:type="dxa"/>
            <w:tcBorders/>
            <w:shd w:fill="FFFFFF"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Consumer</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392,458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86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379,607</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74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328,643</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86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319,058</w:t>
            </w:r>
          </w:p>
        </w:tc>
        <w:tc>
          <w:tcPr>
            <w:tcW w:w="75" w:type="dxa"/>
            <w:tcBorders/>
            <w:shd w:fill="FFFFFF"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Agricultural</w:t>
            </w:r>
          </w:p>
        </w:tc>
        <w:tc>
          <w:tcPr>
            <w:tcW w:w="60" w:type="dxa"/>
            <w:tcBorders/>
            <w:shd w:fill="CCEEFF" w:val="clear"/>
            <w:vAlign w:val="bottom"/>
          </w:tcPr>
          <w:p>
            <w:pPr>
              <w:pStyle w:val="TableContents"/>
              <w:spacing w:before="0" w:after="283"/>
              <w:rPr/>
            </w:pPr>
            <w:r>
              <w:rPr/>
              <w:t> </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6,250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6,929</w:t>
            </w:r>
          </w:p>
        </w:tc>
        <w:tc>
          <w:tcPr>
            <w:tcW w:w="75" w:type="dxa"/>
            <w:tcBorders/>
            <w:shd w:fill="CCEEFF" w:val="clear"/>
            <w:vAlign w:val="bottom"/>
          </w:tcPr>
          <w:p>
            <w:pPr>
              <w:pStyle w:val="TableContents"/>
              <w:spacing w:before="0" w:after="283"/>
              <w:jc w:val="left"/>
              <w:rPr/>
            </w:pPr>
            <w:r>
              <w:rPr/>
              <w:t> </w:t>
            </w:r>
          </w:p>
        </w:tc>
      </w:tr>
      <w:tr>
        <w:trPr/>
        <w:tc>
          <w:tcPr>
            <w:tcW w:w="363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 loans</w:t>
            </w:r>
          </w:p>
        </w:tc>
        <w:tc>
          <w:tcPr>
            <w:tcW w:w="60"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2,618,795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bottom w:val="double" w:sz="8" w:space="0" w:color="000000"/>
            </w:tcBorders>
            <w:shd w:fill="FFFF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67" w:type="dxa"/>
            <w:tcBorders>
              <w:bottom w:val="double" w:sz="8"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2,582,520</w:t>
            </w:r>
          </w:p>
        </w:tc>
        <w:tc>
          <w:tcPr>
            <w:tcW w:w="7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687" w:name="z403188f47eb845d98db26873780605c8"/>
      <w:bookmarkStart w:id="688" w:name="z403188f47eb845d98db26873780605c8"/>
      <w:bookmarkEnd w:id="688"/>
    </w:p>
    <w:tbl>
      <w:tblPr>
        <w:tblW w:w="6175" w:type="dxa"/>
        <w:jc w:val="left"/>
        <w:tblInd w:w="0" w:type="dxa"/>
        <w:tblCellMar>
          <w:top w:w="0" w:type="dxa"/>
          <w:left w:w="0" w:type="dxa"/>
          <w:bottom w:w="0" w:type="dxa"/>
          <w:right w:w="0" w:type="dxa"/>
        </w:tblCellMar>
      </w:tblPr>
      <w:tblGrid>
        <w:gridCol w:w="245"/>
        <w:gridCol w:w="5930"/>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593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Includes both residential and non-residential commercial loans secured by real estate.</w:t>
            </w:r>
          </w:p>
        </w:tc>
      </w:tr>
    </w:tbl>
    <w:p>
      <w:pPr>
        <w:pStyle w:val="Normal"/>
        <w:spacing w:before="0" w:after="0"/>
        <w:rPr>
          <w:sz w:val="4"/>
          <w:szCs w:val="4"/>
        </w:rPr>
      </w:pPr>
      <w:r>
        <w:rPr>
          <w:sz w:val="4"/>
          <w:szCs w:val="4"/>
        </w:rPr>
      </w:r>
      <w:bookmarkStart w:id="689" w:name="zc3ee8c44199f4525aa67a2da28073e36"/>
      <w:bookmarkStart w:id="690" w:name="zc3ee8c44199f4525aa67a2da28073e36"/>
      <w:bookmarkEnd w:id="690"/>
    </w:p>
    <w:tbl>
      <w:tblPr>
        <w:tblW w:w="6550" w:type="dxa"/>
        <w:jc w:val="left"/>
        <w:tblInd w:w="0" w:type="dxa"/>
        <w:tblCellMar>
          <w:top w:w="0" w:type="dxa"/>
          <w:left w:w="0" w:type="dxa"/>
          <w:bottom w:w="0" w:type="dxa"/>
          <w:right w:w="0" w:type="dxa"/>
        </w:tblCellMar>
      </w:tblPr>
      <w:tblGrid>
        <w:gridCol w:w="245"/>
        <w:gridCol w:w="6305"/>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630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Includes loans secured by multi-family residential and non-farm, non-residential property.</w:t>
            </w:r>
          </w:p>
        </w:tc>
      </w:tr>
    </w:tbl>
    <w:p>
      <w:pPr>
        <w:pStyle w:val="TextBody"/>
        <w:spacing w:before="0" w:after="0"/>
        <w:rPr/>
      </w:pPr>
      <w:r>
        <w:rPr/>
      </w:r>
    </w:p>
    <w:p>
      <w:pPr>
        <w:pStyle w:val="Normal"/>
        <w:spacing w:before="0" w:after="0"/>
        <w:rPr>
          <w:sz w:val="4"/>
          <w:szCs w:val="4"/>
        </w:rPr>
      </w:pPr>
      <w:r>
        <w:rPr>
          <w:sz w:val="4"/>
          <w:szCs w:val="4"/>
        </w:rPr>
      </w:r>
      <w:bookmarkStart w:id="691" w:name="z93a7b3a7ea4f490b99dffa9d0c448bd1"/>
      <w:bookmarkStart w:id="692" w:name="z93a7b3a7ea4f490b99dffa9d0c448bd1"/>
      <w:bookmarkEnd w:id="692"/>
    </w:p>
    <w:tbl>
      <w:tblPr>
        <w:tblW w:w="6595" w:type="dxa"/>
        <w:jc w:val="center"/>
        <w:tblInd w:w="0" w:type="dxa"/>
        <w:tblCellMar>
          <w:top w:w="0" w:type="dxa"/>
          <w:left w:w="0" w:type="dxa"/>
          <w:bottom w:w="0" w:type="dxa"/>
          <w:right w:w="0" w:type="dxa"/>
        </w:tblCellMar>
      </w:tblPr>
      <w:tblGrid>
        <w:gridCol w:w="4430"/>
        <w:gridCol w:w="60"/>
        <w:gridCol w:w="130"/>
        <w:gridCol w:w="610"/>
        <w:gridCol w:w="155"/>
        <w:gridCol w:w="60"/>
        <w:gridCol w:w="175"/>
        <w:gridCol w:w="820"/>
        <w:gridCol w:w="155"/>
      </w:tblGrid>
      <w:tr>
        <w:trPr/>
        <w:tc>
          <w:tcPr>
            <w:tcW w:w="4430" w:type="dxa"/>
            <w:tcBorders/>
            <w:shd w:fill="auto" w:val="clear"/>
            <w:vAlign w:val="bottom"/>
          </w:tcPr>
          <w:p>
            <w:pPr>
              <w:pStyle w:val="TableContents"/>
              <w:spacing w:lineRule="auto" w:line="240" w:before="0" w:after="0"/>
              <w:ind w:left="180" w:right="0" w:hanging="180"/>
              <w:jc w:val="left"/>
              <w:rPr>
                <w:rFonts w:ascii="Times New Roman" w:hAnsi="Times New Roman"/>
                <w:b/>
                <w:sz w:val="17"/>
              </w:rPr>
            </w:pPr>
            <w:r>
              <w:rPr>
                <w:rFonts w:ascii="Times New Roman" w:hAnsi="Times New Roman"/>
                <w:b/>
                <w:sz w:val="17"/>
              </w:rPr>
              <w:t>Non-performing assets(1)</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r>
      <w:tr>
        <w:trPr/>
        <w:tc>
          <w:tcPr>
            <w:tcW w:w="443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ind w:left="180" w:right="0" w:hanging="180"/>
              <w:jc w:val="left"/>
              <w:rPr/>
            </w:pPr>
            <w:r>
              <w:rPr/>
              <w:t> </w:t>
            </w:r>
          </w:p>
        </w:tc>
      </w:tr>
      <w:tr>
        <w:trPr/>
        <w:tc>
          <w:tcPr>
            <w:tcW w:w="44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155" w:type="dxa"/>
            <w:tcBorders/>
            <w:shd w:fill="auto" w:val="clear"/>
            <w:vAlign w:val="bottom"/>
          </w:tcPr>
          <w:p>
            <w:pPr>
              <w:pStyle w:val="TableContents"/>
              <w:spacing w:before="0" w:after="283"/>
              <w:ind w:left="180" w:right="0" w:hanging="180"/>
              <w:jc w:val="left"/>
              <w:rPr/>
            </w:pPr>
            <w:r>
              <w:rPr/>
              <w:t> </w:t>
            </w:r>
          </w:p>
        </w:tc>
      </w:tr>
      <w:tr>
        <w:trPr/>
        <w:tc>
          <w:tcPr>
            <w:tcW w:w="44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0"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155" w:type="dxa"/>
            <w:tcBorders/>
            <w:shd w:fill="auto"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Non-accrual loans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8,849</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9,029</w:t>
            </w:r>
          </w:p>
        </w:tc>
        <w:tc>
          <w:tcPr>
            <w:tcW w:w="155" w:type="dxa"/>
            <w:tcBorders/>
            <w:shd w:fill="CCEEFF" w:val="clear"/>
            <w:vAlign w:val="bottom"/>
          </w:tcPr>
          <w:p>
            <w:pPr>
              <w:pStyle w:val="TableContents"/>
              <w:spacing w:before="0" w:after="283"/>
              <w:jc w:val="left"/>
              <w:rPr/>
            </w:pPr>
            <w:r>
              <w:rPr/>
              <w:t> </w:t>
            </w:r>
          </w:p>
        </w:tc>
      </w:tr>
      <w:tr>
        <w:trPr/>
        <w:tc>
          <w:tcPr>
            <w:tcW w:w="4430" w:type="dxa"/>
            <w:tcBorders/>
            <w:shd w:fill="FFFFFF" w:val="clear"/>
            <w:vAlign w:val="bottom"/>
          </w:tcPr>
          <w:p>
            <w:pPr>
              <w:pStyle w:val="TableContents"/>
              <w:spacing w:before="0" w:after="0"/>
              <w:ind w:left="180" w:right="0" w:hanging="180"/>
              <w:jc w:val="left"/>
              <w:rPr/>
            </w:pPr>
            <w:r>
              <w:rPr>
                <w:rFonts w:ascii="Times New Roman" w:hAnsi="Times New Roman"/>
                <w:sz w:val="17"/>
              </w:rPr>
              <w:t>Loans 90 days or more past due and</w:t>
            </w:r>
            <w:r>
              <w:rPr/>
              <w:t xml:space="preserve"> </w:t>
            </w:r>
            <w:r>
              <w:rPr>
                <w:rFonts w:ascii="Times                      New Roman" w:hAnsi="Times                      New Roman"/>
                <w:sz w:val="17"/>
              </w:rPr>
              <w:t>still accruing interest</w:t>
            </w:r>
          </w:p>
        </w:tc>
        <w:tc>
          <w:tcPr>
            <w:tcW w:w="60" w:type="dxa"/>
            <w:tcBorders/>
            <w:shd w:fill="FFFFFF" w:val="clear"/>
            <w:vAlign w:val="bottom"/>
          </w:tcPr>
          <w:p>
            <w:pPr>
              <w:pStyle w:val="TableContents"/>
              <w:spacing w:before="0" w:after="283"/>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w:t>
            </w:r>
          </w:p>
        </w:tc>
        <w:tc>
          <w:tcPr>
            <w:tcW w:w="155" w:type="dxa"/>
            <w:tcBorders/>
            <w:shd w:fill="FFFFFF"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Total non-performing loans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8,849</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9,034</w:t>
            </w:r>
          </w:p>
        </w:tc>
        <w:tc>
          <w:tcPr>
            <w:tcW w:w="155" w:type="dxa"/>
            <w:tcBorders/>
            <w:shd w:fill="CCEEFF" w:val="clear"/>
            <w:vAlign w:val="bottom"/>
          </w:tcPr>
          <w:p>
            <w:pPr>
              <w:pStyle w:val="TableContents"/>
              <w:spacing w:before="0" w:after="283"/>
              <w:jc w:val="left"/>
              <w:rPr/>
            </w:pPr>
            <w:r>
              <w:rPr/>
              <w:t> </w:t>
            </w:r>
          </w:p>
        </w:tc>
      </w:tr>
      <w:tr>
        <w:trPr/>
        <w:tc>
          <w:tcPr>
            <w:tcW w:w="44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real estate and repossessed assets</w:t>
            </w:r>
          </w:p>
        </w:tc>
        <w:tc>
          <w:tcPr>
            <w:tcW w:w="60" w:type="dxa"/>
            <w:tcBorders/>
            <w:shd w:fill="FFFFFF" w:val="clear"/>
            <w:vAlign w:val="bottom"/>
          </w:tcPr>
          <w:p>
            <w:pPr>
              <w:pStyle w:val="TableContents"/>
              <w:spacing w:before="0" w:after="283"/>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1,338</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1,299</w:t>
            </w:r>
          </w:p>
        </w:tc>
        <w:tc>
          <w:tcPr>
            <w:tcW w:w="155" w:type="dxa"/>
            <w:tcBorders/>
            <w:shd w:fill="FFFFFF"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180" w:right="0" w:hanging="180"/>
              <w:jc w:val="right"/>
              <w:rPr>
                <w:rFonts w:ascii="Times New Roman" w:hAnsi="Times New Roman"/>
                <w:sz w:val="17"/>
              </w:rPr>
            </w:pPr>
            <w:r>
              <w:rPr>
                <w:rFonts w:ascii="Times New Roman" w:hAnsi="Times New Roman"/>
                <w:sz w:val="17"/>
              </w:rPr>
              <w:t>Total non-performing assets</w:t>
            </w:r>
          </w:p>
        </w:tc>
        <w:tc>
          <w:tcPr>
            <w:tcW w:w="60" w:type="dxa"/>
            <w:tcBorders/>
            <w:shd w:fill="CCEEFF" w:val="clear"/>
            <w:vAlign w:val="bottom"/>
          </w:tcPr>
          <w:p>
            <w:pPr>
              <w:pStyle w:val="TableContents"/>
              <w:spacing w:before="0" w:after="283"/>
              <w:rPr/>
            </w:pPr>
            <w:r>
              <w:rPr/>
              <w:t> </w:t>
            </w:r>
          </w:p>
        </w:tc>
        <w:tc>
          <w:tcPr>
            <w:tcW w:w="13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10,187</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10,333</w:t>
            </w:r>
          </w:p>
        </w:tc>
        <w:tc>
          <w:tcPr>
            <w:tcW w:w="155" w:type="dxa"/>
            <w:tcBorders/>
            <w:shd w:fill="CCEEFF" w:val="clear"/>
            <w:vAlign w:val="bottom"/>
          </w:tcPr>
          <w:p>
            <w:pPr>
              <w:pStyle w:val="TableContents"/>
              <w:spacing w:before="0" w:after="283"/>
              <w:jc w:val="left"/>
              <w:rPr/>
            </w:pPr>
            <w:r>
              <w:rPr/>
              <w:t> </w:t>
            </w:r>
          </w:p>
        </w:tc>
      </w:tr>
      <w:tr>
        <w:trPr/>
        <w:tc>
          <w:tcPr>
            <w:tcW w:w="44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As a percent of Portfolio Loans</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Non-performing loans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0.34</w:t>
            </w:r>
          </w:p>
        </w:tc>
        <w:tc>
          <w:tcPr>
            <w:tcW w:w="155" w:type="dxa"/>
            <w:tcBorders/>
            <w:shd w:fill="CCEEFF" w:val="clear"/>
            <w:vAlign w:val="bottom"/>
          </w:tcPr>
          <w:p>
            <w:pPr>
              <w:pStyle w:val="TableContents"/>
              <w:spacing w:before="0" w:after="283"/>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0.35</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43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Allowance for loan losses</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0.96</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0.96</w:t>
            </w:r>
          </w:p>
        </w:tc>
        <w:tc>
          <w:tcPr>
            <w:tcW w:w="155" w:type="dxa"/>
            <w:tcBorders/>
            <w:shd w:fill="FFFFFF" w:val="clear"/>
            <w:vAlign w:val="bottom"/>
          </w:tcPr>
          <w:p>
            <w:pPr>
              <w:pStyle w:val="TableContents"/>
              <w:spacing w:before="0" w:after="283"/>
              <w:jc w:val="left"/>
              <w:rPr/>
            </w:pPr>
            <w:r>
              <w:rPr/>
              <w:t> </w:t>
            </w:r>
          </w:p>
        </w:tc>
      </w:tr>
      <w:tr>
        <w:trPr/>
        <w:tc>
          <w:tcPr>
            <w:tcW w:w="443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Non-performing assets to total assets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0.30</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0.31</w:t>
            </w:r>
          </w:p>
        </w:tc>
        <w:tc>
          <w:tcPr>
            <w:tcW w:w="155" w:type="dxa"/>
            <w:tcBorders/>
            <w:shd w:fill="CCEEFF" w:val="clear"/>
            <w:vAlign w:val="bottom"/>
          </w:tcPr>
          <w:p>
            <w:pPr>
              <w:pStyle w:val="TableContents"/>
              <w:spacing w:before="0" w:after="283"/>
              <w:jc w:val="left"/>
              <w:rPr/>
            </w:pPr>
            <w:r>
              <w:rPr/>
              <w:t> </w:t>
            </w:r>
          </w:p>
        </w:tc>
      </w:tr>
      <w:tr>
        <w:trPr/>
        <w:tc>
          <w:tcPr>
            <w:tcW w:w="4430" w:type="dxa"/>
            <w:tcBorders/>
            <w:shd w:fill="FFFFFF" w:val="clear"/>
            <w:vAlign w:val="bottom"/>
          </w:tcPr>
          <w:p>
            <w:pPr>
              <w:pStyle w:val="TableContents"/>
              <w:spacing w:before="0" w:after="0"/>
              <w:ind w:left="180" w:right="0" w:hanging="180"/>
              <w:jc w:val="left"/>
              <w:rPr/>
            </w:pPr>
            <w:r>
              <w:rPr>
                <w:rFonts w:ascii="Times New Roman" w:hAnsi="Times New Roman"/>
                <w:sz w:val="17"/>
              </w:rPr>
              <w:t>Allowance for loan losses as a percent of</w:t>
            </w:r>
            <w:r>
              <w:rPr/>
              <w:t xml:space="preserve"> </w:t>
            </w:r>
            <w:r>
              <w:rPr>
                <w:rFonts w:ascii="Times New Roman" w:hAnsi="Times New Roman"/>
                <w:sz w:val="17"/>
              </w:rPr>
              <w:t>non-performing loans</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285.39</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275.49</w:t>
            </w:r>
          </w:p>
        </w:tc>
        <w:tc>
          <w:tcPr>
            <w:tcW w:w="155" w:type="dxa"/>
            <w:tcBorders/>
            <w:shd w:fill="FFFF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693" w:name="z2d45e88ee2384ad39e7faca583c6f253"/>
      <w:bookmarkStart w:id="694" w:name="z2d45e88ee2384ad39e7faca583c6f253"/>
      <w:bookmarkEnd w:id="694"/>
    </w:p>
    <w:tbl>
      <w:tblPr>
        <w:tblW w:w="5770" w:type="dxa"/>
        <w:jc w:val="left"/>
        <w:tblInd w:w="0" w:type="dxa"/>
        <w:tblCellMar>
          <w:top w:w="0" w:type="dxa"/>
          <w:left w:w="0" w:type="dxa"/>
          <w:bottom w:w="0" w:type="dxa"/>
          <w:right w:w="0" w:type="dxa"/>
        </w:tblCellMar>
      </w:tblPr>
      <w:tblGrid>
        <w:gridCol w:w="75"/>
        <w:gridCol w:w="290"/>
        <w:gridCol w:w="540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lineRule="auto" w:line="240" w:before="0" w:after="0"/>
              <w:jc w:val="left"/>
              <w:rPr/>
            </w:pPr>
            <w:r>
              <w:rPr/>
              <w:t>(1)</w:t>
            </w:r>
          </w:p>
        </w:tc>
        <w:tc>
          <w:tcPr>
            <w:tcW w:w="540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Excludes loans classified as “troubled debt restructured” that are not past due.</w:t>
            </w:r>
          </w:p>
        </w:tc>
      </w:tr>
    </w:tbl>
    <w:p>
      <w:pPr>
        <w:pStyle w:val="TextBody"/>
        <w:spacing w:before="0" w:after="0"/>
        <w:jc w:val="left"/>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5" w:name="DSPFPageBreakArea67"/>
      <w:bookmarkStart w:id="696" w:name="DSPFPageBreakArea67"/>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697" w:name="DSPFPageNumber67"/>
      <w:bookmarkStart w:id="698" w:name="DSPFPageNumberArea66"/>
      <w:bookmarkEnd w:id="697"/>
      <w:bookmarkEnd w:id="698"/>
      <w:r>
        <w:rPr>
          <w:rFonts w:ascii="Times New Roman" w:hAnsi="Times New Roman"/>
          <w:b w:val="false"/>
          <w:i w:val="false"/>
          <w:caps w:val="false"/>
          <w:smallCaps w:val="false"/>
          <w:sz w:val="13"/>
        </w:rPr>
        <w:t>68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9" w:name="DSPFPageBreak67"/>
      <w:bookmarkStart w:id="700" w:name="DSPFPageBreak67"/>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01" w:name="DSPFPageHeader66"/>
        <w:bookmarkEnd w:id="701"/>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17"/>
        </w:rPr>
      </w:pPr>
      <w:r>
        <w:rPr>
          <w:rFonts w:ascii="Times New Roman" w:hAnsi="Times New Roman"/>
          <w:b/>
          <w:sz w:val="17"/>
        </w:rPr>
        <w:t>Troubled debt restructurings (“TDR”)</w:t>
      </w:r>
    </w:p>
    <w:p>
      <w:pPr>
        <w:pStyle w:val="TextBody"/>
        <w:spacing w:before="0" w:after="0"/>
        <w:rPr/>
      </w:pPr>
      <w:r>
        <w:rPr/>
      </w:r>
    </w:p>
    <w:p>
      <w:pPr>
        <w:pStyle w:val="Normal"/>
        <w:spacing w:before="0" w:after="0"/>
        <w:rPr>
          <w:sz w:val="4"/>
          <w:szCs w:val="4"/>
        </w:rPr>
      </w:pPr>
      <w:r>
        <w:rPr>
          <w:sz w:val="4"/>
          <w:szCs w:val="4"/>
        </w:rPr>
      </w:r>
      <w:bookmarkStart w:id="702" w:name="z08b534ac40cd4d2ebf754dadcd6b07c6"/>
      <w:bookmarkStart w:id="703" w:name="z08b534ac40cd4d2ebf754dadcd6b07c6"/>
      <w:bookmarkEnd w:id="703"/>
    </w:p>
    <w:tbl>
      <w:tblPr>
        <w:tblW w:w="4650" w:type="dxa"/>
        <w:jc w:val="left"/>
        <w:tblInd w:w="0" w:type="dxa"/>
        <w:tblCellMar>
          <w:top w:w="0" w:type="dxa"/>
          <w:left w:w="0" w:type="dxa"/>
          <w:bottom w:w="0" w:type="dxa"/>
          <w:right w:w="0" w:type="dxa"/>
        </w:tblCellMar>
      </w:tblPr>
      <w:tblGrid>
        <w:gridCol w:w="1925"/>
        <w:gridCol w:w="60"/>
        <w:gridCol w:w="176"/>
        <w:gridCol w:w="684"/>
        <w:gridCol w:w="60"/>
        <w:gridCol w:w="60"/>
        <w:gridCol w:w="117"/>
        <w:gridCol w:w="548"/>
        <w:gridCol w:w="275"/>
        <w:gridCol w:w="60"/>
        <w:gridCol w:w="110"/>
        <w:gridCol w:w="515"/>
        <w:gridCol w:w="60"/>
      </w:tblGrid>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 2019</w:t>
            </w:r>
          </w:p>
        </w:tc>
        <w:tc>
          <w:tcPr>
            <w:tcW w:w="60" w:type="dxa"/>
            <w:tcBorders/>
            <w:shd w:fill="auto"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rFonts w:ascii="Times New Roman" w:hAnsi="Times New Roman"/>
                <w:sz w:val="17"/>
              </w:rPr>
            </w:pPr>
            <w:r>
              <w:rPr>
                <w:rFonts w:ascii="Times New Roman" w:hAnsi="Times New Roman"/>
                <w:sz w:val="17"/>
              </w:rPr>
              <w:t>Retail (1)</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auto"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5"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Performing TDR’s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6,209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44,427</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50,636</w:t>
            </w:r>
          </w:p>
        </w:tc>
        <w:tc>
          <w:tcPr>
            <w:tcW w:w="60" w:type="dxa"/>
            <w:tcBorders/>
            <w:shd w:fill="CCEEFF" w:val="clear"/>
            <w:vAlign w:val="bottom"/>
          </w:tcPr>
          <w:p>
            <w:pPr>
              <w:pStyle w:val="TableContents"/>
              <w:spacing w:before="0" w:after="283"/>
              <w:jc w:val="left"/>
              <w:rPr/>
            </w:pPr>
            <w:r>
              <w:rPr/>
              <w:t> </w:t>
            </w:r>
          </w:p>
        </w:tc>
      </w:tr>
      <w:tr>
        <w:trPr/>
        <w:tc>
          <w:tcPr>
            <w:tcW w:w="192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Non-performing TDR’s (2)</w:t>
            </w:r>
          </w:p>
        </w:tc>
        <w:tc>
          <w:tcPr>
            <w:tcW w:w="60"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2,657</w:t>
            </w:r>
          </w:p>
        </w:tc>
        <w:tc>
          <w:tcPr>
            <w:tcW w:w="27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(3)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2,724</w:t>
            </w:r>
          </w:p>
        </w:tc>
        <w:tc>
          <w:tcPr>
            <w:tcW w:w="60" w:type="dxa"/>
            <w:tcBorders/>
            <w:shd w:fill="FFFFFF"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6,276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47,084</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53,360</w:t>
            </w:r>
          </w:p>
        </w:tc>
        <w:tc>
          <w:tcPr>
            <w:tcW w:w="60" w:type="dxa"/>
            <w:tcBorders/>
            <w:shd w:fill="CCEEFF" w:val="clear"/>
            <w:vAlign w:val="bottom"/>
          </w:tcPr>
          <w:p>
            <w:pPr>
              <w:pStyle w:val="TableContents"/>
              <w:spacing w:before="0" w:after="283"/>
              <w:jc w:val="left"/>
              <w:rPr/>
            </w:pPr>
            <w:r>
              <w:rPr/>
              <w:t> </w:t>
            </w:r>
          </w:p>
        </w:tc>
      </w:tr>
      <w:tr>
        <w:trPr/>
        <w:tc>
          <w:tcPr>
            <w:tcW w:w="192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68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jc w:val="left"/>
              <w:rPr/>
            </w:pPr>
            <w:r>
              <w:rPr/>
              <w:t> </w:t>
            </w:r>
          </w:p>
        </w:tc>
        <w:tc>
          <w:tcPr>
            <w:tcW w:w="548" w:type="dxa"/>
            <w:tcBorders/>
            <w:shd w:fill="FFFFFF" w:val="clear"/>
            <w:vAlign w:val="bottom"/>
          </w:tcPr>
          <w:p>
            <w:pPr>
              <w:pStyle w:val="TableContents"/>
              <w:spacing w:before="0" w:after="283"/>
              <w:jc w:val="right"/>
              <w:rPr/>
            </w:pPr>
            <w:r>
              <w:rPr/>
              <w:t> </w:t>
            </w:r>
          </w:p>
        </w:tc>
        <w:tc>
          <w:tcPr>
            <w:tcW w:w="27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 2018</w:t>
            </w:r>
          </w:p>
        </w:tc>
        <w:tc>
          <w:tcPr>
            <w:tcW w:w="60" w:type="dxa"/>
            <w:tcBorders/>
            <w:shd w:fill="auto" w:val="clear"/>
            <w:vAlign w:val="bottom"/>
          </w:tcPr>
          <w:p>
            <w:pPr>
              <w:pStyle w:val="TableContents"/>
              <w:spacing w:before="0" w:after="283"/>
              <w:jc w:val="left"/>
              <w:rPr/>
            </w:pPr>
            <w:r>
              <w:rPr/>
              <w:t> </w:t>
            </w:r>
          </w:p>
        </w:tc>
      </w:tr>
      <w:tr>
        <w:trPr/>
        <w:tc>
          <w:tcPr>
            <w:tcW w:w="192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860" w:type="dxa"/>
            <w:gridSpan w:val="2"/>
            <w:tcBorders>
              <w:bottom w:val="single" w:sz="12" w:space="0" w:color="000000"/>
            </w:tcBorders>
            <w:shd w:fill="FFFFFF"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Commercial</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65" w:type="dxa"/>
            <w:gridSpan w:val="2"/>
            <w:tcBorders>
              <w:bottom w:val="single" w:sz="12" w:space="0" w:color="000000"/>
            </w:tcBorders>
            <w:shd w:fill="FFFFFF" w:val="clear"/>
            <w:tcMar>
              <w:bottom w:w="28" w:type="dxa"/>
            </w:tcMar>
            <w:vAlign w:val="bottom"/>
          </w:tcPr>
          <w:p>
            <w:pPr>
              <w:pStyle w:val="TableContents"/>
              <w:spacing w:lineRule="auto" w:line="240" w:before="0" w:after="0"/>
              <w:jc w:val="center"/>
              <w:rPr>
                <w:rFonts w:ascii="Times New Roman" w:hAnsi="Times New Roman"/>
                <w:sz w:val="17"/>
              </w:rPr>
            </w:pPr>
            <w:r>
              <w:rPr>
                <w:rFonts w:ascii="Times New Roman" w:hAnsi="Times New Roman"/>
                <w:sz w:val="17"/>
              </w:rPr>
              <w:t>Retail (1)</w:t>
            </w:r>
          </w:p>
        </w:tc>
        <w:tc>
          <w:tcPr>
            <w:tcW w:w="27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25" w:type="dxa"/>
            <w:gridSpan w:val="2"/>
            <w:tcBorders>
              <w:bottom w:val="single" w:sz="12" w:space="0" w:color="000000"/>
            </w:tcBorders>
            <w:shd w:fill="FFFFFF"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Total</w:t>
            </w:r>
          </w:p>
        </w:tc>
        <w:tc>
          <w:tcPr>
            <w:tcW w:w="60" w:type="dxa"/>
            <w:tcBorders/>
            <w:shd w:fill="FFFFFF" w:val="clear"/>
            <w:vAlign w:val="bottom"/>
          </w:tcPr>
          <w:p>
            <w:pPr>
              <w:pStyle w:val="TableContents"/>
              <w:spacing w:before="0" w:after="283"/>
              <w:jc w:val="left"/>
              <w:rPr/>
            </w:pPr>
            <w:r>
              <w:rPr/>
              <w:t> </w:t>
            </w:r>
          </w:p>
        </w:tc>
      </w:tr>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5" w:type="dxa"/>
            <w:gridSpan w:val="10"/>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Performing TDR’s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6,460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46,627</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53,087</w:t>
            </w:r>
          </w:p>
        </w:tc>
        <w:tc>
          <w:tcPr>
            <w:tcW w:w="60" w:type="dxa"/>
            <w:tcBorders/>
            <w:shd w:fill="CCEEFF" w:val="clear"/>
            <w:vAlign w:val="bottom"/>
          </w:tcPr>
          <w:p>
            <w:pPr>
              <w:pStyle w:val="TableContents"/>
              <w:spacing w:before="0" w:after="283"/>
              <w:jc w:val="left"/>
              <w:rPr/>
            </w:pPr>
            <w:r>
              <w:rPr/>
              <w:t> </w:t>
            </w:r>
          </w:p>
        </w:tc>
      </w:tr>
      <w:tr>
        <w:trPr/>
        <w:tc>
          <w:tcPr>
            <w:tcW w:w="192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Non-performing TDR’s (2)</w:t>
            </w:r>
          </w:p>
        </w:tc>
        <w:tc>
          <w:tcPr>
            <w:tcW w:w="60"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74</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48"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2,884</w:t>
            </w:r>
          </w:p>
        </w:tc>
        <w:tc>
          <w:tcPr>
            <w:tcW w:w="275" w:type="dxa"/>
            <w:tcBorders/>
            <w:shd w:fill="FFFFFF" w:val="clear"/>
            <w:vAlign w:val="bottom"/>
          </w:tcPr>
          <w:p>
            <w:pPr>
              <w:pStyle w:val="TableContents"/>
              <w:spacing w:lineRule="auto" w:line="240" w:before="0" w:after="0"/>
              <w:jc w:val="left"/>
              <w:rPr>
                <w:rFonts w:ascii="Times New Roman" w:hAnsi="Times New Roman"/>
                <w:sz w:val="17"/>
              </w:rPr>
            </w:pPr>
            <w:r>
              <w:rPr>
                <w:rFonts w:ascii="Times New Roman" w:hAnsi="Times New Roman"/>
                <w:sz w:val="17"/>
              </w:rPr>
              <w:t>(3)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2,958</w:t>
            </w:r>
          </w:p>
        </w:tc>
        <w:tc>
          <w:tcPr>
            <w:tcW w:w="60" w:type="dxa"/>
            <w:tcBorders/>
            <w:shd w:fill="FFFFFF" w:val="clear"/>
            <w:vAlign w:val="bottom"/>
          </w:tcPr>
          <w:p>
            <w:pPr>
              <w:pStyle w:val="TableContents"/>
              <w:spacing w:before="0" w:after="283"/>
              <w:jc w:val="left"/>
              <w:rPr/>
            </w:pPr>
            <w:r>
              <w:rPr/>
              <w:t> </w:t>
            </w:r>
          </w:p>
        </w:tc>
      </w:tr>
      <w:tr>
        <w:trPr/>
        <w:tc>
          <w:tcPr>
            <w:tcW w:w="1925"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8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6,534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4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49,511</w:t>
            </w:r>
          </w:p>
        </w:tc>
        <w:tc>
          <w:tcPr>
            <w:tcW w:w="27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56,045</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704" w:name="zb73509e4c8494b57a1a15fa65351a8dc"/>
      <w:bookmarkStart w:id="705" w:name="zb73509e4c8494b57a1a15fa65351a8dc"/>
      <w:bookmarkEnd w:id="705"/>
    </w:p>
    <w:tbl>
      <w:tblPr>
        <w:tblW w:w="4495" w:type="dxa"/>
        <w:jc w:val="left"/>
        <w:tblInd w:w="0" w:type="dxa"/>
        <w:tblCellMar>
          <w:top w:w="0" w:type="dxa"/>
          <w:left w:w="0" w:type="dxa"/>
          <w:bottom w:w="0" w:type="dxa"/>
          <w:right w:w="0" w:type="dxa"/>
        </w:tblCellMar>
      </w:tblPr>
      <w:tblGrid>
        <w:gridCol w:w="245"/>
        <w:gridCol w:w="4250"/>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425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Retail loans include mortgage and installment loan segments.</w:t>
            </w:r>
          </w:p>
        </w:tc>
      </w:tr>
    </w:tbl>
    <w:p>
      <w:pPr>
        <w:pStyle w:val="Normal"/>
        <w:spacing w:before="0" w:after="0"/>
        <w:rPr>
          <w:sz w:val="4"/>
          <w:szCs w:val="4"/>
        </w:rPr>
      </w:pPr>
      <w:r>
        <w:rPr>
          <w:sz w:val="4"/>
          <w:szCs w:val="4"/>
        </w:rPr>
      </w:r>
      <w:bookmarkStart w:id="706" w:name="z8cb790a141f04f8691e8ff89ace74ca1"/>
      <w:bookmarkStart w:id="707" w:name="z8cb790a141f04f8691e8ff89ace74ca1"/>
      <w:bookmarkEnd w:id="707"/>
    </w:p>
    <w:tbl>
      <w:tblPr>
        <w:tblW w:w="3550" w:type="dxa"/>
        <w:jc w:val="left"/>
        <w:tblInd w:w="0" w:type="dxa"/>
        <w:tblCellMar>
          <w:top w:w="0" w:type="dxa"/>
          <w:left w:w="0" w:type="dxa"/>
          <w:bottom w:w="0" w:type="dxa"/>
          <w:right w:w="0" w:type="dxa"/>
        </w:tblCellMar>
      </w:tblPr>
      <w:tblGrid>
        <w:gridCol w:w="245"/>
        <w:gridCol w:w="3305"/>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330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Included in non-performing assets table above.</w:t>
            </w:r>
          </w:p>
        </w:tc>
      </w:tr>
    </w:tbl>
    <w:p>
      <w:pPr>
        <w:pStyle w:val="Normal"/>
        <w:spacing w:before="0" w:after="0"/>
        <w:rPr>
          <w:sz w:val="4"/>
          <w:szCs w:val="4"/>
        </w:rPr>
      </w:pPr>
      <w:r>
        <w:rPr>
          <w:sz w:val="4"/>
          <w:szCs w:val="4"/>
        </w:rPr>
      </w:r>
      <w:bookmarkStart w:id="708" w:name="zbf7d68f99d924034ba793b840b74c700"/>
      <w:bookmarkStart w:id="709" w:name="zbf7d68f99d924034ba793b840b74c700"/>
      <w:bookmarkEnd w:id="709"/>
    </w:p>
    <w:tbl>
      <w:tblPr>
        <w:tblW w:w="8035" w:type="dxa"/>
        <w:jc w:val="left"/>
        <w:tblInd w:w="0" w:type="dxa"/>
        <w:tblCellMar>
          <w:top w:w="0" w:type="dxa"/>
          <w:left w:w="0" w:type="dxa"/>
          <w:bottom w:w="0" w:type="dxa"/>
          <w:right w:w="0" w:type="dxa"/>
        </w:tblCellMar>
      </w:tblPr>
      <w:tblGrid>
        <w:gridCol w:w="245"/>
        <w:gridCol w:w="7790"/>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(3)</w:t>
            </w:r>
          </w:p>
        </w:tc>
        <w:tc>
          <w:tcPr>
            <w:tcW w:w="779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Also includes loans on non-accrual at the time of modification until six payments are received on a timely basis.</w:t>
            </w:r>
          </w:p>
        </w:tc>
      </w:tr>
    </w:tbl>
    <w:p>
      <w:pPr>
        <w:pStyle w:val="TextBody"/>
        <w:spacing w:before="0" w:after="0"/>
        <w:ind w:left="108" w:right="0" w:hanging="0"/>
        <w:jc w:val="left"/>
        <w:rPr/>
      </w:pPr>
      <w:r>
        <w:rPr/>
      </w:r>
    </w:p>
    <w:p>
      <w:pPr>
        <w:pStyle w:val="TextBody"/>
        <w:spacing w:before="0" w:after="0"/>
        <w:jc w:val="both"/>
        <w:rPr>
          <w:rFonts w:ascii="Times New Roman" w:hAnsi="Times New Roman"/>
          <w:sz w:val="17"/>
        </w:rPr>
      </w:pPr>
      <w:r>
        <w:rPr>
          <w:rFonts w:ascii="Times New Roman" w:hAnsi="Times New Roman"/>
          <w:sz w:val="17"/>
        </w:rPr>
        <w:t>Non-performing loans decreased by $0.2 million, or 2.0%, during the first quarter of 2019 due principally to a decline in non-performing commercial loans. This decline primarily reflects reduced levels of new loan defaults as well as loan charge-offs, pay-offs, negotiated transactions, and the migration of loans into other real estate.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Non-performing loans exclude performing loans that are classified as troubled debt restructurings (“TDRs”). Performing TDRs totaled $50.6 million, or 1.9% of total Portfolio Loans, and $53.1 million, or 2.1% of total Portfolio Loans, at March 31, 2019 and December 31, 2018, respectively. The decrease in the amount of performing TDRs in the first quarter of 2019 primarily reflects pay downs and payoffs.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Other real estate and repossessed assets were essentially unchanged and totaled $1.3 million at both March 31, 2019 and December 31,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ratio of loan net charge-offs to average Portfolio Loans was 0.05% on an annualized basis in the first quarter of 2019 compared to a negative 0.03% (as a result of net recoveries) in the first quarter of 2018.  This year-over-year change was primarily due to a decline in recoveries on previously charged-off commercial loans.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0" w:name="DSPFPageBreakArea68"/>
      <w:bookmarkStart w:id="711" w:name="DSPFPageBreakArea68"/>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12" w:name="DSPFPageNumber68"/>
      <w:bookmarkStart w:id="713" w:name="DSPFPageNumberArea67"/>
      <w:bookmarkEnd w:id="712"/>
      <w:bookmarkEnd w:id="713"/>
      <w:r>
        <w:rPr>
          <w:rFonts w:ascii="Times New Roman" w:hAnsi="Times New Roman"/>
          <w:b w:val="false"/>
          <w:i w:val="false"/>
          <w:caps w:val="false"/>
          <w:smallCaps w:val="false"/>
          <w:sz w:val="13"/>
        </w:rPr>
        <w:t>69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4" w:name="DSPFPageBreak68"/>
      <w:bookmarkStart w:id="715" w:name="DSPFPageBreak68"/>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16" w:name="DSPFPageHeader67"/>
        <w:bookmarkEnd w:id="71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17"/>
        </w:rPr>
      </w:pPr>
      <w:r>
        <w:rPr>
          <w:rFonts w:ascii="Times New Roman" w:hAnsi="Times New Roman"/>
          <w:b/>
          <w:sz w:val="17"/>
        </w:rPr>
        <w:t>Allowance for loan losses</w:t>
      </w:r>
    </w:p>
    <w:p>
      <w:pPr>
        <w:pStyle w:val="TextBody"/>
        <w:spacing w:before="0" w:after="0"/>
        <w:rPr/>
      </w:pPr>
      <w:r>
        <w:rPr/>
      </w:r>
    </w:p>
    <w:p>
      <w:pPr>
        <w:pStyle w:val="Normal"/>
        <w:spacing w:before="0" w:after="0"/>
        <w:rPr>
          <w:sz w:val="4"/>
          <w:szCs w:val="4"/>
        </w:rPr>
      </w:pPr>
      <w:r>
        <w:rPr>
          <w:sz w:val="4"/>
          <w:szCs w:val="4"/>
        </w:rPr>
      </w:r>
      <w:bookmarkStart w:id="717" w:name="z884b51e491a34863a1a0002ac85c98f8"/>
      <w:bookmarkStart w:id="718" w:name="z884b51e491a34863a1a0002ac85c98f8"/>
      <w:bookmarkEnd w:id="718"/>
    </w:p>
    <w:tbl>
      <w:tblPr>
        <w:tblW w:w="8675" w:type="dxa"/>
        <w:jc w:val="left"/>
        <w:tblInd w:w="0" w:type="dxa"/>
        <w:tblCellMar>
          <w:top w:w="0" w:type="dxa"/>
          <w:left w:w="0" w:type="dxa"/>
          <w:bottom w:w="0" w:type="dxa"/>
          <w:right w:w="0" w:type="dxa"/>
        </w:tblCellMar>
      </w:tblPr>
      <w:tblGrid>
        <w:gridCol w:w="4700"/>
        <w:gridCol w:w="60"/>
        <w:gridCol w:w="110"/>
        <w:gridCol w:w="515"/>
        <w:gridCol w:w="155"/>
        <w:gridCol w:w="60"/>
        <w:gridCol w:w="201"/>
        <w:gridCol w:w="779"/>
        <w:gridCol w:w="60"/>
        <w:gridCol w:w="60"/>
        <w:gridCol w:w="110"/>
        <w:gridCol w:w="515"/>
        <w:gridCol w:w="215"/>
        <w:gridCol w:w="60"/>
        <w:gridCol w:w="201"/>
        <w:gridCol w:w="779"/>
        <w:gridCol w:w="95"/>
      </w:tblGrid>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0"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Three months ended</w:t>
            </w:r>
          </w:p>
          <w:p>
            <w:pPr>
              <w:pStyle w:val="TableContents"/>
              <w:spacing w:before="0" w:after="0"/>
              <w:jc w:val="center"/>
              <w:rPr>
                <w:rFonts w:ascii="Times New Roman" w:hAnsi="Times New Roman"/>
                <w:sz w:val="17"/>
              </w:rPr>
            </w:pPr>
            <w:r>
              <w:rPr>
                <w:rFonts w:ascii="Times New Roman" w:hAnsi="Times New Roman"/>
                <w:sz w:val="17"/>
              </w:rPr>
              <w:t>March 31,</w:t>
            </w:r>
          </w:p>
        </w:tc>
        <w:tc>
          <w:tcPr>
            <w:tcW w:w="9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8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2018</w:t>
            </w:r>
          </w:p>
        </w:tc>
        <w:tc>
          <w:tcPr>
            <w:tcW w:w="9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Loans</w:t>
            </w:r>
          </w:p>
        </w:tc>
        <w:tc>
          <w:tcPr>
            <w:tcW w:w="15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Unfunded</w:t>
            </w:r>
          </w:p>
          <w:p>
            <w:pPr>
              <w:pStyle w:val="TableContents"/>
              <w:spacing w:before="0" w:after="0"/>
              <w:jc w:val="center"/>
              <w:rPr>
                <w:rFonts w:ascii="Times New Roman" w:hAnsi="Times New Roman"/>
                <w:sz w:val="17"/>
              </w:rPr>
            </w:pPr>
            <w:r>
              <w:rPr>
                <w:rFonts w:ascii="Times New Roman" w:hAnsi="Times New Roman"/>
                <w:sz w:val="17"/>
              </w:rPr>
              <w:t>Commitments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Loans</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Unfunded</w:t>
            </w:r>
          </w:p>
          <w:p>
            <w:pPr>
              <w:pStyle w:val="TableContents"/>
              <w:spacing w:before="0" w:after="0"/>
              <w:jc w:val="center"/>
              <w:rPr>
                <w:rFonts w:ascii="Times New Roman" w:hAnsi="Times New Roman"/>
                <w:sz w:val="17"/>
              </w:rPr>
            </w:pPr>
            <w:r>
              <w:rPr>
                <w:rFonts w:ascii="Times New Roman" w:hAnsi="Times New Roman"/>
                <w:sz w:val="17"/>
              </w:rPr>
              <w:t>Commitments</w:t>
            </w:r>
          </w:p>
        </w:tc>
        <w:tc>
          <w:tcPr>
            <w:tcW w:w="9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0" w:type="dxa"/>
            <w:gridSpan w:val="14"/>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(Dollars in thousands)</w:t>
            </w:r>
          </w:p>
        </w:tc>
        <w:tc>
          <w:tcPr>
            <w:tcW w:w="9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Balance at beginning of period</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24,888</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1,296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22,587</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1,125</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Additions (deductions)</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Provision for loan losses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315</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FFFF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Recoveries credited to allowance</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568</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1,014</w:t>
            </w:r>
          </w:p>
        </w:tc>
        <w:tc>
          <w:tcPr>
            <w:tcW w:w="21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FFFFFF"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Loans charged against the allowance</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(866</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(845</w:t>
            </w:r>
          </w:p>
        </w:tc>
        <w:tc>
          <w:tcPr>
            <w:tcW w:w="2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Additions included in non-interest expense</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160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21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9"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(114</w:t>
            </w:r>
          </w:p>
        </w:tc>
        <w:tc>
          <w:tcPr>
            <w:tcW w:w="95"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470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Balance at end of period</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25,254</w:t>
            </w:r>
          </w:p>
        </w:tc>
        <w:tc>
          <w:tcPr>
            <w:tcW w:w="15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1,456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5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23,071</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77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1,011</w:t>
            </w:r>
          </w:p>
        </w:tc>
        <w:tc>
          <w:tcPr>
            <w:tcW w:w="95" w:type="dxa"/>
            <w:tcBorders/>
            <w:shd w:fill="CCEEFF" w:val="clear"/>
            <w:vAlign w:val="bottom"/>
          </w:tcPr>
          <w:p>
            <w:pPr>
              <w:pStyle w:val="TableContents"/>
              <w:spacing w:before="0" w:after="283"/>
              <w:jc w:val="left"/>
              <w:rPr/>
            </w:pPr>
            <w:r>
              <w:rPr/>
              <w:t> </w:t>
            </w:r>
          </w:p>
        </w:tc>
      </w:tr>
      <w:tr>
        <w:trPr/>
        <w:tc>
          <w:tcPr>
            <w:tcW w:w="470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51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left"/>
              <w:rPr/>
            </w:pPr>
            <w:r>
              <w:rPr/>
              <w:t> </w:t>
            </w:r>
          </w:p>
        </w:tc>
        <w:tc>
          <w:tcPr>
            <w:tcW w:w="779"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jc w:val="left"/>
              <w:rPr/>
            </w:pPr>
            <w:r>
              <w:rPr>
                <w:rFonts w:ascii="Times New Roman" w:hAnsi="Times New Roman"/>
                <w:sz w:val="17"/>
              </w:rPr>
              <w:t>Net loans charged against the allowance to</w:t>
            </w:r>
            <w:r>
              <w:rPr/>
              <w:t xml:space="preserve"> </w:t>
            </w:r>
            <w:r>
              <w:rPr>
                <w:rFonts w:ascii="Times New Roman" w:hAnsi="Times New Roman"/>
                <w:sz w:val="17"/>
              </w:rPr>
              <w:t>average Portfolio Loans</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0.05</w:t>
            </w:r>
          </w:p>
        </w:tc>
        <w:tc>
          <w:tcPr>
            <w:tcW w:w="15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(0.03</w:t>
            </w:r>
          </w:p>
        </w:tc>
        <w:tc>
          <w:tcPr>
            <w:tcW w:w="21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779"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Allocation of the Allowance for Loan Losses</w:t>
      </w:r>
    </w:p>
    <w:p>
      <w:pPr>
        <w:pStyle w:val="TextBody"/>
        <w:spacing w:before="0" w:after="0"/>
        <w:rPr/>
      </w:pPr>
      <w:r>
        <w:rPr/>
      </w:r>
    </w:p>
    <w:p>
      <w:pPr>
        <w:pStyle w:val="Normal"/>
        <w:spacing w:before="0" w:after="0"/>
        <w:rPr>
          <w:sz w:val="4"/>
          <w:szCs w:val="4"/>
        </w:rPr>
      </w:pPr>
      <w:r>
        <w:rPr>
          <w:sz w:val="4"/>
          <w:szCs w:val="4"/>
        </w:rPr>
      </w:r>
      <w:bookmarkStart w:id="719" w:name="z55c30e1329e246a2a5e65e5a0962506c"/>
      <w:bookmarkStart w:id="720" w:name="z55c30e1329e246a2a5e65e5a0962506c"/>
      <w:bookmarkEnd w:id="720"/>
    </w:p>
    <w:tbl>
      <w:tblPr>
        <w:tblW w:w="5415" w:type="dxa"/>
        <w:jc w:val="left"/>
        <w:tblInd w:w="0" w:type="dxa"/>
        <w:tblCellMar>
          <w:top w:w="0" w:type="dxa"/>
          <w:left w:w="0" w:type="dxa"/>
          <w:bottom w:w="0" w:type="dxa"/>
          <w:right w:w="0" w:type="dxa"/>
        </w:tblCellMar>
      </w:tblPr>
      <w:tblGrid>
        <w:gridCol w:w="3440"/>
        <w:gridCol w:w="60"/>
        <w:gridCol w:w="130"/>
        <w:gridCol w:w="610"/>
        <w:gridCol w:w="60"/>
        <w:gridCol w:w="60"/>
        <w:gridCol w:w="175"/>
        <w:gridCol w:w="820"/>
        <w:gridCol w:w="60"/>
      </w:tblGrid>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60" w:type="dxa"/>
            <w:tcBorders/>
            <w:shd w:fill="auto" w:val="clear"/>
            <w:vAlign w:val="bottom"/>
          </w:tcPr>
          <w:p>
            <w:pPr>
              <w:pStyle w:val="TableContents"/>
              <w:spacing w:before="0" w:after="283"/>
              <w:jc w:val="left"/>
              <w:rPr/>
            </w:pPr>
            <w:r>
              <w:rPr/>
              <w:t> </w:t>
            </w:r>
          </w:p>
        </w:tc>
      </w:tr>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60" w:type="dxa"/>
            <w:tcBorders/>
            <w:shd w:fill="auto"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Specific allocations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6,686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6,310</w:t>
            </w:r>
          </w:p>
        </w:tc>
        <w:tc>
          <w:tcPr>
            <w:tcW w:w="60"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Other adversely rated commercial loans</w:t>
            </w:r>
          </w:p>
        </w:tc>
        <w:tc>
          <w:tcPr>
            <w:tcW w:w="60"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820"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1,861</w:t>
            </w:r>
          </w:p>
        </w:tc>
        <w:tc>
          <w:tcPr>
            <w:tcW w:w="60"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Historical loss allocations</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61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8,400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7,792</w:t>
            </w:r>
          </w:p>
        </w:tc>
        <w:tc>
          <w:tcPr>
            <w:tcW w:w="60" w:type="dxa"/>
            <w:tcBorders/>
            <w:shd w:fill="CCEEFF" w:val="clear"/>
            <w:vAlign w:val="bottom"/>
          </w:tcPr>
          <w:p>
            <w:pPr>
              <w:pStyle w:val="TableContents"/>
              <w:spacing w:before="0" w:after="283"/>
              <w:jc w:val="left"/>
              <w:rPr/>
            </w:pPr>
            <w:r>
              <w:rPr/>
              <w:t> </w:t>
            </w:r>
          </w:p>
        </w:tc>
      </w:tr>
      <w:tr>
        <w:trPr/>
        <w:tc>
          <w:tcPr>
            <w:tcW w:w="3440"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Additional allocations based on subjective factors</w:t>
            </w:r>
          </w:p>
        </w:tc>
        <w:tc>
          <w:tcPr>
            <w:tcW w:w="60" w:type="dxa"/>
            <w:tcBorders/>
            <w:shd w:fill="FFFFFF" w:val="clear"/>
            <w:vAlign w:val="bottom"/>
          </w:tcPr>
          <w:p>
            <w:pPr>
              <w:pStyle w:val="TableContents"/>
              <w:spacing w:before="0" w:after="283"/>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1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8,073</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0"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8,925</w:t>
            </w:r>
          </w:p>
        </w:tc>
        <w:tc>
          <w:tcPr>
            <w:tcW w:w="60" w:type="dxa"/>
            <w:tcBorders/>
            <w:shd w:fill="FFFFFF" w:val="clear"/>
            <w:vAlign w:val="bottom"/>
          </w:tcPr>
          <w:p>
            <w:pPr>
              <w:pStyle w:val="TableContents"/>
              <w:spacing w:before="0" w:after="283"/>
              <w:jc w:val="left"/>
              <w:rPr/>
            </w:pPr>
            <w:r>
              <w:rPr/>
              <w:t> </w:t>
            </w:r>
          </w:p>
        </w:tc>
      </w:tr>
      <w:tr>
        <w:trPr/>
        <w:tc>
          <w:tcPr>
            <w:tcW w:w="3440"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Total</w:t>
            </w:r>
          </w:p>
        </w:tc>
        <w:tc>
          <w:tcPr>
            <w:tcW w:w="60" w:type="dxa"/>
            <w:tcBorders/>
            <w:shd w:fill="CCEEFF" w:val="clear"/>
            <w:vAlign w:val="bottom"/>
          </w:tcPr>
          <w:p>
            <w:pPr>
              <w:pStyle w:val="TableContents"/>
              <w:spacing w:before="0" w:after="283"/>
              <w:rPr/>
            </w:pPr>
            <w:r>
              <w:rPr/>
              <w:t> </w:t>
            </w:r>
          </w:p>
        </w:tc>
        <w:tc>
          <w:tcPr>
            <w:tcW w:w="13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1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25,254</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2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24,888</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1" w:name="DSPFPageBreakArea69"/>
      <w:bookmarkStart w:id="722" w:name="DSPFPageBreakArea69"/>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23" w:name="DSPFPageNumber69"/>
      <w:bookmarkStart w:id="724" w:name="DSPFPageNumberArea68"/>
      <w:bookmarkEnd w:id="723"/>
      <w:bookmarkEnd w:id="724"/>
      <w:r>
        <w:rPr>
          <w:rFonts w:ascii="Times New Roman" w:hAnsi="Times New Roman"/>
          <w:b w:val="false"/>
          <w:i w:val="false"/>
          <w:caps w:val="false"/>
          <w:smallCaps w:val="false"/>
          <w:sz w:val="13"/>
        </w:rPr>
        <w:t>70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5" w:name="DSPFPageBreak69"/>
      <w:bookmarkStart w:id="726" w:name="DSPFPageBreak69"/>
      <w:bookmarkEnd w:id="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27" w:name="DSPFPageHeader68"/>
        <w:bookmarkEnd w:id="72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While we use relevant information to recognize losses on loans, additional provisions for related losses may be necessary based on changes in economic conditions, customer circumstances and other credit risk factors.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AFLL increased $0.4 million to $25.3 million at March 31, 2019 from $24.9 million at December 31, 2018 and was equal to 0.96% of total Portfolio Loans at both March 31, 2019 and at December 31,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During the first quarter of 2019, we deployed a third-party software solution (we previously used spreadsheet software) to assist in the determination of our AFLL.  This new third-party software will also assist us in moving to the expected loss framework that is required to be implemented on January 1, 2020.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 and from the AFLL related to historical losses into the AFLL for specific loans.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8" w:name="DSPFPageBreakArea70"/>
      <w:bookmarkStart w:id="729" w:name="DSPFPageBreakArea70"/>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30" w:name="DSPFPageNumber70"/>
      <w:bookmarkStart w:id="731" w:name="DSPFPageNumberArea69"/>
      <w:bookmarkEnd w:id="730"/>
      <w:bookmarkEnd w:id="731"/>
      <w:r>
        <w:rPr>
          <w:rFonts w:ascii="Times New Roman" w:hAnsi="Times New Roman"/>
          <w:b w:val="false"/>
          <w:i w:val="false"/>
          <w:caps w:val="false"/>
          <w:smallCaps w:val="false"/>
          <w:sz w:val="13"/>
        </w:rPr>
        <w:t>71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2" w:name="DSPFPageBreak70"/>
      <w:bookmarkStart w:id="733" w:name="DSPFPageBreak70"/>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34" w:name="DSPFPageHeader69"/>
        <w:bookmarkEnd w:id="73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Three of the four components of the AFLL outlined above increased in the first quarter of 2019. The AFLL related to specific loans increased $0.4 million in 2019 due primarily to a slight shift from the historical to the specific loan component of the AFLL as described above.  The AFLL related to other adversely rated commercial loans increased $0.2 million in 2019 primarily due to an increase in the balance of such loans included in this component to $47.0 million at March 31, 2019 from $44.7 million at December 31, 2018 and $35.3 million at March 31, 2018.  The AFLL related to historical losses increased $0.6 million during 2019, and the AFLL related to subjective factors decreased $0.9 million during 2019.</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Three of the four components of the AFLL for loan losses outlined above also increased in the first quarter of 2018. The AFLL related to specific loans decreased $0.5 million during the first quarter of 2018 due primarily to a decline in the balance of individually impaired loans and lower loss given default rates as well as charge-offs.  The AFLL related to other adversely rated commercial loans increased $0.6 million during the first quarter of 2018 primarily due to an increase in the balance of such loans included in this component to $35.3 million at March 31, 2018 from $27.2 million at December 31, 2017.  The AFLL related to historical losses increased $0.1 million during the first quarter of 2018 due principally to loan growth.  The AFLL related to subjective factors increased $0.2 million during the first quarter of 2018 primarily due to loan growth.</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Deposits and borrowings.  </w:t>
      </w:r>
      <w:r>
        <w:rPr>
          <w:rFonts w:ascii="Times New Roman" w:hAnsi="Times New Roman"/>
          <w:sz w:val="17"/>
        </w:rPr>
        <w:t>Historically, the loyalty of our customer base has allowed us to price deposits competitively, 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pStyle w:val="TextBody"/>
        <w:spacing w:before="0" w:after="0"/>
        <w:rPr/>
      </w:pPr>
      <w:r>
        <w:rPr/>
      </w:r>
    </w:p>
    <w:p>
      <w:pPr>
        <w:pStyle w:val="TextBody"/>
        <w:spacing w:lineRule="auto" w:line="240" w:before="0" w:after="0"/>
        <w:jc w:val="both"/>
        <w:rPr>
          <w:rFonts w:ascii="Times New Roman" w:hAnsi="Times New Roman"/>
          <w:sz w:val="17"/>
        </w:rPr>
      </w:pPr>
      <w:r>
        <w:rPr>
          <w:rFonts w:ascii="Times New Roman" w:hAnsi="Times New Roman"/>
          <w:sz w:val="17"/>
        </w:rPr>
        <w:t>Deposits totaled $2.93 billion and $2.91 billion at March 31, 2019 and December 31, 2018, respectively.  The $20.8 million increase in deposits in the first quarter of 2019 is primarily due to growth in savings and interest-bearing checking deposit account balances and in reciprocal deposits.  Reciprocal deposits totaled $267.2 million and $182.1 million at March 31, 2019 and December 31, 2018, respectively.  These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cannot be sure that we will be able to maintain our current level of core deposits. In particular, those deposits that are uninsured may be susceptible to outflow. At March 31, 2019, we had approximately $565.9 million of uninsured deposits. A reduction in core deposits would likely increase our need to rely on wholesale funding sources.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5" w:name="DSPFPageBreakArea71"/>
      <w:bookmarkStart w:id="736" w:name="DSPFPageBreakArea71"/>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37" w:name="DSPFPageNumber71"/>
      <w:bookmarkStart w:id="738" w:name="DSPFPageNumberArea70"/>
      <w:bookmarkEnd w:id="737"/>
      <w:bookmarkEnd w:id="738"/>
      <w:r>
        <w:rPr>
          <w:rFonts w:ascii="Times New Roman" w:hAnsi="Times New Roman"/>
          <w:b w:val="false"/>
          <w:i w:val="false"/>
          <w:caps w:val="false"/>
          <w:smallCaps w:val="false"/>
          <w:sz w:val="13"/>
        </w:rPr>
        <w:t>72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9" w:name="DSPFPageBreak71"/>
      <w:bookmarkStart w:id="740" w:name="DSPFPageBreak71"/>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41" w:name="DSPFPageHeader70"/>
        <w:bookmarkEnd w:id="741"/>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pStyle w:val="TextBody"/>
        <w:spacing w:before="0" w:after="0"/>
        <w:rPr/>
      </w:pPr>
      <w:r>
        <w:rPr/>
      </w:r>
    </w:p>
    <w:p>
      <w:pPr>
        <w:pStyle w:val="TextBody"/>
        <w:spacing w:before="0" w:after="0"/>
        <w:ind w:left="0" w:right="118" w:hanging="0"/>
        <w:jc w:val="both"/>
        <w:rPr>
          <w:rFonts w:ascii="Times New Roman" w:hAnsi="Times New Roman"/>
          <w:sz w:val="17"/>
        </w:rPr>
      </w:pPr>
      <w:r>
        <w:rPr>
          <w:rFonts w:ascii="Times New Roman" w:hAnsi="Times New Roman"/>
          <w:sz w:val="17"/>
        </w:rPr>
        <w:t>Other borrowings, comprised primarily of advances from the FHLB, totaled $25.7 million at both March 31, 2019 and December 31, 2018.</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As described above, we utilize wholesale funding, including FHLB borrowings and Brokered CDs to augment our core deposits and fund a portion of our assets. At March 31, 2019, our use of such wholesale funding sources (including reciprocal deposits) amounted to approximately $505.0 million, or 17.1%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historically employed derivative financial instruments to manage our exposure to changes in interest rates.  During the first quarters of 2019 and 2018, we entered into $8.4 million and $11.3 million (aggregate notional amounts), respectively, of interest rate swaps with commercial loan customers, which were offset with interest rate swaps that the Bank entered into with a broker-dealer. We recorded $0.07 million and $0.10 million of fee income related to these transactions during the first quarters of 2019 and 2018, respectively. See note #6 to the Condensed Consolidated Financial Statements included within this report for more information on our derivative financial instruments.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Liquidity and capital resources.</w:t>
      </w:r>
      <w:r>
        <w:rPr>
          <w:rFonts w:ascii="Times New Roman" w:hAnsi="Times New Roman"/>
          <w:sz w:val="17"/>
        </w:rPr>
        <w:t xml:space="preserve"> Liquidity risk is the risk of being unable to timely meet obligations as they come due at a reasonable funding cost or 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primary sources of funds include our deposit base, secured advances from the FHLB, federal funds purchased borrowing facilities with other banks, and access to the capital markets (for Brokered CDs).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2" w:name="DSPFPageBreakArea72"/>
      <w:bookmarkStart w:id="743" w:name="DSPFPageBreakArea72"/>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44" w:name="DSPFPageNumber72"/>
      <w:bookmarkStart w:id="745" w:name="DSPFPageNumberArea71"/>
      <w:bookmarkEnd w:id="744"/>
      <w:bookmarkEnd w:id="745"/>
      <w:r>
        <w:rPr>
          <w:rFonts w:ascii="Times New Roman" w:hAnsi="Times New Roman"/>
          <w:b w:val="false"/>
          <w:i w:val="false"/>
          <w:caps w:val="false"/>
          <w:smallCaps w:val="false"/>
          <w:sz w:val="13"/>
        </w:rPr>
        <w:t>73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6" w:name="DSPFPageBreak72"/>
      <w:bookmarkStart w:id="747" w:name="DSPFPageBreak72"/>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48" w:name="DSPFPageHeader71"/>
        <w:bookmarkEnd w:id="748"/>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8" w:hanging="0"/>
        <w:jc w:val="both"/>
        <w:rPr>
          <w:rFonts w:ascii="Times New Roman" w:hAnsi="Times New Roman"/>
          <w:sz w:val="17"/>
        </w:rPr>
      </w:pPr>
      <w:r>
        <w:rPr>
          <w:rFonts w:ascii="Times New Roman" w:hAnsi="Times New Roman"/>
          <w:sz w:val="17"/>
        </w:rPr>
        <w:t>At March 31, 2019, we had $511.1 million of time deposits that mature in the next 12 months. Historically, a majority of these maturing time deposits are renewed by our customers. Additionally, $2.28 billion of our deposits at March 31, 2019,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believe that we currently have adequate liquidity at our Bank because of our cash and cash equivalents, our portfolio of securities available for sale, our access to secured advances from the FHLB and our ability to issue Brokered CDs.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also believe that the available cash on hand at the parent company (including time deposits) of approximately $32.0 million as of March 31, 2019 provides sufficient liquidity resources at the parent company to meet operating expenses, to make interest payments on the subordinated debentures, and to pay projected cash dividends on our common stock.</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Effective management of capital resources is critical to our mission to create value for our shareholders. In addition to common stock, our capital structure also currently includes cumulative trust preferred securities.</w:t>
      </w:r>
    </w:p>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Capitalization</w:t>
      </w:r>
    </w:p>
    <w:p>
      <w:pPr>
        <w:pStyle w:val="TextBody"/>
        <w:spacing w:before="0" w:after="0"/>
        <w:rPr/>
      </w:pPr>
      <w:r>
        <w:rPr/>
      </w:r>
    </w:p>
    <w:p>
      <w:pPr>
        <w:pStyle w:val="Normal"/>
        <w:spacing w:before="0" w:after="0"/>
        <w:rPr>
          <w:sz w:val="4"/>
          <w:szCs w:val="4"/>
        </w:rPr>
      </w:pPr>
      <w:r>
        <w:rPr>
          <w:sz w:val="4"/>
          <w:szCs w:val="4"/>
        </w:rPr>
      </w:r>
      <w:bookmarkStart w:id="749" w:name="z24bbd14d66d8457daccf50e124a7dc59"/>
      <w:bookmarkStart w:id="750" w:name="z24bbd14d66d8457daccf50e124a7dc59"/>
      <w:bookmarkEnd w:id="750"/>
    </w:p>
    <w:tbl>
      <w:tblPr>
        <w:tblW w:w="5080" w:type="dxa"/>
        <w:jc w:val="left"/>
        <w:tblInd w:w="0" w:type="dxa"/>
        <w:tblCellMar>
          <w:top w:w="0" w:type="dxa"/>
          <w:left w:w="0" w:type="dxa"/>
          <w:bottom w:w="0" w:type="dxa"/>
          <w:right w:w="0" w:type="dxa"/>
        </w:tblCellMar>
      </w:tblPr>
      <w:tblGrid>
        <w:gridCol w:w="3065"/>
        <w:gridCol w:w="60"/>
        <w:gridCol w:w="113"/>
        <w:gridCol w:w="627"/>
        <w:gridCol w:w="80"/>
        <w:gridCol w:w="60"/>
        <w:gridCol w:w="153"/>
        <w:gridCol w:w="842"/>
        <w:gridCol w:w="80"/>
      </w:tblGrid>
      <w:tr>
        <w:trPr/>
        <w:tc>
          <w:tcPr>
            <w:tcW w:w="3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March 31,</w:t>
            </w:r>
          </w:p>
          <w:p>
            <w:pPr>
              <w:pStyle w:val="TableContents"/>
              <w:spacing w:before="0" w:after="0"/>
              <w:jc w:val="center"/>
              <w:rPr>
                <w:rFonts w:ascii="Times New Roman" w:hAnsi="Times New Roman"/>
                <w:sz w:val="17"/>
              </w:rPr>
            </w:pPr>
            <w:r>
              <w:rPr>
                <w:rFonts w:ascii="Times New Roman" w:hAnsi="Times New Roman"/>
                <w:sz w:val="17"/>
              </w:rPr>
              <w:t>2019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sz w:val="17"/>
              </w:rPr>
            </w:pPr>
            <w:r>
              <w:rPr>
                <w:rFonts w:ascii="Times New Roman" w:hAnsi="Times New Roman"/>
                <w:sz w:val="17"/>
              </w:rPr>
              <w:t>December 31,</w:t>
            </w:r>
          </w:p>
          <w:p>
            <w:pPr>
              <w:pStyle w:val="TableContents"/>
              <w:spacing w:before="0" w:after="0"/>
              <w:jc w:val="center"/>
              <w:rPr>
                <w:rFonts w:ascii="Times New Roman" w:hAnsi="Times New Roman"/>
                <w:sz w:val="17"/>
              </w:rPr>
            </w:pPr>
            <w:r>
              <w:rPr>
                <w:rFonts w:ascii="Times New Roman" w:hAnsi="Times New Roman"/>
                <w:sz w:val="17"/>
              </w:rPr>
              <w:t>2018</w:t>
            </w:r>
          </w:p>
        </w:tc>
        <w:tc>
          <w:tcPr>
            <w:tcW w:w="80" w:type="dxa"/>
            <w:tcBorders/>
            <w:shd w:fill="auto" w:val="clear"/>
            <w:vAlign w:val="bottom"/>
          </w:tcPr>
          <w:p>
            <w:pPr>
              <w:pStyle w:val="TableContents"/>
              <w:spacing w:before="0" w:after="283"/>
              <w:jc w:val="left"/>
              <w:rPr/>
            </w:pPr>
            <w:r>
              <w:rPr/>
              <w:t> </w:t>
            </w:r>
          </w:p>
        </w:tc>
      </w:tr>
      <w:tr>
        <w:trPr/>
        <w:tc>
          <w:tcPr>
            <w:tcW w:w="3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5" w:type="dxa"/>
            <w:gridSpan w:val="6"/>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(In thousands)</w:t>
            </w:r>
          </w:p>
        </w:tc>
        <w:tc>
          <w:tcPr>
            <w:tcW w:w="80" w:type="dxa"/>
            <w:tcBorders/>
            <w:shd w:fill="auto" w:val="clear"/>
            <w:vAlign w:val="bottom"/>
          </w:tcPr>
          <w:p>
            <w:pPr>
              <w:pStyle w:val="TableContents"/>
              <w:spacing w:before="0" w:after="283"/>
              <w:jc w:val="left"/>
              <w:rPr/>
            </w:pPr>
            <w:r>
              <w:rPr/>
              <w:t> </w:t>
            </w:r>
          </w:p>
        </w:tc>
      </w:tr>
      <w:tr>
        <w:trPr/>
        <w:tc>
          <w:tcPr>
            <w:tcW w:w="3065" w:type="dxa"/>
            <w:tcBorders/>
            <w:shd w:fill="CCEE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Subordinated debentures</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39,405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39,388</w:t>
            </w:r>
          </w:p>
        </w:tc>
        <w:tc>
          <w:tcPr>
            <w:tcW w:w="80" w:type="dxa"/>
            <w:tcBorders/>
            <w:shd w:fill="CCEEFF" w:val="clear"/>
            <w:vAlign w:val="bottom"/>
          </w:tcPr>
          <w:p>
            <w:pPr>
              <w:pStyle w:val="TableContents"/>
              <w:spacing w:before="0" w:after="283"/>
              <w:jc w:val="left"/>
              <w:rPr/>
            </w:pPr>
            <w:r>
              <w:rPr/>
              <w:t> </w:t>
            </w:r>
          </w:p>
        </w:tc>
      </w:tr>
      <w:tr>
        <w:trPr/>
        <w:tc>
          <w:tcPr>
            <w:tcW w:w="306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Amount not qualifying as regulatory capital</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(1,224</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(1,224</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Amount qualifying as regulatory capital</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38,181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38,164</w:t>
            </w:r>
          </w:p>
        </w:tc>
        <w:tc>
          <w:tcPr>
            <w:tcW w:w="80" w:type="dxa"/>
            <w:tcBorders/>
            <w:shd w:fill="CCEEFF" w:val="clear"/>
            <w:vAlign w:val="bottom"/>
          </w:tcPr>
          <w:p>
            <w:pPr>
              <w:pStyle w:val="TableContents"/>
              <w:spacing w:before="0" w:after="283"/>
              <w:jc w:val="left"/>
              <w:rPr/>
            </w:pPr>
            <w:r>
              <w:rPr/>
              <w:t> </w:t>
            </w:r>
          </w:p>
        </w:tc>
      </w:tr>
      <w:tr>
        <w:trPr/>
        <w:tc>
          <w:tcPr>
            <w:tcW w:w="3065" w:type="dxa"/>
            <w:tcBorders/>
            <w:shd w:fill="FFFFFF" w:val="cle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Shareholders’ equity</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r>
      <w:tr>
        <w:trPr/>
        <w:tc>
          <w:tcPr>
            <w:tcW w:w="306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Common stock</w:t>
            </w:r>
          </w:p>
        </w:tc>
        <w:tc>
          <w:tcPr>
            <w:tcW w:w="6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627"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374,678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377,372</w:t>
            </w:r>
          </w:p>
        </w:tc>
        <w:tc>
          <w:tcPr>
            <w:tcW w:w="80" w:type="dxa"/>
            <w:tcBorders/>
            <w:shd w:fill="CCEEFF" w:val="clear"/>
            <w:vAlign w:val="bottom"/>
          </w:tcPr>
          <w:p>
            <w:pPr>
              <w:pStyle w:val="TableContents"/>
              <w:spacing w:before="0" w:after="283"/>
              <w:jc w:val="left"/>
              <w:rPr/>
            </w:pPr>
            <w:r>
              <w:rPr/>
              <w:t> </w:t>
            </w:r>
          </w:p>
        </w:tc>
      </w:tr>
      <w:tr>
        <w:trPr/>
        <w:tc>
          <w:tcPr>
            <w:tcW w:w="3065" w:type="dxa"/>
            <w:tcBorders/>
            <w:shd w:fill="FFFF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Accumulated deficit</w:t>
            </w:r>
          </w:p>
        </w:tc>
        <w:tc>
          <w:tcPr>
            <w:tcW w:w="60"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jc w:val="left"/>
              <w:rPr/>
            </w:pPr>
            <w:r>
              <w:rPr/>
              <w:t> </w:t>
            </w:r>
          </w:p>
        </w:tc>
        <w:tc>
          <w:tcPr>
            <w:tcW w:w="627"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(23,135</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42" w:type="dxa"/>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(28,270</w:t>
            </w:r>
          </w:p>
        </w:tc>
        <w:tc>
          <w:tcPr>
            <w:tcW w:w="80" w:type="dxa"/>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360" w:right="0" w:hanging="180"/>
              <w:jc w:val="left"/>
              <w:rPr>
                <w:rFonts w:ascii="Times New Roman" w:hAnsi="Times New Roman"/>
                <w:sz w:val="17"/>
              </w:rPr>
            </w:pPr>
            <w:r>
              <w:rPr>
                <w:rFonts w:ascii="Times New Roman" w:hAnsi="Times New Roman"/>
                <w:sz w:val="17"/>
              </w:rPr>
              <w:t>Accumulated other comprehensive loss</w:t>
            </w:r>
          </w:p>
        </w:tc>
        <w:tc>
          <w:tcPr>
            <w:tcW w:w="60" w:type="dxa"/>
            <w:tcBorders/>
            <w:shd w:fill="CCEEFF" w:val="clear"/>
            <w:vAlign w:val="bottom"/>
          </w:tcPr>
          <w:p>
            <w:pPr>
              <w:pStyle w:val="TableContents"/>
              <w:spacing w:before="0" w:after="283"/>
              <w:rPr/>
            </w:pPr>
            <w:r>
              <w:rPr/>
              <w:t> </w:t>
            </w:r>
          </w:p>
        </w:tc>
        <w:tc>
          <w:tcPr>
            <w:tcW w:w="11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(6,817</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283"/>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(10,108</w:t>
            </w:r>
          </w:p>
        </w:tc>
        <w:tc>
          <w:tcPr>
            <w:tcW w:w="80" w:type="dxa"/>
            <w:tcBorders/>
            <w:shd w:fill="CCEE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3065" w:type="dxa"/>
            <w:tcBorders/>
            <w:shd w:fill="FFFF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Total shareholders’ equity</w:t>
            </w:r>
          </w:p>
        </w:tc>
        <w:tc>
          <w:tcPr>
            <w:tcW w:w="60" w:type="dxa"/>
            <w:tcBorders/>
            <w:shd w:fill="FFFFFF" w:val="clear"/>
            <w:vAlign w:val="bottom"/>
          </w:tcPr>
          <w:p>
            <w:pPr>
              <w:pStyle w:val="TableContents"/>
              <w:spacing w:before="0" w:after="283"/>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27"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344,726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338,994</w:t>
            </w:r>
          </w:p>
        </w:tc>
        <w:tc>
          <w:tcPr>
            <w:tcW w:w="80" w:type="dxa"/>
            <w:tcBorders/>
            <w:shd w:fill="FFFFFF" w:val="clear"/>
            <w:vAlign w:val="bottom"/>
          </w:tcPr>
          <w:p>
            <w:pPr>
              <w:pStyle w:val="TableContents"/>
              <w:spacing w:before="0" w:after="283"/>
              <w:jc w:val="left"/>
              <w:rPr/>
            </w:pPr>
            <w:r>
              <w:rPr/>
              <w:t> </w:t>
            </w:r>
          </w:p>
        </w:tc>
      </w:tr>
      <w:tr>
        <w:trPr/>
        <w:tc>
          <w:tcPr>
            <w:tcW w:w="3065" w:type="dxa"/>
            <w:tcBorders/>
            <w:shd w:fill="CCEEFF" w:val="clear"/>
            <w:vAlign w:val="bottom"/>
          </w:tcPr>
          <w:p>
            <w:pPr>
              <w:pStyle w:val="TableContents"/>
              <w:spacing w:before="0" w:after="0"/>
              <w:ind w:left="540" w:right="0" w:hanging="180"/>
              <w:jc w:val="left"/>
              <w:rPr>
                <w:rFonts w:ascii="Times New Roman" w:hAnsi="Times New Roman"/>
                <w:sz w:val="17"/>
              </w:rPr>
            </w:pPr>
            <w:r>
              <w:rPr>
                <w:rFonts w:ascii="Times New Roman" w:hAnsi="Times New Roman"/>
                <w:sz w:val="17"/>
              </w:rPr>
              <w:t>Total capitalization</w:t>
            </w:r>
          </w:p>
        </w:tc>
        <w:tc>
          <w:tcPr>
            <w:tcW w:w="60" w:type="dxa"/>
            <w:tcBorders/>
            <w:shd w:fill="CCEEFF" w:val="clear"/>
            <w:vAlign w:val="bottom"/>
          </w:tcPr>
          <w:p>
            <w:pPr>
              <w:pStyle w:val="TableContents"/>
              <w:spacing w:before="0" w:after="283"/>
              <w:rPr/>
            </w:pPr>
            <w:r>
              <w:rPr/>
              <w:t> </w:t>
            </w:r>
          </w:p>
        </w:tc>
        <w:tc>
          <w:tcPr>
            <w:tcW w:w="1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2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382,907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4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17"/>
              </w:rPr>
            </w:pPr>
            <w:r>
              <w:rPr>
                <w:rFonts w:ascii="Times New Roman" w:hAnsi="Times New Roman"/>
                <w:sz w:val="17"/>
              </w:rPr>
              <w:t>377,158</w:t>
            </w:r>
          </w:p>
        </w:tc>
        <w:tc>
          <w:tcPr>
            <w:tcW w:w="80"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jc w:val="both"/>
        <w:rPr>
          <w:rFonts w:ascii="Times New Roman" w:hAnsi="Times New Roman"/>
          <w:sz w:val="17"/>
        </w:rPr>
      </w:pPr>
      <w:r>
        <w:rPr>
          <w:rFonts w:ascii="Times New Roman" w:hAnsi="Times New Roman"/>
          <w:sz w:val="17"/>
        </w:rPr>
        <w:t>We currently have four special purpose entities with $39.4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1" w:name="DSPFPageBreakArea73"/>
      <w:bookmarkStart w:id="752" w:name="DSPFPageBreakArea73"/>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53" w:name="DSPFPageNumber73"/>
      <w:bookmarkStart w:id="754" w:name="DSPFPageNumberArea72"/>
      <w:bookmarkEnd w:id="753"/>
      <w:bookmarkEnd w:id="754"/>
      <w:r>
        <w:rPr>
          <w:rFonts w:ascii="Times New Roman" w:hAnsi="Times New Roman"/>
          <w:b w:val="false"/>
          <w:i w:val="false"/>
          <w:caps w:val="false"/>
          <w:smallCaps w:val="false"/>
          <w:sz w:val="13"/>
        </w:rPr>
        <w:t>74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5" w:name="DSPFPageBreak73"/>
      <w:bookmarkStart w:id="756" w:name="DSPFPageBreak73"/>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57" w:name="DSPFPageHeader72"/>
        <w:bookmarkEnd w:id="75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2019 and December 31, 2018.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Common shareholders’ equity increased to $344.7 million at March 31, 2019, from $339.0 million at December 31, 2018, due primarily to our net income and a decrease in our accumulated other comprehensive loss that were partially offset by share repurchases and by a cash dividend. Our tangible common equity (“TCE”) totaled $310.3 million and $304.3 million, respectively, at those same dates. Our ratio of TCE to tangible assets was 9.26% and 9.17% at March 31, 2019, and December 31, 2018, respectively.  TCE and the ratio of TCE to tangible assets are non-GAAP measures.  TCE represents total common equity less intangible assets.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 xml:space="preserve">In January 2019, our Board of Directors authorized a share repurchase plan.  Under the terms of the 2019 share repurchase plan, we are authorized to buy back up to 5% of our outstanding common stock.    </w:t>
      </w:r>
      <w:r>
        <w:rPr>
          <w:rFonts w:ascii="Times New Roman" w:hAnsi="Times New Roman"/>
          <w:sz w:val="17"/>
          <w:highlight w:val="white"/>
        </w:rPr>
        <w:t>This repurchase plan is authorized to last through December 31, 2019.  We repurchased 115,787 shares during the first quarter of 2019 at a weighted average price of $21.85 per share.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We pay a quarterly cash dividend on our common stock.  These dividends totaled $0.18 per share and $0.15 per share in the first quarters of 2019 and 2018, respectively.    We generally favor a dividend payout ratio between 30% and 50% of net income.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As of March 31, 2019 and December 31, 2018, our Bank (and holding company) continued to meet the requirements to be considered “well-capitalized” under federal regulatory standards (also see note #10 to the Condensed Consolidated Financial Statements included within this report).</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Asset/liability management.  </w:t>
      </w:r>
      <w:r>
        <w:rPr>
          <w:rFonts w:ascii="Times New Roman" w:hAnsi="Times New Roman"/>
          <w:sz w:val="17"/>
        </w:rPr>
        <w:t>Interest-rate risk is created by differences in the cash flow characteristics of our assets and liabilities. Options embedded in certain financial instruments, including caps on adjustable-rate loans as well as borrowers’ rights to prepay fixed-rate loans, also create interest-rate risk.</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8" w:name="DSPFPageBreakArea74"/>
      <w:bookmarkStart w:id="759" w:name="DSPFPageBreakArea74"/>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60" w:name="DSPFPageNumber74"/>
      <w:bookmarkStart w:id="761" w:name="DSPFPageNumberArea73"/>
      <w:bookmarkEnd w:id="760"/>
      <w:bookmarkEnd w:id="761"/>
      <w:r>
        <w:rPr>
          <w:rFonts w:ascii="Times New Roman" w:hAnsi="Times New Roman"/>
          <w:b w:val="false"/>
          <w:i w:val="false"/>
          <w:caps w:val="false"/>
          <w:smallCaps w:val="false"/>
          <w:sz w:val="13"/>
        </w:rPr>
        <w:t>75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2" w:name="DSPFPageBreak74"/>
      <w:bookmarkStart w:id="763" w:name="DSPFPageBreak74"/>
      <w:bookmarkEnd w:id="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64" w:name="DSPFPageHeader73"/>
        <w:bookmarkEnd w:id="76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pStyle w:val="TextBody"/>
        <w:spacing w:before="0" w:after="0"/>
        <w:rPr/>
      </w:pPr>
      <w:r>
        <w:rPr/>
      </w:r>
    </w:p>
    <w:p>
      <w:pPr>
        <w:pStyle w:val="TextBody"/>
        <w:spacing w:before="0" w:after="0"/>
        <w:jc w:val="left"/>
        <w:rPr>
          <w:rFonts w:ascii="Times New Roman" w:hAnsi="Times New Roman"/>
          <w:b/>
          <w:sz w:val="17"/>
        </w:rPr>
      </w:pPr>
      <w:r>
        <w:rPr>
          <w:rFonts w:ascii="Times New Roman" w:hAnsi="Times New Roman"/>
          <w:b/>
          <w:sz w:val="17"/>
        </w:rPr>
        <w:t>CHANGES IN MARKET VALUE OF PORTFOLIO EQUITY AND NET INTEREST INCOME</w:t>
      </w:r>
    </w:p>
    <w:p>
      <w:pPr>
        <w:pStyle w:val="TextBody"/>
        <w:spacing w:before="0" w:after="0"/>
        <w:rPr/>
      </w:pPr>
      <w:r>
        <w:rPr/>
      </w:r>
    </w:p>
    <w:p>
      <w:pPr>
        <w:pStyle w:val="Normal"/>
        <w:spacing w:before="0" w:after="0"/>
        <w:rPr>
          <w:sz w:val="4"/>
          <w:szCs w:val="4"/>
        </w:rPr>
      </w:pPr>
      <w:r>
        <w:rPr>
          <w:sz w:val="4"/>
          <w:szCs w:val="4"/>
        </w:rPr>
      </w:r>
      <w:bookmarkStart w:id="765" w:name="zd265e5c339804c51a5275ea877863ea8"/>
      <w:bookmarkStart w:id="766" w:name="zd265e5c339804c51a5275ea877863ea8"/>
      <w:bookmarkEnd w:id="766"/>
    </w:p>
    <w:tbl>
      <w:tblPr>
        <w:tblW w:w="5185" w:type="dxa"/>
        <w:jc w:val="left"/>
        <w:tblInd w:w="0" w:type="dxa"/>
        <w:tblCellMar>
          <w:top w:w="0" w:type="dxa"/>
          <w:left w:w="0" w:type="dxa"/>
          <w:bottom w:w="28" w:type="dxa"/>
          <w:right w:w="0" w:type="dxa"/>
        </w:tblCellMar>
      </w:tblPr>
      <w:tblGrid>
        <w:gridCol w:w="1820"/>
        <w:gridCol w:w="60"/>
        <w:gridCol w:w="110"/>
        <w:gridCol w:w="605"/>
        <w:gridCol w:w="60"/>
        <w:gridCol w:w="60"/>
        <w:gridCol w:w="75"/>
        <w:gridCol w:w="500"/>
        <w:gridCol w:w="215"/>
        <w:gridCol w:w="60"/>
        <w:gridCol w:w="116"/>
        <w:gridCol w:w="639"/>
        <w:gridCol w:w="60"/>
        <w:gridCol w:w="60"/>
        <w:gridCol w:w="75"/>
        <w:gridCol w:w="500"/>
        <w:gridCol w:w="170"/>
      </w:tblGrid>
      <w:tr>
        <w:trPr/>
        <w:tc>
          <w:tcPr>
            <w:tcW w:w="1820" w:type="dxa"/>
            <w:tcBorders>
              <w:bottom w:val="single" w:sz="12" w:space="0" w:color="000000"/>
            </w:tcBorders>
            <w:shd w:fill="auto" w:val="clear"/>
            <w:vAlign w:val="bottom"/>
          </w:tcPr>
          <w:p>
            <w:pPr>
              <w:pStyle w:val="TableContents"/>
              <w:spacing w:before="0" w:after="0"/>
              <w:jc w:val="both"/>
              <w:rPr>
                <w:rFonts w:ascii="Times New Roman" w:hAnsi="Times New Roman"/>
                <w:b/>
                <w:sz w:val="17"/>
              </w:rPr>
            </w:pPr>
            <w:r>
              <w:rPr>
                <w:rFonts w:ascii="Times New Roman" w:hAnsi="Times New Roman"/>
                <w:b/>
                <w:sz w:val="17"/>
              </w:rPr>
              <w:t>Change in Interest Rates</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Market</w:t>
            </w:r>
          </w:p>
          <w:p>
            <w:pPr>
              <w:pStyle w:val="TableContents"/>
              <w:spacing w:before="0" w:after="0"/>
              <w:jc w:val="center"/>
              <w:rPr>
                <w:rFonts w:ascii="Times New Roman" w:hAnsi="Times New Roman"/>
                <w:b/>
                <w:sz w:val="17"/>
              </w:rPr>
            </w:pPr>
            <w:r>
              <w:rPr>
                <w:rFonts w:ascii="Times New Roman" w:hAnsi="Times New Roman"/>
                <w:b/>
                <w:sz w:val="17"/>
              </w:rPr>
              <w:t>Value of</w:t>
            </w:r>
          </w:p>
          <w:p>
            <w:pPr>
              <w:pStyle w:val="TableContents"/>
              <w:spacing w:before="0" w:after="0"/>
              <w:jc w:val="center"/>
              <w:rPr>
                <w:rFonts w:ascii="Times New Roman" w:hAnsi="Times New Roman"/>
                <w:b/>
                <w:sz w:val="17"/>
              </w:rPr>
            </w:pPr>
            <w:r>
              <w:rPr>
                <w:rFonts w:ascii="Times New Roman" w:hAnsi="Times New Roman"/>
                <w:b/>
                <w:sz w:val="17"/>
              </w:rPr>
              <w:t>Portfolio</w:t>
            </w:r>
          </w:p>
          <w:p>
            <w:pPr>
              <w:pStyle w:val="TableContents"/>
              <w:spacing w:before="0" w:after="0"/>
              <w:jc w:val="center"/>
              <w:rPr>
                <w:rFonts w:ascii="Times New Roman" w:hAnsi="Times New Roman"/>
                <w:b/>
                <w:sz w:val="17"/>
              </w:rPr>
            </w:pPr>
            <w:r>
              <w:rPr>
                <w:rFonts w:ascii="Times New Roman" w:hAnsi="Times New Roman"/>
                <w:b/>
                <w:sz w:val="17"/>
              </w:rPr>
              <w:t>Equity(1)</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Percent</w:t>
            </w:r>
          </w:p>
          <w:p>
            <w:pPr>
              <w:pStyle w:val="TableContents"/>
              <w:spacing w:before="0" w:after="0"/>
              <w:jc w:val="center"/>
              <w:rPr>
                <w:rFonts w:ascii="Times New Roman" w:hAnsi="Times New Roman"/>
                <w:b/>
                <w:sz w:val="17"/>
              </w:rPr>
            </w:pPr>
            <w:r>
              <w:rPr>
                <w:rFonts w:ascii="Times New Roman" w:hAnsi="Times New Roman"/>
                <w:b/>
                <w:sz w:val="17"/>
              </w:rPr>
              <w:t>Change</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75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Net</w:t>
            </w:r>
          </w:p>
          <w:p>
            <w:pPr>
              <w:pStyle w:val="TableContents"/>
              <w:spacing w:before="0" w:after="0"/>
              <w:jc w:val="center"/>
              <w:rPr>
                <w:rFonts w:ascii="Times New Roman" w:hAnsi="Times New Roman"/>
                <w:b/>
                <w:sz w:val="17"/>
              </w:rPr>
            </w:pPr>
            <w:r>
              <w:rPr>
                <w:rFonts w:ascii="Times New Roman" w:hAnsi="Times New Roman"/>
                <w:b/>
                <w:sz w:val="17"/>
              </w:rPr>
              <w:t>Interest</w:t>
            </w:r>
          </w:p>
          <w:p>
            <w:pPr>
              <w:pStyle w:val="TableContents"/>
              <w:spacing w:before="0" w:after="0"/>
              <w:jc w:val="center"/>
              <w:rPr>
                <w:rFonts w:ascii="Times New Roman" w:hAnsi="Times New Roman"/>
                <w:b/>
                <w:sz w:val="17"/>
              </w:rPr>
            </w:pPr>
            <w:r>
              <w:rPr>
                <w:rFonts w:ascii="Times New Roman" w:hAnsi="Times New Roman"/>
                <w:b/>
                <w:sz w:val="17"/>
              </w:rPr>
              <w:t>Income(2)</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bottom w:val="single" w:sz="12" w:space="0" w:color="000000"/>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Percent</w:t>
            </w:r>
          </w:p>
          <w:p>
            <w:pPr>
              <w:pStyle w:val="TableContents"/>
              <w:spacing w:before="0" w:after="0"/>
              <w:jc w:val="center"/>
              <w:rPr>
                <w:rFonts w:ascii="Times New Roman" w:hAnsi="Times New Roman"/>
                <w:b/>
                <w:sz w:val="17"/>
              </w:rPr>
            </w:pPr>
            <w:r>
              <w:rPr>
                <w:rFonts w:ascii="Times New Roman" w:hAnsi="Times New Roman"/>
                <w:b/>
                <w:sz w:val="17"/>
              </w:rPr>
              <w:t>Change</w:t>
            </w:r>
          </w:p>
        </w:tc>
        <w:tc>
          <w:tcPr>
            <w:tcW w:w="170" w:type="dxa"/>
            <w:tcBorders/>
            <w:shd w:fill="auto" w:val="clear"/>
            <w:tcMar>
              <w:bottom w:w="0" w:type="dxa"/>
            </w:tcMar>
            <w:vAlign w:val="bottom"/>
          </w:tcPr>
          <w:p>
            <w:pPr>
              <w:pStyle w:val="TableContents"/>
              <w:spacing w:before="0" w:after="283"/>
              <w:jc w:val="left"/>
              <w:rPr/>
            </w:pPr>
            <w:r>
              <w:rPr/>
              <w:t> </w:t>
            </w:r>
          </w:p>
        </w:tc>
      </w:tr>
      <w:tr>
        <w:trPr/>
        <w:tc>
          <w:tcPr>
            <w:tcW w:w="182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135" w:type="dxa"/>
            <w:gridSpan w:val="14"/>
            <w:tcBorders/>
            <w:shd w:fill="auto" w:val="clear"/>
            <w:tcMar>
              <w:bottom w:w="0" w:type="dxa"/>
            </w:tcMar>
            <w:vAlign w:val="bottom"/>
          </w:tcPr>
          <w:p>
            <w:pPr>
              <w:pStyle w:val="TableContents"/>
              <w:spacing w:before="0" w:after="0"/>
              <w:jc w:val="center"/>
              <w:rPr>
                <w:rFonts w:ascii="Times New Roman" w:hAnsi="Times New Roman"/>
                <w:b/>
                <w:sz w:val="17"/>
              </w:rPr>
            </w:pPr>
            <w:r>
              <w:rPr>
                <w:rFonts w:ascii="Times New Roman" w:hAnsi="Times New Roman"/>
                <w:b/>
                <w:sz w:val="17"/>
              </w:rPr>
              <w:t>(Dollars in thousands)</w:t>
            </w:r>
          </w:p>
        </w:tc>
        <w:tc>
          <w:tcPr>
            <w:tcW w:w="170" w:type="dxa"/>
            <w:tcBorders/>
            <w:shd w:fill="auto" w:val="clear"/>
            <w:tcMar>
              <w:bottom w:w="0" w:type="dxa"/>
            </w:tcMar>
            <w:vAlign w:val="bottom"/>
          </w:tcPr>
          <w:p>
            <w:pPr>
              <w:pStyle w:val="TableContents"/>
              <w:spacing w:before="0" w:after="283"/>
              <w:jc w:val="left"/>
              <w:rPr/>
            </w:pPr>
            <w:r>
              <w:rPr/>
              <w:t> </w:t>
            </w:r>
          </w:p>
        </w:tc>
      </w:tr>
      <w:tr>
        <w:trPr/>
        <w:tc>
          <w:tcPr>
            <w:tcW w:w="1820" w:type="dxa"/>
            <w:tcBorders/>
            <w:shd w:fill="auto" w:val="clear"/>
            <w:tcMar>
              <w:bottom w:w="0" w:type="dxa"/>
            </w:tcMar>
            <w:vAlign w:val="bottom"/>
          </w:tcPr>
          <w:p>
            <w:pPr>
              <w:pStyle w:val="TableContents"/>
              <w:spacing w:before="0" w:after="0"/>
              <w:ind w:left="180" w:right="0" w:hanging="180"/>
              <w:jc w:val="left"/>
              <w:rPr>
                <w:rFonts w:ascii="Times New Roman" w:hAnsi="Times New Roman"/>
                <w:b/>
                <w:sz w:val="17"/>
              </w:rPr>
            </w:pPr>
            <w:r>
              <w:rPr>
                <w:rFonts w:ascii="Times New Roman" w:hAnsi="Times New Roman"/>
                <w:b/>
                <w:sz w:val="17"/>
              </w:rPr>
              <w:t>March 31, 2019</w:t>
            </w:r>
          </w:p>
        </w:tc>
        <w:tc>
          <w:tcPr>
            <w:tcW w:w="60" w:type="dxa"/>
            <w:tcBorders/>
            <w:shd w:fill="auto" w:val="clear"/>
            <w:tcMar>
              <w:bottom w:w="0" w:type="dxa"/>
            </w:tcMar>
            <w:vAlign w:val="bottom"/>
          </w:tcPr>
          <w:p>
            <w:pPr>
              <w:pStyle w:val="TableContents"/>
              <w:spacing w:before="0" w:after="283"/>
              <w:rPr/>
            </w:pPr>
            <w:r>
              <w:rPr/>
              <w:t> </w:t>
            </w:r>
          </w:p>
        </w:tc>
        <w:tc>
          <w:tcPr>
            <w:tcW w:w="71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shd w:fill="auto" w:val="clear"/>
            <w:tcMar>
              <w:bottom w:w="0" w:type="dxa"/>
            </w:tcMar>
            <w:vAlign w:val="bottom"/>
          </w:tcPr>
          <w:p>
            <w:pPr>
              <w:pStyle w:val="TableContents"/>
              <w:spacing w:before="0" w:after="283"/>
              <w:rPr/>
            </w:pPr>
            <w:r>
              <w:rPr/>
              <w:t> </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7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shd w:fill="auto" w:val="clear"/>
            <w:tcMar>
              <w:bottom w:w="0" w:type="dxa"/>
            </w:tcMar>
            <w:vAlign w:val="bottom"/>
          </w:tcPr>
          <w:p>
            <w:pPr>
              <w:pStyle w:val="TableContents"/>
              <w:spacing w:before="0" w:after="283"/>
              <w:rPr/>
            </w:pPr>
            <w:r>
              <w:rPr/>
              <w:t> </w:t>
            </w:r>
          </w:p>
        </w:tc>
        <w:tc>
          <w:tcPr>
            <w:tcW w:w="170" w:type="dxa"/>
            <w:tcBorders/>
            <w:shd w:fill="auto" w:val="clear"/>
            <w:tcMar>
              <w:bottom w:w="0" w:type="dxa"/>
            </w:tcMar>
            <w:vAlign w:val="bottom"/>
          </w:tcPr>
          <w:p>
            <w:pPr>
              <w:pStyle w:val="TableContents"/>
              <w:spacing w:before="0" w:after="283"/>
              <w:jc w:val="left"/>
              <w:rPr/>
            </w:pPr>
            <w:r>
              <w:rPr/>
              <w:t> </w:t>
            </w:r>
          </w:p>
        </w:tc>
      </w:tr>
      <w:tr>
        <w:trPr/>
        <w:tc>
          <w:tcPr>
            <w:tcW w:w="1820" w:type="dxa"/>
            <w:tcBorders/>
            <w:shd w:fill="CCEE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200 basis point rise</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466,000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(4.59</w:t>
            </w:r>
          </w:p>
        </w:tc>
        <w:tc>
          <w:tcPr>
            <w:tcW w:w="215"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124,800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2.89</w:t>
            </w:r>
          </w:p>
        </w:tc>
        <w:tc>
          <w:tcPr>
            <w:tcW w:w="17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820" w:type="dxa"/>
            <w:tcBorders/>
            <w:shd w:fill="FFFF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100 basis point rise</w:t>
            </w:r>
          </w:p>
        </w:tc>
        <w:tc>
          <w:tcPr>
            <w:tcW w:w="60"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60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482,600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(1.19</w:t>
            </w:r>
          </w:p>
        </w:tc>
        <w:tc>
          <w:tcPr>
            <w:tcW w:w="215"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639"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123,600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1.90</w:t>
            </w:r>
          </w:p>
        </w:tc>
        <w:tc>
          <w:tcPr>
            <w:tcW w:w="170" w:type="dxa"/>
            <w:tcBorders/>
            <w:shd w:fill="FFFFFF" w:val="clear"/>
            <w:tcMar>
              <w:bottom w:w="0" w:type="dxa"/>
            </w:tcMar>
            <w:vAlign w:val="bottom"/>
          </w:tcPr>
          <w:p>
            <w:pPr>
              <w:pStyle w:val="TableContents"/>
              <w:spacing w:before="0" w:after="283"/>
              <w:jc w:val="left"/>
              <w:rPr/>
            </w:pPr>
            <w:r>
              <w:rPr/>
              <w:t> </w:t>
            </w:r>
          </w:p>
        </w:tc>
      </w:tr>
      <w:tr>
        <w:trPr/>
        <w:tc>
          <w:tcPr>
            <w:tcW w:w="1820" w:type="dxa"/>
            <w:tcBorders/>
            <w:shd w:fill="CCEE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Base-rate scenario</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60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488,400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639"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121,300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70" w:type="dxa"/>
            <w:tcBorders/>
            <w:shd w:fill="CCEEFF" w:val="clear"/>
            <w:tcMar>
              <w:bottom w:w="0" w:type="dxa"/>
            </w:tcMar>
            <w:vAlign w:val="bottom"/>
          </w:tcPr>
          <w:p>
            <w:pPr>
              <w:pStyle w:val="TableContents"/>
              <w:spacing w:before="0" w:after="283"/>
              <w:jc w:val="left"/>
              <w:rPr/>
            </w:pPr>
            <w:r>
              <w:rPr/>
              <w:t> </w:t>
            </w:r>
          </w:p>
        </w:tc>
      </w:tr>
      <w:tr>
        <w:trPr/>
        <w:tc>
          <w:tcPr>
            <w:tcW w:w="1820" w:type="dxa"/>
            <w:tcBorders/>
            <w:shd w:fill="FFFF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100 basis point decline</w:t>
            </w:r>
          </w:p>
        </w:tc>
        <w:tc>
          <w:tcPr>
            <w:tcW w:w="60"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60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469,200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(3.93</w:t>
            </w:r>
          </w:p>
        </w:tc>
        <w:tc>
          <w:tcPr>
            <w:tcW w:w="215"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639"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119,100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(1.81</w:t>
            </w:r>
          </w:p>
        </w:tc>
        <w:tc>
          <w:tcPr>
            <w:tcW w:w="170" w:type="dxa"/>
            <w:tcBorders/>
            <w:shd w:fill="FFFFFF" w:val="clear"/>
            <w:tcMar>
              <w:bottom w:w="0" w:type="dxa"/>
            </w:tcMar>
            <w:vAlign w:val="bottom"/>
          </w:tcPr>
          <w:p>
            <w:pPr>
              <w:pStyle w:val="TableContents"/>
              <w:spacing w:before="0" w:after="0"/>
              <w:ind w:left="180" w:right="0" w:hanging="180"/>
              <w:jc w:val="left"/>
              <w:rPr>
                <w:rFonts w:ascii="Times New Roman" w:hAnsi="Times New Roman"/>
                <w:sz w:val="17"/>
              </w:rPr>
            </w:pPr>
            <w:r>
              <w:rPr>
                <w:rFonts w:ascii="Times New Roman" w:hAnsi="Times New Roman"/>
                <w:sz w:val="17"/>
              </w:rPr>
              <w:t>)</w:t>
            </w:r>
          </w:p>
        </w:tc>
      </w:tr>
      <w:tr>
        <w:trPr/>
        <w:tc>
          <w:tcPr>
            <w:tcW w:w="182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60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283"/>
              <w:jc w:val="right"/>
              <w:rPr/>
            </w:pPr>
            <w:r>
              <w:rPr/>
              <w:t> </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6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283"/>
              <w:jc w:val="right"/>
              <w:rPr/>
            </w:pPr>
            <w:r>
              <w:rPr/>
              <w:t> </w:t>
            </w:r>
          </w:p>
        </w:tc>
        <w:tc>
          <w:tcPr>
            <w:tcW w:w="170" w:type="dxa"/>
            <w:tcBorders/>
            <w:shd w:fill="CCEEFF" w:val="clear"/>
            <w:tcMar>
              <w:bottom w:w="0" w:type="dxa"/>
            </w:tcMar>
            <w:vAlign w:val="bottom"/>
          </w:tcPr>
          <w:p>
            <w:pPr>
              <w:pStyle w:val="TableContents"/>
              <w:spacing w:before="0" w:after="283"/>
              <w:jc w:val="left"/>
              <w:rPr/>
            </w:pPr>
            <w:r>
              <w:rPr/>
              <w:t> </w:t>
            </w:r>
          </w:p>
        </w:tc>
      </w:tr>
      <w:tr>
        <w:trPr/>
        <w:tc>
          <w:tcPr>
            <w:tcW w:w="1820" w:type="dxa"/>
            <w:tcBorders/>
            <w:shd w:fill="FFFFFF" w:val="clear"/>
            <w:tcMar>
              <w:bottom w:w="0" w:type="dxa"/>
            </w:tcMar>
            <w:vAlign w:val="bottom"/>
          </w:tcPr>
          <w:p>
            <w:pPr>
              <w:pStyle w:val="TableContents"/>
              <w:spacing w:before="0" w:after="0"/>
              <w:ind w:left="180" w:right="0" w:hanging="180"/>
              <w:jc w:val="left"/>
              <w:rPr>
                <w:rFonts w:ascii="Times New Roman" w:hAnsi="Times New Roman"/>
                <w:b/>
                <w:sz w:val="17"/>
              </w:rPr>
            </w:pPr>
            <w:r>
              <w:rPr>
                <w:rFonts w:ascii="Times New Roman" w:hAnsi="Times New Roman"/>
                <w:b/>
                <w:sz w:val="17"/>
              </w:rPr>
              <w:t>December 31, 2018</w:t>
            </w:r>
          </w:p>
        </w:tc>
        <w:tc>
          <w:tcPr>
            <w:tcW w:w="60"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60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283"/>
              <w:jc w:val="right"/>
              <w:rPr/>
            </w:pPr>
            <w:r>
              <w:rPr/>
              <w:t> </w:t>
            </w:r>
          </w:p>
        </w:tc>
        <w:tc>
          <w:tcPr>
            <w:tcW w:w="215"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639"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283"/>
              <w:jc w:val="right"/>
              <w:rPr/>
            </w:pPr>
            <w:r>
              <w:rPr/>
              <w:t> </w:t>
            </w:r>
          </w:p>
        </w:tc>
        <w:tc>
          <w:tcPr>
            <w:tcW w:w="170" w:type="dxa"/>
            <w:tcBorders/>
            <w:shd w:fill="FFFFFF" w:val="clear"/>
            <w:tcMar>
              <w:bottom w:w="0" w:type="dxa"/>
            </w:tcMar>
            <w:vAlign w:val="bottom"/>
          </w:tcPr>
          <w:p>
            <w:pPr>
              <w:pStyle w:val="TableContents"/>
              <w:spacing w:before="0" w:after="283"/>
              <w:jc w:val="left"/>
              <w:rPr/>
            </w:pPr>
            <w:r>
              <w:rPr/>
              <w:t> </w:t>
            </w:r>
          </w:p>
        </w:tc>
      </w:tr>
      <w:tr>
        <w:trPr/>
        <w:tc>
          <w:tcPr>
            <w:tcW w:w="1820" w:type="dxa"/>
            <w:tcBorders/>
            <w:shd w:fill="CCEE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200 basis point rise</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481,100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(3.37</w:t>
            </w:r>
          </w:p>
        </w:tc>
        <w:tc>
          <w:tcPr>
            <w:tcW w:w="215"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39"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126,200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3.27</w:t>
            </w:r>
          </w:p>
        </w:tc>
        <w:tc>
          <w:tcPr>
            <w:tcW w:w="17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r>
        <w:trPr/>
        <w:tc>
          <w:tcPr>
            <w:tcW w:w="1820" w:type="dxa"/>
            <w:tcBorders/>
            <w:shd w:fill="FFFF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100 basis point rise</w:t>
            </w:r>
          </w:p>
        </w:tc>
        <w:tc>
          <w:tcPr>
            <w:tcW w:w="60"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60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495,400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(0.50</w:t>
            </w:r>
          </w:p>
        </w:tc>
        <w:tc>
          <w:tcPr>
            <w:tcW w:w="215"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639"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124,800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2.13</w:t>
            </w:r>
          </w:p>
        </w:tc>
        <w:tc>
          <w:tcPr>
            <w:tcW w:w="170" w:type="dxa"/>
            <w:tcBorders/>
            <w:shd w:fill="FFFFFF" w:val="clear"/>
            <w:tcMar>
              <w:bottom w:w="0" w:type="dxa"/>
            </w:tcMar>
            <w:vAlign w:val="bottom"/>
          </w:tcPr>
          <w:p>
            <w:pPr>
              <w:pStyle w:val="TableContents"/>
              <w:spacing w:before="0" w:after="283"/>
              <w:jc w:val="left"/>
              <w:rPr/>
            </w:pPr>
            <w:r>
              <w:rPr/>
              <w:t> </w:t>
            </w:r>
          </w:p>
        </w:tc>
      </w:tr>
      <w:tr>
        <w:trPr/>
        <w:tc>
          <w:tcPr>
            <w:tcW w:w="1820" w:type="dxa"/>
            <w:tcBorders/>
            <w:shd w:fill="CCEEFF" w:val="clear"/>
            <w:tcMar>
              <w:bottom w:w="0" w:type="dxa"/>
            </w:tcMar>
            <w:vAlign w:val="bottom"/>
          </w:tcPr>
          <w:p>
            <w:pPr>
              <w:pStyle w:val="TableContents"/>
              <w:spacing w:before="0" w:after="0"/>
              <w:ind w:left="180" w:right="0" w:hanging="180"/>
              <w:jc w:val="both"/>
              <w:rPr>
                <w:rFonts w:ascii="Times New Roman" w:hAnsi="Times New Roman"/>
                <w:sz w:val="17"/>
              </w:rPr>
            </w:pPr>
            <w:r>
              <w:rPr>
                <w:rFonts w:ascii="Times New Roman" w:hAnsi="Times New Roman"/>
                <w:sz w:val="17"/>
              </w:rPr>
              <w:t>Base-rate scenario</w:t>
            </w:r>
          </w:p>
        </w:tc>
        <w:tc>
          <w:tcPr>
            <w:tcW w:w="60"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60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497,900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639"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122,200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75" w:type="dxa"/>
            <w:tcBorders/>
            <w:shd w:fill="CCEEFF" w:val="clear"/>
            <w:tcMar>
              <w:bottom w:w="0" w:type="dxa"/>
            </w:tcMar>
            <w:vAlign w:val="bottom"/>
          </w:tcPr>
          <w:p>
            <w:pPr>
              <w:pStyle w:val="TableContents"/>
              <w:spacing w:before="0" w:after="283"/>
              <w:jc w:val="left"/>
              <w:rPr/>
            </w:pPr>
            <w:r>
              <w:rPr/>
              <w:t> </w:t>
            </w:r>
          </w:p>
        </w:tc>
        <w:tc>
          <w:tcPr>
            <w:tcW w:w="500"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w:t>
            </w:r>
          </w:p>
        </w:tc>
        <w:tc>
          <w:tcPr>
            <w:tcW w:w="170" w:type="dxa"/>
            <w:tcBorders/>
            <w:shd w:fill="CCEEFF" w:val="clear"/>
            <w:tcMar>
              <w:bottom w:w="0" w:type="dxa"/>
            </w:tcMar>
            <w:vAlign w:val="bottom"/>
          </w:tcPr>
          <w:p>
            <w:pPr>
              <w:pStyle w:val="TableContents"/>
              <w:spacing w:before="0" w:after="283"/>
              <w:jc w:val="left"/>
              <w:rPr/>
            </w:pPr>
            <w:r>
              <w:rPr/>
              <w:t> </w:t>
            </w:r>
          </w:p>
        </w:tc>
      </w:tr>
      <w:tr>
        <w:trPr/>
        <w:tc>
          <w:tcPr>
            <w:tcW w:w="1820" w:type="dxa"/>
            <w:tcBorders/>
            <w:shd w:fill="FFFFFF" w:val="clear"/>
            <w:tcMar>
              <w:bottom w:w="0" w:type="dxa"/>
            </w:tcMar>
            <w:vAlign w:val="bottom"/>
          </w:tcPr>
          <w:p>
            <w:pPr>
              <w:pStyle w:val="TableContents"/>
              <w:spacing w:before="0" w:after="0"/>
              <w:jc w:val="both"/>
              <w:rPr>
                <w:rFonts w:ascii="Times New Roman" w:hAnsi="Times New Roman"/>
                <w:sz w:val="17"/>
              </w:rPr>
            </w:pPr>
            <w:r>
              <w:rPr>
                <w:rFonts w:ascii="Times New Roman" w:hAnsi="Times New Roman"/>
                <w:sz w:val="17"/>
              </w:rPr>
              <w:t>100 basis point decline</w:t>
            </w:r>
          </w:p>
        </w:tc>
        <w:tc>
          <w:tcPr>
            <w:tcW w:w="60"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60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482,800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(3.03</w:t>
            </w:r>
          </w:p>
        </w:tc>
        <w:tc>
          <w:tcPr>
            <w:tcW w:w="215"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60"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639"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119,600</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75" w:type="dxa"/>
            <w:tcBorders/>
            <w:shd w:fill="FFFFFF" w:val="clear"/>
            <w:tcMar>
              <w:bottom w:w="0" w:type="dxa"/>
            </w:tcMar>
            <w:vAlign w:val="bottom"/>
          </w:tcPr>
          <w:p>
            <w:pPr>
              <w:pStyle w:val="TableContents"/>
              <w:spacing w:before="0" w:after="283"/>
              <w:jc w:val="left"/>
              <w:rPr/>
            </w:pPr>
            <w:r>
              <w:rPr/>
              <w:t> </w:t>
            </w:r>
          </w:p>
        </w:tc>
        <w:tc>
          <w:tcPr>
            <w:tcW w:w="500"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(2.13</w:t>
            </w:r>
          </w:p>
        </w:tc>
        <w:tc>
          <w:tcPr>
            <w:tcW w:w="17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r>
    </w:tbl>
    <w:p>
      <w:pPr>
        <w:pStyle w:val="TextBody"/>
        <w:spacing w:before="0" w:after="0"/>
        <w:rPr/>
      </w:pPr>
      <w:r>
        <w:rPr/>
      </w:r>
    </w:p>
    <w:p>
      <w:pPr>
        <w:pStyle w:val="HorizontalLine"/>
        <w:pBdr>
          <w:bottom w:val="single" w:sz="20" w:space="0" w:color="808080"/>
        </w:pBdr>
        <w:rPr/>
      </w:pPr>
      <w:r>
        <w:rPr/>
      </w:r>
    </w:p>
    <w:p>
      <w:pPr>
        <w:pStyle w:val="TextBody"/>
        <w:spacing w:before="0" w:after="0"/>
        <w:jc w:val="both"/>
        <w:rPr/>
      </w:pPr>
      <w:r>
        <w:rPr/>
      </w:r>
    </w:p>
    <w:p>
      <w:pPr>
        <w:pStyle w:val="Normal"/>
        <w:spacing w:before="0" w:after="0"/>
        <w:jc w:val="both"/>
        <w:rPr>
          <w:sz w:val="4"/>
          <w:szCs w:val="4"/>
        </w:rPr>
      </w:pPr>
      <w:r>
        <w:rPr>
          <w:sz w:val="4"/>
          <w:szCs w:val="4"/>
        </w:rPr>
      </w:r>
      <w:bookmarkStart w:id="767" w:name="zee63b850d7dd4592b31050a162cb3f4a"/>
      <w:bookmarkStart w:id="768" w:name="zee63b850d7dd4592b31050a162cb3f4a"/>
      <w:bookmarkEnd w:id="768"/>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9999"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tc>
      </w:tr>
    </w:tbl>
    <w:p>
      <w:pPr>
        <w:pStyle w:val="Normal"/>
        <w:spacing w:before="0" w:after="0"/>
        <w:rPr>
          <w:sz w:val="4"/>
          <w:szCs w:val="4"/>
        </w:rPr>
      </w:pPr>
      <w:r>
        <w:rPr>
          <w:sz w:val="4"/>
          <w:szCs w:val="4"/>
        </w:rPr>
      </w:r>
      <w:bookmarkStart w:id="769" w:name="zb847348206eb4d379fe1a6f85381b8ca"/>
      <w:bookmarkStart w:id="770" w:name="zb847348206eb4d379fe1a6f85381b8ca"/>
      <w:bookmarkEnd w:id="770"/>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9992"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 xml:space="preserve">Accounting standards update. </w:t>
      </w:r>
      <w:r>
        <w:rPr>
          <w:rFonts w:ascii="Times New Roman" w:hAnsi="Times New Roman"/>
          <w:sz w:val="17"/>
        </w:rPr>
        <w:t>See note #2  to  the Condensed Consolidated Financial Statements included elsewhere in this report for details on recently issued accounting pronouncements and their impact on our financial statements.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b/>
          <w:sz w:val="17"/>
        </w:rPr>
        <w:t>Fair valuation of financial instruments.</w:t>
      </w:r>
      <w:r>
        <w:rPr>
          <w:rFonts w:ascii="Times New Roman" w:hAnsi="Times New Roman"/>
          <w:sz w:val="17"/>
        </w:rPr>
        <w:t>  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71" w:name="DSPFPageBreakArea75"/>
      <w:bookmarkStart w:id="772" w:name="DSPFPageBreakArea75"/>
      <w:bookmarkEnd w:id="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73" w:name="DSPFPageNumber75"/>
      <w:bookmarkStart w:id="774" w:name="DSPFPageNumberArea74"/>
      <w:bookmarkEnd w:id="773"/>
      <w:bookmarkEnd w:id="774"/>
      <w:r>
        <w:rPr>
          <w:rFonts w:ascii="Times New Roman" w:hAnsi="Times New Roman"/>
          <w:b w:val="false"/>
          <w:i w:val="false"/>
          <w:caps w:val="false"/>
          <w:smallCaps w:val="false"/>
          <w:sz w:val="13"/>
        </w:rPr>
        <w:t>76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5" w:name="DSPFPageBreak75"/>
      <w:bookmarkStart w:id="776" w:name="DSPFPageBreak75"/>
      <w:bookmarkEnd w:id="7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77" w:name="DSPFPageHeader74"/>
        <w:bookmarkEnd w:id="77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17"/>
        </w:rPr>
      </w:pPr>
      <w:r>
        <w:rPr>
          <w:rFonts w:ascii="Times New Roman" w:hAnsi="Times New Roman"/>
          <w:sz w:val="17"/>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(at December 31, 2018),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pStyle w:val="TextBody"/>
        <w:spacing w:before="0" w:after="0"/>
        <w:jc w:val="both"/>
        <w:rPr>
          <w:rFonts w:ascii="Times New Roman" w:hAnsi="Times New Roman"/>
          <w:sz w:val="17"/>
        </w:rPr>
      </w:pPr>
      <w:r>
        <w:rPr>
          <w:rFonts w:ascii="Times New Roman" w:hAnsi="Times New Roman"/>
          <w:sz w:val="17"/>
        </w:rPr>
      </w:r>
    </w:p>
    <w:p>
      <w:pPr>
        <w:pStyle w:val="TextBody"/>
        <w:spacing w:before="0" w:after="0"/>
        <w:jc w:val="center"/>
        <w:rPr>
          <w:rFonts w:ascii="Times New Roman" w:hAnsi="Times New Roman"/>
          <w:b/>
          <w:caps w:val="false"/>
          <w:smallCaps w:val="false"/>
          <w:sz w:val="17"/>
        </w:rPr>
      </w:pPr>
      <w:r>
        <w:rPr>
          <w:rFonts w:ascii="Times New Roman" w:hAnsi="Times New Roman"/>
          <w:b/>
          <w:caps w:val="false"/>
          <w:smallCaps w:val="false"/>
          <w:sz w:val="17"/>
        </w:rPr>
        <w:t>Litigation Matters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pStyle w:val="TextBody"/>
        <w:spacing w:before="0" w:after="0"/>
        <w:rPr/>
      </w:pPr>
      <w:r>
        <w:rPr/>
      </w:r>
    </w:p>
    <w:p>
      <w:pPr>
        <w:pStyle w:val="TextBody"/>
        <w:spacing w:before="0" w:after="0"/>
        <w:jc w:val="center"/>
        <w:rPr>
          <w:rFonts w:ascii="Times New Roman" w:hAnsi="Times New Roman"/>
          <w:b/>
          <w:smallCaps/>
          <w:sz w:val="17"/>
        </w:rPr>
      </w:pPr>
      <w:r>
        <w:rPr>
          <w:rFonts w:ascii="Times New Roman" w:hAnsi="Times New Roman"/>
          <w:b/>
          <w:smallCaps/>
          <w:sz w:val="17"/>
        </w:rPr>
        <w:t>Critical Accounting Policies</w:t>
      </w:r>
    </w:p>
    <w:p>
      <w:pPr>
        <w:pStyle w:val="TextBody"/>
        <w:spacing w:before="0" w:after="0"/>
        <w:jc w:val="both"/>
        <w:rPr/>
      </w:pPr>
      <w:r>
        <w:rPr/>
      </w:r>
    </w:p>
    <w:p>
      <w:pPr>
        <w:pStyle w:val="TextBody"/>
        <w:spacing w:before="0" w:after="0"/>
        <w:jc w:val="both"/>
        <w:rPr>
          <w:rFonts w:ascii="Times New Roman" w:hAnsi="Times New Roman"/>
          <w:sz w:val="17"/>
        </w:rPr>
      </w:pPr>
      <w:r>
        <w:rPr>
          <w:rFonts w:ascii="Times New Roman" w:hAnsi="Times New Roman"/>
          <w:sz w:val="17"/>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2018.</w:t>
      </w:r>
    </w:p>
    <w:p>
      <w:pPr>
        <w:pStyle w:val="TextBody"/>
        <w:spacing w:before="0" w:after="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78" w:name="DSPFPageBreakArea76"/>
      <w:bookmarkStart w:id="779" w:name="DSPFPageBreakArea76"/>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80" w:name="DSPFPageNumber76"/>
      <w:bookmarkStart w:id="781" w:name="DSPFPageNumberArea75"/>
      <w:bookmarkEnd w:id="780"/>
      <w:bookmarkEnd w:id="781"/>
      <w:r>
        <w:rPr>
          <w:rFonts w:ascii="Times New Roman" w:hAnsi="Times New Roman"/>
          <w:b w:val="false"/>
          <w:i w:val="false"/>
          <w:caps w:val="false"/>
          <w:smallCaps w:val="false"/>
          <w:sz w:val="13"/>
        </w:rPr>
        <w:t>77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82" w:name="DSPFPageBreak76"/>
      <w:bookmarkStart w:id="783" w:name="DSPFPageBreak76"/>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84" w:name="DSPFPageHeader75"/>
        <w:bookmarkEnd w:id="78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sz w:val="17"/>
        </w:rPr>
      </w:pPr>
      <w:r>
        <w:rPr>
          <w:rFonts w:ascii="Times New Roman" w:hAnsi="Times New Roman"/>
          <w:sz w:val="17"/>
        </w:rPr>
        <w:t>Item 3.</w:t>
      </w:r>
    </w:p>
    <w:p>
      <w:pPr>
        <w:pStyle w:val="TextBody"/>
        <w:spacing w:before="0" w:after="0"/>
        <w:rPr/>
      </w:pPr>
      <w:r>
        <w:rPr/>
      </w:r>
    </w:p>
    <w:p>
      <w:pPr>
        <w:pStyle w:val="TextBody"/>
        <w:spacing w:before="0" w:after="0"/>
        <w:jc w:val="center"/>
        <w:rPr>
          <w:rFonts w:ascii="Times New Roman" w:hAnsi="Times New Roman"/>
          <w:b/>
          <w:caps w:val="false"/>
          <w:smallCaps w:val="false"/>
          <w:sz w:val="17"/>
        </w:rPr>
      </w:pPr>
      <w:bookmarkStart w:id="785" w:name="QuantitativeandQualitativ"/>
      <w:bookmarkEnd w:id="785"/>
      <w:r>
        <w:rPr>
          <w:rFonts w:ascii="Times New Roman" w:hAnsi="Times New Roman"/>
          <w:b/>
          <w:caps w:val="false"/>
          <w:smallCaps w:val="false"/>
          <w:sz w:val="17"/>
        </w:rPr>
        <w:t>Quantitative and Qualitative Disclosures about Market Risk</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See applicable disclosures set forth in “Management’s Discussion and Analysis of Financial Condition and Results of Operations” in Item 2 under the caption “Asset/liability management.”</w:t>
      </w:r>
    </w:p>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Item 4.</w:t>
      </w:r>
    </w:p>
    <w:p>
      <w:pPr>
        <w:pStyle w:val="TextBody"/>
        <w:spacing w:before="0" w:after="0"/>
        <w:rPr/>
      </w:pPr>
      <w:r>
        <w:rPr/>
      </w:r>
    </w:p>
    <w:p>
      <w:pPr>
        <w:pStyle w:val="TextBody"/>
        <w:spacing w:before="0" w:after="0"/>
        <w:jc w:val="center"/>
        <w:rPr>
          <w:rFonts w:ascii="Times New Roman" w:hAnsi="Times New Roman"/>
          <w:b/>
          <w:caps w:val="false"/>
          <w:smallCaps w:val="false"/>
          <w:sz w:val="17"/>
        </w:rPr>
      </w:pPr>
      <w:bookmarkStart w:id="786" w:name="ControlsandProcedures"/>
      <w:bookmarkEnd w:id="786"/>
      <w:r>
        <w:rPr>
          <w:rFonts w:ascii="Times New Roman" w:hAnsi="Times New Roman"/>
          <w:b/>
          <w:caps w:val="false"/>
          <w:smallCaps w:val="false"/>
          <w:sz w:val="17"/>
        </w:rPr>
        <w:t>Controls and Procedures</w:t>
      </w:r>
    </w:p>
    <w:p>
      <w:pPr>
        <w:pStyle w:val="TextBody"/>
        <w:spacing w:before="0" w:after="0"/>
        <w:rPr/>
      </w:pPr>
      <w:r>
        <w:rPr/>
      </w:r>
    </w:p>
    <w:p>
      <w:pPr>
        <w:pStyle w:val="Normal"/>
        <w:spacing w:before="0" w:after="0"/>
        <w:rPr>
          <w:sz w:val="4"/>
          <w:szCs w:val="4"/>
        </w:rPr>
      </w:pPr>
      <w:r>
        <w:rPr>
          <w:sz w:val="4"/>
          <w:szCs w:val="4"/>
        </w:rPr>
      </w:r>
      <w:bookmarkStart w:id="787" w:name="z6c8f3e4f6e804aa1a86ea7a3fe26de9d"/>
      <w:bookmarkStart w:id="788" w:name="z6c8f3e4f6e804aa1a86ea7a3fe26de9d"/>
      <w:bookmarkEnd w:id="788"/>
    </w:p>
    <w:tbl>
      <w:tblPr>
        <w:tblW w:w="3760" w:type="dxa"/>
        <w:jc w:val="left"/>
        <w:tblInd w:w="0" w:type="dxa"/>
        <w:tblCellMar>
          <w:top w:w="0" w:type="dxa"/>
          <w:left w:w="0" w:type="dxa"/>
          <w:bottom w:w="0" w:type="dxa"/>
          <w:right w:w="0" w:type="dxa"/>
        </w:tblCellMar>
      </w:tblPr>
      <w:tblGrid>
        <w:gridCol w:w="230"/>
        <w:gridCol w:w="3530"/>
      </w:tblGrid>
      <w:tr>
        <w:trPr/>
        <w:tc>
          <w:tcPr>
            <w:tcW w:w="23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(a)</w:t>
            </w:r>
          </w:p>
        </w:tc>
        <w:tc>
          <w:tcPr>
            <w:tcW w:w="353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Evaluation of Disclosure Controls and Procedures.</w:t>
            </w:r>
          </w:p>
        </w:tc>
      </w:tr>
    </w:tbl>
    <w:p>
      <w:pPr>
        <w:pStyle w:val="TextBody"/>
        <w:spacing w:before="0" w:after="0"/>
        <w:rPr/>
      </w:pPr>
      <w:r>
        <w:rPr/>
      </w:r>
    </w:p>
    <w:p>
      <w:pPr>
        <w:pStyle w:val="TextBody"/>
        <w:spacing w:before="0" w:after="0"/>
        <w:ind w:left="360" w:right="0" w:hanging="0"/>
        <w:jc w:val="both"/>
        <w:rPr>
          <w:rFonts w:ascii="Times New Roman" w:hAnsi="Times New Roman"/>
          <w:sz w:val="17"/>
        </w:rPr>
      </w:pPr>
      <w:r>
        <w:rPr>
          <w:rFonts w:ascii="Times New Roman" w:hAnsi="Times New Roman"/>
          <w:sz w:val="17"/>
        </w:rPr>
        <w:t>With the participation of management, our chief executive officer and chief financial officer, after evaluating the effectiveness of our disclosure controls and procedures (as defined in Exchange Act Rules 13a – 15(e) and 15d – 15(e)) for the period ended March 31, 2019, have concluded that, as of such date, our disclosure controls and procedures were effective.</w:t>
      </w:r>
    </w:p>
    <w:p>
      <w:pPr>
        <w:pStyle w:val="TextBody"/>
        <w:spacing w:before="0" w:after="0"/>
        <w:rPr/>
      </w:pPr>
      <w:r>
        <w:rPr/>
      </w:r>
    </w:p>
    <w:p>
      <w:pPr>
        <w:pStyle w:val="Normal"/>
        <w:spacing w:before="0" w:after="0"/>
        <w:rPr>
          <w:sz w:val="4"/>
          <w:szCs w:val="4"/>
        </w:rPr>
      </w:pPr>
      <w:r>
        <w:rPr>
          <w:sz w:val="4"/>
          <w:szCs w:val="4"/>
        </w:rPr>
      </w:r>
      <w:bookmarkStart w:id="789" w:name="z2d3d9a17a6b44c86995dac87fac06a0a"/>
      <w:bookmarkStart w:id="790" w:name="z2d3d9a17a6b44c86995dac87fac06a0a"/>
      <w:bookmarkEnd w:id="790"/>
    </w:p>
    <w:tbl>
      <w:tblPr>
        <w:tblW w:w="2305" w:type="dxa"/>
        <w:jc w:val="left"/>
        <w:tblInd w:w="0" w:type="dxa"/>
        <w:tblCellMar>
          <w:top w:w="0" w:type="dxa"/>
          <w:left w:w="0" w:type="dxa"/>
          <w:bottom w:w="0" w:type="dxa"/>
          <w:right w:w="0" w:type="dxa"/>
        </w:tblCellMar>
      </w:tblPr>
      <w:tblGrid>
        <w:gridCol w:w="245"/>
        <w:gridCol w:w="2060"/>
      </w:tblGrid>
      <w:tr>
        <w:trPr/>
        <w:tc>
          <w:tcPr>
            <w:tcW w:w="24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(b)</w:t>
            </w:r>
          </w:p>
        </w:tc>
        <w:tc>
          <w:tcPr>
            <w:tcW w:w="206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Changes in Internal Controls.</w:t>
            </w:r>
          </w:p>
        </w:tc>
      </w:tr>
    </w:tbl>
    <w:p>
      <w:pPr>
        <w:pStyle w:val="TextBody"/>
        <w:spacing w:before="0" w:after="0"/>
        <w:rPr/>
      </w:pPr>
      <w:r>
        <w:rPr/>
      </w:r>
    </w:p>
    <w:p>
      <w:pPr>
        <w:pStyle w:val="TextBody"/>
        <w:spacing w:before="0" w:after="0"/>
        <w:ind w:left="360" w:right="0" w:hanging="0"/>
        <w:jc w:val="both"/>
        <w:rPr>
          <w:rFonts w:ascii="Times New Roman" w:hAnsi="Times New Roman"/>
          <w:sz w:val="17"/>
        </w:rPr>
      </w:pPr>
      <w:r>
        <w:rPr>
          <w:rFonts w:ascii="Times New Roman" w:hAnsi="Times New Roman"/>
          <w:sz w:val="17"/>
        </w:rPr>
        <w:t>During the quarter ended March 31, 2019, there were no changes in our internal control over financial reporting that materially affected, or are reasonably likely to materially affect, our internal control over financial reporting.</w:t>
      </w:r>
    </w:p>
    <w:p>
      <w:pPr>
        <w:pStyle w:val="TextBody"/>
        <w:spacing w:before="0" w:after="0"/>
        <w:ind w:left="360" w:right="0" w:hanging="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1" w:name="DSPFPageBreakArea77"/>
      <w:bookmarkStart w:id="792" w:name="DSPFPageBreakArea77"/>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793" w:name="DSPFPageNumber77"/>
      <w:bookmarkStart w:id="794" w:name="DSPFPageNumberArea76"/>
      <w:bookmarkEnd w:id="793"/>
      <w:bookmarkEnd w:id="794"/>
      <w:r>
        <w:rPr>
          <w:rFonts w:ascii="Times New Roman" w:hAnsi="Times New Roman"/>
          <w:b w:val="false"/>
          <w:i w:val="false"/>
          <w:caps w:val="false"/>
          <w:smallCaps w:val="false"/>
          <w:sz w:val="13"/>
        </w:rPr>
        <w:t>78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5" w:name="DSPFPageBreak77"/>
      <w:bookmarkStart w:id="796" w:name="DSPFPageBreak77"/>
      <w:bookmarkEnd w:id="7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797" w:name="DSPFPageHeader76"/>
        <w:bookmarkEnd w:id="797"/>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sz w:val="17"/>
        </w:rPr>
      </w:pPr>
      <w:r>
        <w:rPr>
          <w:rFonts w:ascii="Times New Roman" w:hAnsi="Times New Roman"/>
          <w:sz w:val="17"/>
        </w:rPr>
        <w:t>Part II</w:t>
      </w:r>
    </w:p>
    <w:p>
      <w:pPr>
        <w:pStyle w:val="TextBody"/>
        <w:spacing w:before="0" w:after="0"/>
        <w:rPr/>
      </w:pPr>
      <w:r>
        <w:rPr/>
      </w:r>
    </w:p>
    <w:p>
      <w:pPr>
        <w:pStyle w:val="Normal"/>
        <w:spacing w:before="0" w:after="0"/>
        <w:rPr>
          <w:sz w:val="4"/>
          <w:szCs w:val="4"/>
        </w:rPr>
      </w:pPr>
      <w:r>
        <w:rPr>
          <w:sz w:val="4"/>
          <w:szCs w:val="4"/>
        </w:rPr>
      </w:r>
      <w:bookmarkStart w:id="798" w:name="z53f5bd6f5a554783a0956175ab7cccec"/>
      <w:bookmarkStart w:id="799" w:name="z53f5bd6f5a554783a0956175ab7cccec"/>
      <w:bookmarkEnd w:id="799"/>
    </w:p>
    <w:tbl>
      <w:tblPr>
        <w:tblW w:w="1525" w:type="dxa"/>
        <w:jc w:val="left"/>
        <w:tblInd w:w="0" w:type="dxa"/>
        <w:tblCellMar>
          <w:top w:w="0" w:type="dxa"/>
          <w:left w:w="0" w:type="dxa"/>
          <w:bottom w:w="0" w:type="dxa"/>
          <w:right w:w="0" w:type="dxa"/>
        </w:tblCellMar>
      </w:tblPr>
      <w:tblGrid>
        <w:gridCol w:w="650"/>
        <w:gridCol w:w="875"/>
      </w:tblGrid>
      <w:tr>
        <w:trPr/>
        <w:tc>
          <w:tcPr>
            <w:tcW w:w="650" w:type="dxa"/>
            <w:tcBorders/>
            <w:shd w:fill="auto" w:val="clear"/>
            <w:vAlign w:val="center"/>
          </w:tcPr>
          <w:p>
            <w:pPr>
              <w:pStyle w:val="TableContents"/>
              <w:spacing w:before="0" w:after="283"/>
              <w:rPr>
                <w:rFonts w:ascii="Times New Roman" w:hAnsi="Times New Roman"/>
                <w:sz w:val="17"/>
                <w:u w:val="single"/>
              </w:rPr>
            </w:pPr>
            <w:r>
              <w:rPr>
                <w:rFonts w:ascii="Times New Roman" w:hAnsi="Times New Roman"/>
                <w:sz w:val="17"/>
                <w:u w:val="single"/>
              </w:rPr>
              <w:t>Item 1A.</w:t>
            </w:r>
          </w:p>
        </w:tc>
        <w:tc>
          <w:tcPr>
            <w:tcW w:w="875" w:type="dxa"/>
            <w:tcBorders/>
            <w:shd w:fill="auto" w:val="clear"/>
            <w:vAlign w:val="center"/>
          </w:tcPr>
          <w:p>
            <w:pPr>
              <w:pStyle w:val="TableContents"/>
              <w:spacing w:before="0" w:after="0"/>
              <w:jc w:val="left"/>
              <w:rPr>
                <w:rFonts w:ascii="Times New Roman" w:hAnsi="Times New Roman"/>
                <w:sz w:val="17"/>
                <w:u w:val="single"/>
              </w:rPr>
            </w:pPr>
            <w:bookmarkStart w:id="800" w:name="RiskFactors"/>
            <w:bookmarkEnd w:id="800"/>
            <w:r>
              <w:rPr>
                <w:rFonts w:ascii="Times New Roman" w:hAnsi="Times New Roman"/>
                <w:sz w:val="17"/>
                <w:u w:val="single"/>
              </w:rPr>
              <w:t>Risk Factors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There have been no material changes to the risk factors disclosed in Item 1A. Risk Factors of our Annual Report on Form 10-K for the year ended December 31, 2018.</w:t>
      </w:r>
    </w:p>
    <w:p>
      <w:pPr>
        <w:pStyle w:val="TextBody"/>
        <w:spacing w:before="0" w:after="0"/>
        <w:rPr/>
      </w:pPr>
      <w:r>
        <w:rPr/>
      </w:r>
    </w:p>
    <w:p>
      <w:pPr>
        <w:pStyle w:val="Normal"/>
        <w:spacing w:before="0" w:after="0"/>
        <w:rPr>
          <w:sz w:val="4"/>
          <w:szCs w:val="4"/>
        </w:rPr>
      </w:pPr>
      <w:r>
        <w:rPr>
          <w:sz w:val="4"/>
          <w:szCs w:val="4"/>
        </w:rPr>
      </w:r>
      <w:bookmarkStart w:id="801" w:name="zfe6fe1111cdd41458008009dcbb3ccfa"/>
      <w:bookmarkStart w:id="802" w:name="zfe6fe1111cdd41458008009dcbb3ccfa"/>
      <w:bookmarkEnd w:id="802"/>
    </w:p>
    <w:tbl>
      <w:tblPr>
        <w:tblW w:w="4705" w:type="dxa"/>
        <w:jc w:val="left"/>
        <w:tblInd w:w="0" w:type="dxa"/>
        <w:tblCellMar>
          <w:top w:w="0" w:type="dxa"/>
          <w:left w:w="0" w:type="dxa"/>
          <w:bottom w:w="0" w:type="dxa"/>
          <w:right w:w="0" w:type="dxa"/>
        </w:tblCellMar>
      </w:tblPr>
      <w:tblGrid>
        <w:gridCol w:w="530"/>
        <w:gridCol w:w="4175"/>
      </w:tblGrid>
      <w:tr>
        <w:trPr/>
        <w:tc>
          <w:tcPr>
            <w:tcW w:w="530" w:type="dxa"/>
            <w:tcBorders/>
            <w:shd w:fill="auto" w:val="clear"/>
            <w:vAlign w:val="center"/>
          </w:tcPr>
          <w:p>
            <w:pPr>
              <w:pStyle w:val="TableContents"/>
              <w:spacing w:before="0" w:after="283"/>
              <w:rPr>
                <w:rFonts w:ascii="Times New Roman" w:hAnsi="Times New Roman"/>
                <w:sz w:val="17"/>
                <w:u w:val="single"/>
              </w:rPr>
            </w:pPr>
            <w:r>
              <w:rPr>
                <w:rFonts w:ascii="Times New Roman" w:hAnsi="Times New Roman"/>
                <w:sz w:val="17"/>
                <w:u w:val="single"/>
              </w:rPr>
              <w:t>Item 2.</w:t>
            </w:r>
          </w:p>
        </w:tc>
        <w:tc>
          <w:tcPr>
            <w:tcW w:w="4175" w:type="dxa"/>
            <w:tcBorders/>
            <w:shd w:fill="auto" w:val="clear"/>
            <w:vAlign w:val="center"/>
          </w:tcPr>
          <w:p>
            <w:pPr>
              <w:pStyle w:val="TableContents"/>
              <w:spacing w:before="0" w:after="0"/>
              <w:jc w:val="left"/>
              <w:rPr>
                <w:rFonts w:ascii="Times New Roman" w:hAnsi="Times New Roman"/>
                <w:sz w:val="17"/>
                <w:u w:val="single"/>
              </w:rPr>
            </w:pPr>
            <w:bookmarkStart w:id="803" w:name="UnregisteredSalesofEquity"/>
            <w:bookmarkEnd w:id="803"/>
            <w:r>
              <w:rPr>
                <w:rFonts w:ascii="Times New Roman" w:hAnsi="Times New Roman"/>
                <w:sz w:val="17"/>
                <w:u w:val="single"/>
              </w:rPr>
              <w:t>Unregistered Sales of Equity Securities and Use of Proceeds</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2019, the Company issued 712 shares of common stock to non-employee directors on a current basis and 1,833 shares of common stock to the trust for distribution to directors on a deferred basis.  The shares were issued on January 2, 2019, at a price of $21.02 per share, representing aggregate fees of $0.05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following table shows certain information relating to repurchases of common stock for the three-months ended March 31, 2019:</w:t>
      </w:r>
    </w:p>
    <w:p>
      <w:pPr>
        <w:pStyle w:val="TextBody"/>
        <w:spacing w:before="0" w:after="0"/>
        <w:rPr/>
      </w:pPr>
      <w:r>
        <w:rPr/>
      </w:r>
    </w:p>
    <w:p>
      <w:pPr>
        <w:pStyle w:val="Normal"/>
        <w:spacing w:before="0" w:after="0"/>
        <w:rPr>
          <w:sz w:val="4"/>
          <w:szCs w:val="4"/>
        </w:rPr>
      </w:pPr>
      <w:r>
        <w:rPr>
          <w:sz w:val="4"/>
          <w:szCs w:val="4"/>
        </w:rPr>
      </w:r>
      <w:bookmarkStart w:id="804" w:name="z2a7c6d085639442594af16fb00057f86"/>
      <w:bookmarkStart w:id="805" w:name="z2a7c6d085639442594af16fb00057f86"/>
      <w:bookmarkEnd w:id="805"/>
    </w:p>
    <w:tbl>
      <w:tblPr>
        <w:tblW w:w="6580" w:type="dxa"/>
        <w:jc w:val="left"/>
        <w:tblInd w:w="0" w:type="dxa"/>
        <w:tblCellMar>
          <w:top w:w="0" w:type="dxa"/>
          <w:left w:w="0" w:type="dxa"/>
          <w:bottom w:w="28" w:type="dxa"/>
          <w:right w:w="0" w:type="dxa"/>
        </w:tblCellMar>
      </w:tblPr>
      <w:tblGrid>
        <w:gridCol w:w="1070"/>
        <w:gridCol w:w="60"/>
        <w:gridCol w:w="133"/>
        <w:gridCol w:w="1342"/>
        <w:gridCol w:w="60"/>
        <w:gridCol w:w="60"/>
        <w:gridCol w:w="210"/>
        <w:gridCol w:w="815"/>
        <w:gridCol w:w="60"/>
        <w:gridCol w:w="60"/>
        <w:gridCol w:w="85"/>
        <w:gridCol w:w="1135"/>
        <w:gridCol w:w="60"/>
        <w:gridCol w:w="60"/>
        <w:gridCol w:w="97"/>
        <w:gridCol w:w="1198"/>
        <w:gridCol w:w="75"/>
      </w:tblGrid>
      <w:tr>
        <w:trPr/>
        <w:tc>
          <w:tcPr>
            <w:tcW w:w="1070" w:type="dxa"/>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Period</w:t>
            </w:r>
          </w:p>
        </w:tc>
        <w:tc>
          <w:tcPr>
            <w:tcW w:w="60" w:type="dxa"/>
            <w:tcBorders>
              <w:bottom w:val="single" w:sz="12" w:space="0" w:color="000000"/>
            </w:tcBorders>
            <w:shd w:fill="auto" w:val="clear"/>
            <w:vAlign w:val="bottom"/>
          </w:tcPr>
          <w:p>
            <w:pPr>
              <w:pStyle w:val="TableContents"/>
              <w:spacing w:before="0" w:after="283"/>
              <w:rPr/>
            </w:pPr>
            <w:r>
              <w:rPr/>
              <w:t> </w:t>
            </w:r>
          </w:p>
        </w:tc>
        <w:tc>
          <w:tcPr>
            <w:tcW w:w="1475" w:type="dxa"/>
            <w:gridSpan w:val="2"/>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Total Number of</w:t>
            </w:r>
          </w:p>
          <w:p>
            <w:pPr>
              <w:pStyle w:val="TableContents"/>
              <w:spacing w:before="0" w:after="0"/>
              <w:jc w:val="center"/>
              <w:rPr>
                <w:rFonts w:ascii="Times New Roman" w:hAnsi="Times New Roman"/>
                <w:sz w:val="17"/>
              </w:rPr>
            </w:pPr>
            <w:r>
              <w:rPr>
                <w:rFonts w:ascii="Times New Roman" w:hAnsi="Times New Roman"/>
                <w:sz w:val="17"/>
              </w:rPr>
              <w:t>Shares Purchased (1)</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1025" w:type="dxa"/>
            <w:gridSpan w:val="2"/>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Average Price</w:t>
            </w:r>
          </w:p>
          <w:p>
            <w:pPr>
              <w:pStyle w:val="TableContents"/>
              <w:spacing w:before="0" w:after="0"/>
              <w:jc w:val="center"/>
              <w:rPr>
                <w:rFonts w:ascii="Times New Roman" w:hAnsi="Times New Roman"/>
                <w:sz w:val="17"/>
              </w:rPr>
            </w:pPr>
            <w:r>
              <w:rPr>
                <w:rFonts w:ascii="Times New Roman" w:hAnsi="Times New Roman"/>
                <w:sz w:val="17"/>
              </w:rPr>
              <w:t>Paid Per Share</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1220" w:type="dxa"/>
            <w:gridSpan w:val="2"/>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Total Number of</w:t>
            </w:r>
          </w:p>
          <w:p>
            <w:pPr>
              <w:pStyle w:val="TableContents"/>
              <w:spacing w:before="0" w:after="0"/>
              <w:jc w:val="center"/>
              <w:rPr>
                <w:rFonts w:ascii="Times New Roman" w:hAnsi="Times New Roman"/>
                <w:sz w:val="17"/>
              </w:rPr>
            </w:pPr>
            <w:r>
              <w:rPr>
                <w:rFonts w:ascii="Times New Roman" w:hAnsi="Times New Roman"/>
                <w:sz w:val="17"/>
              </w:rPr>
              <w:t>Shares Purchased</w:t>
            </w:r>
          </w:p>
          <w:p>
            <w:pPr>
              <w:pStyle w:val="TableContents"/>
              <w:spacing w:before="0" w:after="0"/>
              <w:jc w:val="center"/>
              <w:rPr>
                <w:rFonts w:ascii="Times New Roman" w:hAnsi="Times New Roman"/>
                <w:sz w:val="17"/>
              </w:rPr>
            </w:pPr>
            <w:r>
              <w:rPr>
                <w:rFonts w:ascii="Times New Roman" w:hAnsi="Times New Roman"/>
                <w:sz w:val="17"/>
              </w:rPr>
              <w:t>as Part of a</w:t>
            </w:r>
          </w:p>
          <w:p>
            <w:pPr>
              <w:pStyle w:val="TableContents"/>
              <w:spacing w:before="0" w:after="0"/>
              <w:jc w:val="center"/>
              <w:rPr>
                <w:rFonts w:ascii="Times New Roman" w:hAnsi="Times New Roman"/>
                <w:sz w:val="17"/>
              </w:rPr>
            </w:pPr>
            <w:r>
              <w:rPr>
                <w:rFonts w:ascii="Times New Roman" w:hAnsi="Times New Roman"/>
                <w:sz w:val="17"/>
              </w:rPr>
              <w:t>Publicly</w:t>
            </w:r>
          </w:p>
          <w:p>
            <w:pPr>
              <w:pStyle w:val="TableContents"/>
              <w:spacing w:before="0" w:after="0"/>
              <w:jc w:val="center"/>
              <w:rPr>
                <w:rFonts w:ascii="Times New Roman" w:hAnsi="Times New Roman"/>
                <w:sz w:val="17"/>
              </w:rPr>
            </w:pPr>
            <w:r>
              <w:rPr>
                <w:rFonts w:ascii="Times New Roman" w:hAnsi="Times New Roman"/>
                <w:sz w:val="17"/>
              </w:rPr>
              <w:t>Announced Plan</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1295" w:type="dxa"/>
            <w:gridSpan w:val="2"/>
            <w:tcBorders>
              <w:bottom w:val="single" w:sz="12" w:space="0" w:color="000000"/>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Remaining</w:t>
            </w:r>
          </w:p>
          <w:p>
            <w:pPr>
              <w:pStyle w:val="TableContents"/>
              <w:spacing w:before="0" w:after="0"/>
              <w:jc w:val="center"/>
              <w:rPr>
                <w:rFonts w:ascii="Times New Roman" w:hAnsi="Times New Roman"/>
                <w:sz w:val="17"/>
              </w:rPr>
            </w:pPr>
            <w:r>
              <w:rPr>
                <w:rFonts w:ascii="Times New Roman" w:hAnsi="Times New Roman"/>
                <w:sz w:val="17"/>
              </w:rPr>
              <w:t>Number of</w:t>
            </w:r>
          </w:p>
          <w:p>
            <w:pPr>
              <w:pStyle w:val="TableContents"/>
              <w:spacing w:before="0" w:after="0"/>
              <w:jc w:val="center"/>
              <w:rPr>
                <w:rFonts w:ascii="Times New Roman" w:hAnsi="Times New Roman"/>
                <w:sz w:val="17"/>
              </w:rPr>
            </w:pPr>
            <w:r>
              <w:rPr>
                <w:rFonts w:ascii="Times New Roman" w:hAnsi="Times New Roman"/>
                <w:sz w:val="17"/>
              </w:rPr>
              <w:t>Shares Authorized</w:t>
            </w:r>
          </w:p>
          <w:p>
            <w:pPr>
              <w:pStyle w:val="TableContents"/>
              <w:spacing w:before="0" w:after="0"/>
              <w:jc w:val="center"/>
              <w:rPr>
                <w:rFonts w:ascii="Times New Roman" w:hAnsi="Times New Roman"/>
                <w:sz w:val="17"/>
              </w:rPr>
            </w:pPr>
            <w:r>
              <w:rPr>
                <w:rFonts w:ascii="Times New Roman" w:hAnsi="Times New Roman"/>
                <w:sz w:val="17"/>
              </w:rPr>
              <w:t>for Purchase</w:t>
            </w:r>
          </w:p>
          <w:p>
            <w:pPr>
              <w:pStyle w:val="TableContents"/>
              <w:spacing w:before="0" w:after="0"/>
              <w:jc w:val="center"/>
              <w:rPr>
                <w:rFonts w:ascii="Times New Roman" w:hAnsi="Times New Roman"/>
                <w:sz w:val="17"/>
              </w:rPr>
            </w:pPr>
            <w:r>
              <w:rPr>
                <w:rFonts w:ascii="Times New Roman" w:hAnsi="Times New Roman"/>
                <w:sz w:val="17"/>
              </w:rPr>
              <w:t>Under the Plan</w:t>
            </w:r>
          </w:p>
        </w:tc>
        <w:tc>
          <w:tcPr>
            <w:tcW w:w="75" w:type="dxa"/>
            <w:tcBorders/>
            <w:shd w:fill="auto" w:val="clear"/>
            <w:tcMar>
              <w:bottom w:w="0" w:type="dxa"/>
            </w:tcMar>
            <w:vAlign w:val="bottom"/>
          </w:tcPr>
          <w:p>
            <w:pPr>
              <w:pStyle w:val="TableContents"/>
              <w:spacing w:before="0" w:after="283"/>
              <w:jc w:val="left"/>
              <w:rPr/>
            </w:pPr>
            <w:r>
              <w:rPr/>
              <w:t> </w:t>
            </w:r>
          </w:p>
        </w:tc>
      </w:tr>
      <w:tr>
        <w:trPr/>
        <w:tc>
          <w:tcPr>
            <w:tcW w:w="107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January 2019</w:t>
            </w:r>
          </w:p>
        </w:tc>
        <w:tc>
          <w:tcPr>
            <w:tcW w:w="60" w:type="dxa"/>
            <w:tcBorders/>
            <w:shd w:fill="CCEEFF" w:val="clear"/>
            <w:tcMar>
              <w:bottom w:w="0" w:type="dxa"/>
            </w:tcMar>
            <w:vAlign w:val="bottom"/>
          </w:tcPr>
          <w:p>
            <w:pPr>
              <w:pStyle w:val="TableContents"/>
              <w:spacing w:before="0" w:after="283"/>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1342"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93,659</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22.07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85" w:type="dxa"/>
            <w:tcBorders/>
            <w:shd w:fill="CCEEFF" w:val="clear"/>
            <w:tcMar>
              <w:bottom w:w="0" w:type="dxa"/>
            </w:tcMar>
            <w:vAlign w:val="bottom"/>
          </w:tcPr>
          <w:p>
            <w:pPr>
              <w:pStyle w:val="TableContents"/>
              <w:spacing w:before="0" w:after="283"/>
              <w:jc w:val="left"/>
              <w:rPr/>
            </w:pPr>
            <w:r>
              <w:rPr/>
              <w:t> </w:t>
            </w:r>
          </w:p>
        </w:tc>
        <w:tc>
          <w:tcPr>
            <w:tcW w:w="1135"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53,214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1,125,772</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070" w:type="dxa"/>
            <w:tcBorders/>
            <w:shd w:fill="FFFF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February 2019</w:t>
            </w:r>
          </w:p>
        </w:tc>
        <w:tc>
          <w:tcPr>
            <w:tcW w:w="60" w:type="dxa"/>
            <w:tcBorders/>
            <w:shd w:fill="FFFFFF" w:val="clear"/>
            <w:tcMar>
              <w:bottom w:w="0" w:type="dxa"/>
            </w:tcMar>
            <w:vAlign w:val="bottom"/>
          </w:tcPr>
          <w:p>
            <w:pPr>
              <w:pStyle w:val="TableContents"/>
              <w:spacing w:before="0" w:after="283"/>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1342"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57,075</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81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22.86</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85" w:type="dxa"/>
            <w:tcBorders/>
            <w:shd w:fill="FFFFFF" w:val="clear"/>
            <w:tcMar>
              <w:bottom w:w="0" w:type="dxa"/>
            </w:tcMar>
            <w:vAlign w:val="bottom"/>
          </w:tcPr>
          <w:p>
            <w:pPr>
              <w:pStyle w:val="TableContents"/>
              <w:spacing w:before="0" w:after="283"/>
              <w:jc w:val="left"/>
              <w:rPr/>
            </w:pPr>
            <w:r>
              <w:rPr/>
              <w:t> </w:t>
            </w:r>
          </w:p>
        </w:tc>
        <w:tc>
          <w:tcPr>
            <w:tcW w:w="1135"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6,373</w:t>
            </w:r>
          </w:p>
        </w:tc>
        <w:tc>
          <w:tcPr>
            <w:tcW w:w="60" w:type="dxa"/>
            <w:tcBorders/>
            <w:shd w:fill="FFFFFF" w:val="clear"/>
            <w:tcMar>
              <w:bottom w:w="0" w:type="dxa"/>
            </w:tcMar>
            <w:vAlign w:val="bottom"/>
          </w:tcPr>
          <w:p>
            <w:pPr>
              <w:pStyle w:val="TableContents"/>
              <w:spacing w:before="0" w:after="283"/>
              <w:jc w:val="left"/>
              <w:rPr/>
            </w:pPr>
            <w:r>
              <w:rPr/>
              <w:t> </w:t>
            </w:r>
          </w:p>
        </w:tc>
        <w:tc>
          <w:tcPr>
            <w:tcW w:w="60" w:type="dxa"/>
            <w:tcBorders/>
            <w:shd w:fill="FFFFFF" w:val="clear"/>
            <w:tcMar>
              <w:bottom w:w="0" w:type="dxa"/>
            </w:tcMar>
            <w:vAlign w:val="bottom"/>
          </w:tcPr>
          <w:p>
            <w:pPr>
              <w:pStyle w:val="TableContents"/>
              <w:spacing w:before="0" w:after="283"/>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before="0" w:after="0"/>
              <w:jc w:val="right"/>
              <w:rPr>
                <w:rFonts w:ascii="Times New Roman" w:hAnsi="Times New Roman"/>
                <w:sz w:val="17"/>
              </w:rPr>
            </w:pPr>
            <w:r>
              <w:rPr>
                <w:rFonts w:ascii="Times New Roman" w:hAnsi="Times New Roman"/>
                <w:sz w:val="17"/>
              </w:rPr>
              <w:t>1,119,399</w:t>
            </w:r>
          </w:p>
        </w:tc>
        <w:tc>
          <w:tcPr>
            <w:tcW w:w="75" w:type="dxa"/>
            <w:tcBorders/>
            <w:shd w:fill="FFFFFF" w:val="clear"/>
            <w:tcMar>
              <w:bottom w:w="0" w:type="dxa"/>
            </w:tcMar>
            <w:vAlign w:val="bottom"/>
          </w:tcPr>
          <w:p>
            <w:pPr>
              <w:pStyle w:val="TableContents"/>
              <w:spacing w:before="0" w:after="283"/>
              <w:jc w:val="left"/>
              <w:rPr/>
            </w:pPr>
            <w:r>
              <w:rPr/>
              <w:t> </w:t>
            </w:r>
          </w:p>
        </w:tc>
      </w:tr>
      <w:tr>
        <w:trPr/>
        <w:tc>
          <w:tcPr>
            <w:tcW w:w="1070" w:type="dxa"/>
            <w:tcBorders/>
            <w:shd w:fill="CCEEFF" w:val="clear"/>
            <w:tcMar>
              <w:bottom w:w="0" w:type="dxa"/>
            </w:tcMar>
            <w:vAlign w:val="bottom"/>
          </w:tcPr>
          <w:p>
            <w:pPr>
              <w:pStyle w:val="TableContents"/>
              <w:spacing w:before="0" w:after="0"/>
              <w:jc w:val="left"/>
              <w:rPr>
                <w:rFonts w:ascii="Times New Roman" w:hAnsi="Times New Roman"/>
                <w:sz w:val="17"/>
              </w:rPr>
            </w:pPr>
            <w:r>
              <w:rPr>
                <w:rFonts w:ascii="Times New Roman" w:hAnsi="Times New Roman"/>
                <w:sz w:val="17"/>
              </w:rPr>
              <w:t>March 2019</w:t>
            </w:r>
          </w:p>
        </w:tc>
        <w:tc>
          <w:tcPr>
            <w:tcW w:w="60" w:type="dxa"/>
            <w:tcBorders/>
            <w:shd w:fill="CCEEFF" w:val="clear"/>
            <w:tcMar>
              <w:bottom w:w="0" w:type="dxa"/>
            </w:tcMar>
            <w:vAlign w:val="bottom"/>
          </w:tcPr>
          <w:p>
            <w:pPr>
              <w:pStyle w:val="TableContents"/>
              <w:spacing w:before="0" w:after="283"/>
              <w:rPr/>
            </w:pPr>
            <w:r>
              <w:rPr/>
              <w:t> </w:t>
            </w:r>
          </w:p>
        </w:tc>
        <w:tc>
          <w:tcPr>
            <w:tcW w:w="133" w:type="dxa"/>
            <w:tcBorders>
              <w:bottom w:val="single" w:sz="12" w:space="0" w:color="000000"/>
            </w:tcBorders>
            <w:shd w:fill="CCEEFF" w:val="clear"/>
            <w:vAlign w:val="bottom"/>
          </w:tcPr>
          <w:p>
            <w:pPr>
              <w:pStyle w:val="TableContents"/>
              <w:spacing w:before="0" w:after="283"/>
              <w:jc w:val="left"/>
              <w:rPr/>
            </w:pPr>
            <w:r>
              <w:rPr/>
              <w:t> </w:t>
            </w:r>
          </w:p>
        </w:tc>
        <w:tc>
          <w:tcPr>
            <w:tcW w:w="1342"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56,200</w:t>
            </w:r>
          </w:p>
        </w:tc>
        <w:tc>
          <w:tcPr>
            <w:tcW w:w="60" w:type="dxa"/>
            <w:tcBorders>
              <w:bottom w:val="single" w:sz="12" w:space="0" w:color="000000"/>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210" w:type="dxa"/>
            <w:tcBorders>
              <w:bottom w:val="single" w:sz="12" w:space="0" w:color="000000"/>
            </w:tcBorders>
            <w:shd w:fill="CCEEFF" w:val="clear"/>
            <w:vAlign w:val="bottom"/>
          </w:tcPr>
          <w:p>
            <w:pPr>
              <w:pStyle w:val="TableContents"/>
              <w:spacing w:before="0" w:after="283"/>
              <w:jc w:val="left"/>
              <w:rPr/>
            </w:pPr>
            <w:r>
              <w:rPr/>
              <w:t> </w:t>
            </w:r>
          </w:p>
        </w:tc>
        <w:tc>
          <w:tcPr>
            <w:tcW w:w="815"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21.98</w:t>
            </w:r>
          </w:p>
        </w:tc>
        <w:tc>
          <w:tcPr>
            <w:tcW w:w="60" w:type="dxa"/>
            <w:tcBorders>
              <w:bottom w:val="single" w:sz="12" w:space="0" w:color="000000"/>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85" w:type="dxa"/>
            <w:tcBorders>
              <w:bottom w:val="single" w:sz="12" w:space="0" w:color="000000"/>
            </w:tcBorders>
            <w:shd w:fill="CCEEFF" w:val="clear"/>
            <w:vAlign w:val="bottom"/>
          </w:tcPr>
          <w:p>
            <w:pPr>
              <w:pStyle w:val="TableContents"/>
              <w:spacing w:before="0" w:after="283"/>
              <w:jc w:val="left"/>
              <w:rPr/>
            </w:pPr>
            <w:r>
              <w:rPr/>
              <w:t> </w:t>
            </w:r>
          </w:p>
        </w:tc>
        <w:tc>
          <w:tcPr>
            <w:tcW w:w="1135" w:type="dxa"/>
            <w:tcBorders>
              <w:bottom w:val="single" w:sz="12" w:space="0" w:color="000000"/>
            </w:tcBorders>
            <w:shd w:fill="CCEEFF" w:val="clear"/>
            <w:vAlign w:val="bottom"/>
          </w:tcPr>
          <w:p>
            <w:pPr>
              <w:pStyle w:val="TableContents"/>
              <w:spacing w:before="0" w:after="283"/>
              <w:jc w:val="right"/>
              <w:rPr/>
            </w:pPr>
            <w:r>
              <w:rPr/>
              <w:t>56,200</w:t>
            </w:r>
          </w:p>
        </w:tc>
        <w:tc>
          <w:tcPr>
            <w:tcW w:w="60" w:type="dxa"/>
            <w:tcBorders>
              <w:bottom w:val="single" w:sz="12" w:space="0" w:color="000000"/>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97" w:type="dxa"/>
            <w:tcBorders>
              <w:bottom w:val="single" w:sz="12" w:space="0" w:color="000000"/>
            </w:tcBorders>
            <w:shd w:fill="CCEEFF" w:val="clear"/>
            <w:vAlign w:val="bottom"/>
          </w:tcPr>
          <w:p>
            <w:pPr>
              <w:pStyle w:val="TableContents"/>
              <w:spacing w:before="0" w:after="283"/>
              <w:jc w:val="left"/>
              <w:rPr/>
            </w:pPr>
            <w:r>
              <w:rPr/>
              <w:t> </w:t>
            </w:r>
          </w:p>
        </w:tc>
        <w:tc>
          <w:tcPr>
            <w:tcW w:w="1198" w:type="dxa"/>
            <w:tcBorders>
              <w:bottom w:val="single" w:sz="12" w:space="0" w:color="000000"/>
            </w:tcBorders>
            <w:shd w:fill="CCEEFF" w:val="clear"/>
            <w:vAlign w:val="bottom"/>
          </w:tcPr>
          <w:p>
            <w:pPr>
              <w:pStyle w:val="TableContents"/>
              <w:spacing w:before="0" w:after="0"/>
              <w:jc w:val="right"/>
              <w:rPr>
                <w:rFonts w:ascii="Times New Roman" w:hAnsi="Times New Roman"/>
                <w:sz w:val="17"/>
              </w:rPr>
            </w:pPr>
            <w:r>
              <w:rPr>
                <w:rFonts w:ascii="Times New Roman" w:hAnsi="Times New Roman"/>
                <w:sz w:val="17"/>
              </w:rPr>
              <w:t>1,063,199</w:t>
            </w:r>
          </w:p>
        </w:tc>
        <w:tc>
          <w:tcPr>
            <w:tcW w:w="75" w:type="dxa"/>
            <w:tcBorders/>
            <w:shd w:fill="CCEEFF" w:val="clear"/>
            <w:tcMar>
              <w:bottom w:w="0" w:type="dxa"/>
            </w:tcMar>
            <w:vAlign w:val="bottom"/>
          </w:tcPr>
          <w:p>
            <w:pPr>
              <w:pStyle w:val="TableContents"/>
              <w:spacing w:before="0" w:after="283"/>
              <w:jc w:val="left"/>
              <w:rPr/>
            </w:pPr>
            <w:r>
              <w:rPr/>
              <w:t> </w:t>
            </w:r>
          </w:p>
        </w:tc>
      </w:tr>
      <w:tr>
        <w:trPr/>
        <w:tc>
          <w:tcPr>
            <w:tcW w:w="1070" w:type="dxa"/>
            <w:tcBorders/>
            <w:shd w:fill="FFFFFF" w:val="clear"/>
            <w:tcMar>
              <w:bottom w:w="0" w:type="dxa"/>
            </w:tcMar>
            <w:vAlign w:val="bottom"/>
          </w:tcPr>
          <w:p>
            <w:pPr>
              <w:pStyle w:val="TableContents"/>
              <w:spacing w:before="0" w:after="0"/>
              <w:ind w:left="180" w:right="0" w:hanging="0"/>
              <w:jc w:val="left"/>
              <w:rPr>
                <w:rFonts w:ascii="Times New Roman" w:hAnsi="Times New Roman"/>
                <w:sz w:val="17"/>
              </w:rPr>
            </w:pPr>
            <w:r>
              <w:rPr>
                <w:rFonts w:ascii="Times New Roman" w:hAnsi="Times New Roman"/>
                <w:sz w:val="17"/>
              </w:rPr>
              <w:t>Total</w:t>
            </w:r>
          </w:p>
        </w:tc>
        <w:tc>
          <w:tcPr>
            <w:tcW w:w="60" w:type="dxa"/>
            <w:tcBorders/>
            <w:shd w:fill="FFFFFF" w:val="clear"/>
            <w:tcMar>
              <w:bottom w:w="0" w:type="dxa"/>
            </w:tcMar>
            <w:vAlign w:val="bottom"/>
          </w:tcPr>
          <w:p>
            <w:pPr>
              <w:pStyle w:val="TableContents"/>
              <w:spacing w:before="0" w:after="283"/>
              <w:rPr/>
            </w:pPr>
            <w:r>
              <w:rPr/>
              <w:t> </w:t>
            </w:r>
          </w:p>
        </w:tc>
        <w:tc>
          <w:tcPr>
            <w:tcW w:w="133" w:type="dxa"/>
            <w:tcBorders>
              <w:bottom w:val="double" w:sz="8" w:space="0" w:color="000000"/>
            </w:tcBorders>
            <w:shd w:fill="FFFFFF" w:val="clear"/>
            <w:vAlign w:val="bottom"/>
          </w:tcPr>
          <w:p>
            <w:pPr>
              <w:pStyle w:val="TableContents"/>
              <w:spacing w:before="0" w:after="283"/>
              <w:jc w:val="left"/>
              <w:rPr/>
            </w:pPr>
            <w:r>
              <w:rPr/>
              <w:t> </w:t>
            </w:r>
          </w:p>
        </w:tc>
        <w:tc>
          <w:tcPr>
            <w:tcW w:w="1342"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206,934</w:t>
            </w:r>
          </w:p>
        </w:tc>
        <w:tc>
          <w:tcPr>
            <w:tcW w:w="60" w:type="dxa"/>
            <w:tcBorders>
              <w:bottom w:val="double" w:sz="8" w:space="0" w:color="000000"/>
            </w:tcBorders>
            <w:shd w:fill="FFFFFF" w:val="clear"/>
            <w:vAlign w:val="bottom"/>
          </w:tcPr>
          <w:p>
            <w:pPr>
              <w:pStyle w:val="TableContents"/>
              <w:spacing w:before="0" w:after="283"/>
              <w:jc w:val="left"/>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210" w:type="dxa"/>
            <w:tcBorders>
              <w:bottom w:val="double" w:sz="8" w:space="0" w:color="000000"/>
            </w:tcBorders>
            <w:shd w:fill="FFFFFF" w:val="clear"/>
            <w:vAlign w:val="bottom"/>
          </w:tcPr>
          <w:p>
            <w:pPr>
              <w:pStyle w:val="TableContents"/>
              <w:spacing w:before="0" w:after="0"/>
              <w:jc w:val="left"/>
              <w:rPr>
                <w:rFonts w:ascii="Times New Roman" w:hAnsi="Times New Roman"/>
                <w:sz w:val="17"/>
              </w:rPr>
            </w:pPr>
            <w:r>
              <w:rPr>
                <w:rFonts w:ascii="Times New Roman" w:hAnsi="Times New Roman"/>
                <w:sz w:val="17"/>
              </w:rPr>
              <w:t>$</w:t>
            </w:r>
          </w:p>
        </w:tc>
        <w:tc>
          <w:tcPr>
            <w:tcW w:w="815"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22.26</w:t>
            </w:r>
          </w:p>
        </w:tc>
        <w:tc>
          <w:tcPr>
            <w:tcW w:w="60" w:type="dxa"/>
            <w:tcBorders>
              <w:bottom w:val="double" w:sz="8" w:space="0" w:color="000000"/>
            </w:tcBorders>
            <w:shd w:fill="FFFFFF" w:val="clear"/>
            <w:vAlign w:val="bottom"/>
          </w:tcPr>
          <w:p>
            <w:pPr>
              <w:pStyle w:val="TableContents"/>
              <w:spacing w:before="0" w:after="283"/>
              <w:jc w:val="left"/>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85" w:type="dxa"/>
            <w:tcBorders>
              <w:bottom w:val="double" w:sz="8" w:space="0" w:color="000000"/>
            </w:tcBorders>
            <w:shd w:fill="FFFFFF" w:val="clear"/>
            <w:vAlign w:val="bottom"/>
          </w:tcPr>
          <w:p>
            <w:pPr>
              <w:pStyle w:val="TableContents"/>
              <w:spacing w:before="0" w:after="283"/>
              <w:jc w:val="left"/>
              <w:rPr/>
            </w:pPr>
            <w:r>
              <w:rPr/>
              <w:t> </w:t>
            </w:r>
          </w:p>
        </w:tc>
        <w:tc>
          <w:tcPr>
            <w:tcW w:w="1135" w:type="dxa"/>
            <w:tcBorders>
              <w:bottom w:val="double" w:sz="8" w:space="0" w:color="000000"/>
            </w:tcBorders>
            <w:shd w:fill="FFFFFF" w:val="clear"/>
            <w:vAlign w:val="bottom"/>
          </w:tcPr>
          <w:p>
            <w:pPr>
              <w:pStyle w:val="TableContents"/>
              <w:spacing w:before="0" w:after="283"/>
              <w:jc w:val="right"/>
              <w:rPr/>
            </w:pPr>
            <w:r>
              <w:rPr/>
              <w:t>115,787</w:t>
            </w:r>
          </w:p>
        </w:tc>
        <w:tc>
          <w:tcPr>
            <w:tcW w:w="60" w:type="dxa"/>
            <w:tcBorders>
              <w:bottom w:val="double" w:sz="8" w:space="0" w:color="000000"/>
            </w:tcBorders>
            <w:shd w:fill="FFFFFF" w:val="clear"/>
            <w:vAlign w:val="bottom"/>
          </w:tcPr>
          <w:p>
            <w:pPr>
              <w:pStyle w:val="TableContents"/>
              <w:spacing w:before="0" w:after="283"/>
              <w:jc w:val="left"/>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97" w:type="dxa"/>
            <w:tcBorders>
              <w:bottom w:val="double" w:sz="8" w:space="0" w:color="000000"/>
            </w:tcBorders>
            <w:shd w:fill="FFFFFF" w:val="clear"/>
            <w:vAlign w:val="bottom"/>
          </w:tcPr>
          <w:p>
            <w:pPr>
              <w:pStyle w:val="TableContents"/>
              <w:spacing w:before="0" w:after="283"/>
              <w:jc w:val="left"/>
              <w:rPr/>
            </w:pPr>
            <w:r>
              <w:rPr/>
              <w:t> </w:t>
            </w:r>
          </w:p>
        </w:tc>
        <w:tc>
          <w:tcPr>
            <w:tcW w:w="1198" w:type="dxa"/>
            <w:tcBorders>
              <w:bottom w:val="double" w:sz="8" w:space="0" w:color="000000"/>
            </w:tcBorders>
            <w:shd w:fill="FFFFFF" w:val="clear"/>
            <w:vAlign w:val="bottom"/>
          </w:tcPr>
          <w:p>
            <w:pPr>
              <w:pStyle w:val="TableContents"/>
              <w:spacing w:before="0" w:after="0"/>
              <w:jc w:val="right"/>
              <w:rPr>
                <w:rFonts w:ascii="Times New Roman" w:hAnsi="Times New Roman"/>
                <w:sz w:val="17"/>
              </w:rPr>
            </w:pPr>
            <w:r>
              <w:rPr>
                <w:rFonts w:ascii="Times New Roman" w:hAnsi="Times New Roman"/>
                <w:sz w:val="17"/>
              </w:rPr>
              <w:t>1,063,199</w:t>
            </w:r>
          </w:p>
        </w:tc>
        <w:tc>
          <w:tcPr>
            <w:tcW w:w="7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Normal"/>
        <w:spacing w:before="0" w:after="0"/>
        <w:rPr>
          <w:sz w:val="4"/>
          <w:szCs w:val="4"/>
        </w:rPr>
      </w:pPr>
      <w:r>
        <w:rPr>
          <w:sz w:val="4"/>
          <w:szCs w:val="4"/>
        </w:rPr>
      </w:r>
      <w:bookmarkStart w:id="806" w:name="z53220e9932d741c0afbf6c11f245252a"/>
      <w:bookmarkStart w:id="807" w:name="z53220e9932d741c0afbf6c11f245252a"/>
      <w:bookmarkEnd w:id="807"/>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10007"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January and February include 40,445 shares and 15,841 shares, respectively, withheld from the shares that would otherwise have been issued to certain officers in order to satisfy tax withholding obligations resulting from the vesting of restricted stock as well as satisfy tax withholding obligations and stock option exercise price resulting from the exercise of stock options. February also includes 34,861 shares of our common stock purchased in the open market by the Independent Bank Corporation Employee Stock Ownership Trust as part of our employee stock ownership plan.</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8" w:name="DSPFPageBreakArea78"/>
      <w:bookmarkStart w:id="809" w:name="DSPFPageBreakArea78"/>
      <w:bookmarkEnd w:id="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10" w:name="DSPFPageNumber78"/>
      <w:bookmarkStart w:id="811" w:name="DSPFPageNumberArea77"/>
      <w:bookmarkEnd w:id="810"/>
      <w:bookmarkEnd w:id="811"/>
      <w:r>
        <w:rPr>
          <w:rFonts w:ascii="Times New Roman" w:hAnsi="Times New Roman"/>
          <w:b w:val="false"/>
          <w:i w:val="false"/>
          <w:caps w:val="false"/>
          <w:smallCaps w:val="false"/>
          <w:sz w:val="13"/>
        </w:rPr>
        <w:t>79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2" w:name="DSPFPageBreak78"/>
      <w:bookmarkStart w:id="813" w:name="DSPFPageBreak78"/>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814" w:name="DSPFPageHeader77"/>
        <w:bookmarkEnd w:id="814"/>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15" w:name="ze343eaa37ea44cff800975c17f674286"/>
      <w:bookmarkStart w:id="816" w:name="ze343eaa37ea44cff800975c17f674286"/>
      <w:bookmarkEnd w:id="816"/>
    </w:p>
    <w:tbl>
      <w:tblPr>
        <w:tblW w:w="1135" w:type="dxa"/>
        <w:jc w:val="left"/>
        <w:tblInd w:w="0" w:type="dxa"/>
        <w:tblCellMar>
          <w:top w:w="0" w:type="dxa"/>
          <w:left w:w="0" w:type="dxa"/>
          <w:bottom w:w="0" w:type="dxa"/>
          <w:right w:w="0" w:type="dxa"/>
        </w:tblCellMar>
      </w:tblPr>
      <w:tblGrid>
        <w:gridCol w:w="530"/>
        <w:gridCol w:w="605"/>
      </w:tblGrid>
      <w:tr>
        <w:trPr/>
        <w:tc>
          <w:tcPr>
            <w:tcW w:w="530" w:type="dxa"/>
            <w:tcBorders/>
            <w:shd w:fill="auto" w:val="clear"/>
            <w:vAlign w:val="center"/>
          </w:tcPr>
          <w:p>
            <w:pPr>
              <w:pStyle w:val="TableContents"/>
              <w:spacing w:before="0" w:after="283"/>
              <w:rPr>
                <w:rFonts w:ascii="Times New Roman" w:hAnsi="Times New Roman"/>
                <w:sz w:val="17"/>
                <w:u w:val="single"/>
              </w:rPr>
            </w:pPr>
            <w:r>
              <w:rPr>
                <w:rFonts w:ascii="Times New Roman" w:hAnsi="Times New Roman"/>
                <w:sz w:val="17"/>
                <w:u w:val="single"/>
              </w:rPr>
              <w:t>Item 6.</w:t>
            </w:r>
          </w:p>
        </w:tc>
        <w:tc>
          <w:tcPr>
            <w:tcW w:w="605" w:type="dxa"/>
            <w:tcBorders/>
            <w:shd w:fill="auto" w:val="clear"/>
            <w:vAlign w:val="center"/>
          </w:tcPr>
          <w:p>
            <w:pPr>
              <w:pStyle w:val="TableContents"/>
              <w:spacing w:before="0" w:after="0"/>
              <w:jc w:val="left"/>
              <w:rPr>
                <w:rFonts w:ascii="Times New Roman" w:hAnsi="Times New Roman"/>
                <w:sz w:val="17"/>
                <w:u w:val="single"/>
              </w:rPr>
            </w:pPr>
            <w:bookmarkStart w:id="817" w:name="Exhibits"/>
            <w:bookmarkEnd w:id="817"/>
            <w:r>
              <w:rPr>
                <w:rFonts w:ascii="Times New Roman" w:hAnsi="Times New Roman"/>
                <w:sz w:val="17"/>
                <w:u w:val="single"/>
              </w:rPr>
              <w:t>Exhibits</w:t>
            </w:r>
          </w:p>
        </w:tc>
      </w:tr>
    </w:tbl>
    <w:p>
      <w:pPr>
        <w:pStyle w:val="TextBody"/>
        <w:spacing w:before="0" w:after="0"/>
        <w:rPr/>
      </w:pPr>
      <w:r>
        <w:rPr/>
      </w:r>
    </w:p>
    <w:p>
      <w:pPr>
        <w:pStyle w:val="Normal"/>
        <w:spacing w:before="0" w:after="0"/>
        <w:rPr>
          <w:sz w:val="4"/>
          <w:szCs w:val="4"/>
        </w:rPr>
      </w:pPr>
      <w:r>
        <w:rPr>
          <w:sz w:val="4"/>
          <w:szCs w:val="4"/>
        </w:rPr>
      </w:r>
      <w:bookmarkStart w:id="818" w:name="z7e61f603766047d7b99635f44e8de1a7"/>
      <w:bookmarkStart w:id="819" w:name="z7e61f603766047d7b99635f44e8de1a7"/>
      <w:bookmarkEnd w:id="819"/>
    </w:p>
    <w:tbl>
      <w:tblPr>
        <w:tblW w:w="10205" w:type="dxa"/>
        <w:jc w:val="left"/>
        <w:tblInd w:w="0" w:type="dxa"/>
        <w:tblCellMar>
          <w:top w:w="0" w:type="dxa"/>
          <w:left w:w="0" w:type="dxa"/>
          <w:bottom w:w="0" w:type="dxa"/>
          <w:right w:w="0" w:type="dxa"/>
        </w:tblCellMar>
      </w:tblPr>
      <w:tblGrid>
        <w:gridCol w:w="208"/>
        <w:gridCol w:w="335"/>
        <w:gridCol w:w="9662"/>
      </w:tblGrid>
      <w:tr>
        <w:trPr/>
        <w:tc>
          <w:tcPr>
            <w:tcW w:w="208" w:type="dxa"/>
            <w:tcBorders/>
            <w:shd w:fill="CCEEFF" w:val="clear"/>
            <w:vAlign w:val="center"/>
          </w:tcPr>
          <w:p>
            <w:pPr>
              <w:pStyle w:val="TableContents"/>
              <w:spacing w:before="0" w:after="0"/>
              <w:jc w:val="center"/>
              <w:rPr>
                <w:rFonts w:ascii="Times New Roman" w:hAnsi="Times New Roman"/>
                <w:sz w:val="17"/>
              </w:rPr>
            </w:pPr>
            <w:r>
              <w:rPr>
                <w:rFonts w:ascii="Times New Roman" w:hAnsi="Times New Roman"/>
                <w:sz w:val="17"/>
              </w:rPr>
              <w:t>(a)</w:t>
            </w:r>
          </w:p>
        </w:tc>
        <w:tc>
          <w:tcPr>
            <w:tcW w:w="9997" w:type="dxa"/>
            <w:gridSpan w:val="2"/>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The following exhibits (listed by number corresponding to the Exhibit Table as Item 601 in Regulation S-K) are filed with this report:</w:t>
            </w:r>
          </w:p>
        </w:tc>
      </w:tr>
      <w:tr>
        <w:trPr/>
        <w:tc>
          <w:tcPr>
            <w:tcW w:w="208"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0"/>
              <w:jc w:val="both"/>
              <w:rPr/>
            </w:pPr>
            <w:hyperlink w:anchor="ex10_1.htm">
              <w:r>
                <w:rPr>
                  <w:rStyle w:val="InternetLink"/>
                  <w:rFonts w:ascii="Times New Roman" w:hAnsi="Times New Roman"/>
                  <w:sz w:val="17"/>
                </w:rPr>
                <w:t>10.1</w:t>
              </w:r>
            </w:hyperlink>
          </w:p>
        </w:tc>
        <w:tc>
          <w:tcPr>
            <w:tcW w:w="9662" w:type="dxa"/>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Amended and Restated Deferred Compensation and Stock Purchase Plan for Nonemployee Directors, effective March 19, 2019</w:t>
            </w:r>
            <w:r>
              <w:rPr>
                <w:rFonts w:ascii="Times New Roman" w:hAnsi="Times New Roman"/>
                <w:sz w:val="20"/>
              </w:rPr>
              <w:t>.*</w:t>
            </w:r>
          </w:p>
        </w:tc>
      </w:tr>
      <w:tr>
        <w:trPr/>
        <w:tc>
          <w:tcPr>
            <w:tcW w:w="208"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0"/>
              <w:jc w:val="both"/>
              <w:rPr/>
            </w:pPr>
            <w:hyperlink w:anchor="ex31_1.htm">
              <w:r>
                <w:rPr>
                  <w:rStyle w:val="InternetLink"/>
                  <w:rFonts w:ascii="Times New Roman" w:hAnsi="Times New Roman"/>
                  <w:sz w:val="17"/>
                </w:rPr>
                <w:t>31.1</w:t>
              </w:r>
            </w:hyperlink>
          </w:p>
        </w:tc>
        <w:tc>
          <w:tcPr>
            <w:tcW w:w="9662" w:type="dxa"/>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Certificate of the Chief Executive Officer of Independent Bank Corporation pursuant to Section 302 of the Sarbanes-Oxley Act of 2002 (18 U.S.C. 1350).</w:t>
            </w:r>
          </w:p>
        </w:tc>
      </w:tr>
      <w:tr>
        <w:trPr/>
        <w:tc>
          <w:tcPr>
            <w:tcW w:w="208"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0"/>
              <w:jc w:val="both"/>
              <w:rPr/>
            </w:pPr>
            <w:hyperlink w:anchor="ex31_2.htm">
              <w:r>
                <w:rPr>
                  <w:rStyle w:val="InternetLink"/>
                  <w:rFonts w:ascii="Times New Roman" w:hAnsi="Times New Roman"/>
                  <w:sz w:val="17"/>
                </w:rPr>
                <w:t>31.2</w:t>
              </w:r>
            </w:hyperlink>
          </w:p>
        </w:tc>
        <w:tc>
          <w:tcPr>
            <w:tcW w:w="9662" w:type="dxa"/>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Certificate of the Chief Financial Officer of Independent Bank Corporation pursuant to Section 302 of the Sarbanes-Oxley Act of 2002 (18 U.S.C. 1350).</w:t>
            </w:r>
          </w:p>
        </w:tc>
      </w:tr>
      <w:tr>
        <w:trPr/>
        <w:tc>
          <w:tcPr>
            <w:tcW w:w="208"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0"/>
              <w:jc w:val="both"/>
              <w:rPr/>
            </w:pPr>
            <w:hyperlink w:anchor="ex32_1.htm">
              <w:r>
                <w:rPr>
                  <w:rStyle w:val="InternetLink"/>
                  <w:rFonts w:ascii="Times New Roman" w:hAnsi="Times New Roman"/>
                  <w:sz w:val="17"/>
                </w:rPr>
                <w:t>32.1</w:t>
              </w:r>
            </w:hyperlink>
          </w:p>
        </w:tc>
        <w:tc>
          <w:tcPr>
            <w:tcW w:w="9662" w:type="dxa"/>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Certificate of the Chief Executive Officer of Independent Bank Corporation pursuant to Section 906 of the Sarbanes-Oxley Act of 2002 (18 U.S.C. 1350).</w:t>
            </w:r>
          </w:p>
        </w:tc>
      </w:tr>
      <w:tr>
        <w:trPr/>
        <w:tc>
          <w:tcPr>
            <w:tcW w:w="208"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0"/>
              <w:jc w:val="both"/>
              <w:rPr/>
            </w:pPr>
            <w:hyperlink w:anchor="ex32_2.htm">
              <w:r>
                <w:rPr>
                  <w:rStyle w:val="InternetLink"/>
                  <w:rFonts w:ascii="Times New Roman" w:hAnsi="Times New Roman"/>
                  <w:sz w:val="17"/>
                </w:rPr>
                <w:t>32.2</w:t>
              </w:r>
            </w:hyperlink>
          </w:p>
        </w:tc>
        <w:tc>
          <w:tcPr>
            <w:tcW w:w="9662" w:type="dxa"/>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Certificate of the Chief Financial Officer of Independent Bank Corporation pursuant to Section 906 of the Sarbanes-Oxley Act of 2002 (18 U.S.C. 1350).</w:t>
            </w:r>
          </w:p>
        </w:tc>
      </w:tr>
      <w:tr>
        <w:trPr/>
        <w:tc>
          <w:tcPr>
            <w:tcW w:w="208" w:type="dxa"/>
            <w:tcBorders/>
            <w:shd w:fill="CCEEFF" w:val="clear"/>
            <w:vAlign w:val="center"/>
          </w:tcPr>
          <w:p>
            <w:pPr>
              <w:pStyle w:val="TableContents"/>
              <w:spacing w:before="0" w:after="283"/>
              <w:rPr/>
            </w:pPr>
            <w:r>
              <w:rPr/>
              <w:t> </w:t>
            </w:r>
          </w:p>
        </w:tc>
        <w:tc>
          <w:tcPr>
            <w:tcW w:w="9997" w:type="dxa"/>
            <w:gridSpan w:val="2"/>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101.INS Instance Document</w:t>
            </w:r>
          </w:p>
        </w:tc>
      </w:tr>
      <w:tr>
        <w:trPr/>
        <w:tc>
          <w:tcPr>
            <w:tcW w:w="208" w:type="dxa"/>
            <w:tcBorders/>
            <w:shd w:fill="FFFFFF" w:val="clear"/>
            <w:vAlign w:val="center"/>
          </w:tcPr>
          <w:p>
            <w:pPr>
              <w:pStyle w:val="TableContents"/>
              <w:spacing w:before="0" w:after="283"/>
              <w:rPr/>
            </w:pPr>
            <w:r>
              <w:rPr/>
              <w:t> </w:t>
            </w:r>
          </w:p>
        </w:tc>
        <w:tc>
          <w:tcPr>
            <w:tcW w:w="9997" w:type="dxa"/>
            <w:gridSpan w:val="2"/>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101.SCH XBRL Taxonomy Extension Schema Document</w:t>
            </w:r>
          </w:p>
        </w:tc>
      </w:tr>
      <w:tr>
        <w:trPr/>
        <w:tc>
          <w:tcPr>
            <w:tcW w:w="208" w:type="dxa"/>
            <w:tcBorders/>
            <w:shd w:fill="CCEEFF" w:val="clear"/>
            <w:vAlign w:val="center"/>
          </w:tcPr>
          <w:p>
            <w:pPr>
              <w:pStyle w:val="TableContents"/>
              <w:spacing w:before="0" w:after="283"/>
              <w:rPr/>
            </w:pPr>
            <w:r>
              <w:rPr/>
              <w:t> </w:t>
            </w:r>
          </w:p>
        </w:tc>
        <w:tc>
          <w:tcPr>
            <w:tcW w:w="9997" w:type="dxa"/>
            <w:gridSpan w:val="2"/>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101.CAL XBRL Taxonomy Extension Calculation Linkbase Document</w:t>
            </w:r>
          </w:p>
        </w:tc>
      </w:tr>
      <w:tr>
        <w:trPr/>
        <w:tc>
          <w:tcPr>
            <w:tcW w:w="208" w:type="dxa"/>
            <w:tcBorders/>
            <w:shd w:fill="FFFFFF" w:val="clear"/>
            <w:vAlign w:val="center"/>
          </w:tcPr>
          <w:p>
            <w:pPr>
              <w:pStyle w:val="TableContents"/>
              <w:spacing w:before="0" w:after="283"/>
              <w:rPr/>
            </w:pPr>
            <w:r>
              <w:rPr/>
              <w:t> </w:t>
            </w:r>
          </w:p>
        </w:tc>
        <w:tc>
          <w:tcPr>
            <w:tcW w:w="9997" w:type="dxa"/>
            <w:gridSpan w:val="2"/>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101.DEF XBRL Taxonomy Extension Definition Linkbase Document</w:t>
            </w:r>
          </w:p>
        </w:tc>
      </w:tr>
      <w:tr>
        <w:trPr/>
        <w:tc>
          <w:tcPr>
            <w:tcW w:w="208" w:type="dxa"/>
            <w:tcBorders/>
            <w:shd w:fill="CCEEFF" w:val="clear"/>
            <w:vAlign w:val="center"/>
          </w:tcPr>
          <w:p>
            <w:pPr>
              <w:pStyle w:val="TableContents"/>
              <w:spacing w:before="0" w:after="283"/>
              <w:rPr/>
            </w:pPr>
            <w:r>
              <w:rPr/>
              <w:t> </w:t>
            </w:r>
          </w:p>
        </w:tc>
        <w:tc>
          <w:tcPr>
            <w:tcW w:w="9997" w:type="dxa"/>
            <w:gridSpan w:val="2"/>
            <w:tcBorders/>
            <w:shd w:fill="CCEEFF" w:val="clear"/>
            <w:vAlign w:val="center"/>
          </w:tcPr>
          <w:p>
            <w:pPr>
              <w:pStyle w:val="TableContents"/>
              <w:spacing w:before="0" w:after="0"/>
              <w:jc w:val="both"/>
              <w:rPr>
                <w:rFonts w:ascii="Times New Roman" w:hAnsi="Times New Roman"/>
                <w:sz w:val="17"/>
              </w:rPr>
            </w:pPr>
            <w:r>
              <w:rPr>
                <w:rFonts w:ascii="Times New Roman" w:hAnsi="Times New Roman"/>
                <w:sz w:val="17"/>
              </w:rPr>
              <w:t>101.LAB XBRL Taxonomy Extension Label Linkbase Document</w:t>
            </w:r>
          </w:p>
        </w:tc>
      </w:tr>
      <w:tr>
        <w:trPr/>
        <w:tc>
          <w:tcPr>
            <w:tcW w:w="208" w:type="dxa"/>
            <w:tcBorders/>
            <w:shd w:fill="FFFFFF" w:val="clear"/>
            <w:vAlign w:val="center"/>
          </w:tcPr>
          <w:p>
            <w:pPr>
              <w:pStyle w:val="TableContents"/>
              <w:spacing w:before="0" w:after="283"/>
              <w:rPr/>
            </w:pPr>
            <w:r>
              <w:rPr/>
              <w:t> </w:t>
            </w:r>
          </w:p>
        </w:tc>
        <w:tc>
          <w:tcPr>
            <w:tcW w:w="9997" w:type="dxa"/>
            <w:gridSpan w:val="2"/>
            <w:tcBorders/>
            <w:shd w:fill="FFFFFF" w:val="clear"/>
            <w:vAlign w:val="center"/>
          </w:tcPr>
          <w:p>
            <w:pPr>
              <w:pStyle w:val="TableContents"/>
              <w:spacing w:before="0" w:after="0"/>
              <w:jc w:val="both"/>
              <w:rPr>
                <w:rFonts w:ascii="Times New Roman" w:hAnsi="Times New Roman"/>
                <w:sz w:val="17"/>
              </w:rPr>
            </w:pPr>
            <w:r>
              <w:rPr>
                <w:rFonts w:ascii="Times New Roman" w:hAnsi="Times New Roman"/>
                <w:sz w:val="17"/>
              </w:rPr>
              <w:t>101.PRE XBRL Taxonomy Extension Presentation Linkbase Document</w:t>
            </w:r>
          </w:p>
        </w:tc>
      </w:tr>
    </w:tbl>
    <w:p>
      <w:pPr>
        <w:pStyle w:val="TextBody"/>
        <w:spacing w:before="0" w:after="0"/>
        <w:rPr/>
      </w:pPr>
      <w:r>
        <w:rPr/>
      </w:r>
    </w:p>
    <w:p>
      <w:pPr>
        <w:pStyle w:val="TextBody"/>
        <w:spacing w:before="0" w:after="0"/>
        <w:jc w:val="left"/>
        <w:rPr>
          <w:rFonts w:ascii="Times New Roman" w:hAnsi="Times New Roman"/>
          <w:sz w:val="17"/>
        </w:rPr>
      </w:pPr>
      <w:r>
        <w:rPr>
          <w:rFonts w:ascii="Times New Roman" w:hAnsi="Times New Roman"/>
          <w:sz w:val="17"/>
        </w:rPr>
        <w:t>* Represents a compensation plan.</w:t>
      </w:r>
    </w:p>
    <w:p>
      <w:pPr>
        <w:pStyle w:val="TextBody"/>
        <w:spacing w:before="0" w:after="0"/>
        <w:jc w:val="left"/>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0" w:name="DSPFPageBreakArea79"/>
      <w:bookmarkStart w:id="821" w:name="DSPFPageBreakArea79"/>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22" w:name="DSPFPageNumber79"/>
      <w:bookmarkStart w:id="823" w:name="DSPFPageNumberArea78"/>
      <w:bookmarkEnd w:id="822"/>
      <w:bookmarkEnd w:id="823"/>
      <w:r>
        <w:rPr>
          <w:rFonts w:ascii="Times New Roman" w:hAnsi="Times New Roman"/>
          <w:b w:val="false"/>
          <w:i w:val="false"/>
          <w:caps w:val="false"/>
          <w:smallCaps w:val="false"/>
          <w:sz w:val="13"/>
        </w:rPr>
        <w:t>80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4" w:name="DSPFPageBreak79"/>
      <w:bookmarkStart w:id="825" w:name="DSPFPageBreak79"/>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hyperlink w:anchor="INDEX">
        <w:bookmarkStart w:id="826" w:name="DSPFPageHeader78"/>
        <w:bookmarkEnd w:id="826"/>
        <w:r>
          <w:rPr>
            <w:rStyle w:val="InternetLink"/>
            <w:rFonts w:ascii="Times New Roman" w:hAnsi="Times New Roman"/>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7"/>
          <w:u w:val="single"/>
        </w:rPr>
      </w:pPr>
      <w:r>
        <w:rPr>
          <w:rFonts w:ascii="Times New Roman" w:hAnsi="Times New Roman"/>
          <w:sz w:val="17"/>
          <w:u w:val="single"/>
        </w:rPr>
        <w:t>SIGNATURES</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Normal"/>
        <w:spacing w:before="0" w:after="0"/>
        <w:rPr>
          <w:sz w:val="4"/>
          <w:szCs w:val="4"/>
        </w:rPr>
      </w:pPr>
      <w:r>
        <w:rPr>
          <w:sz w:val="4"/>
          <w:szCs w:val="4"/>
        </w:rPr>
      </w:r>
      <w:bookmarkStart w:id="827" w:name="z7a718c6093ca4cd788b990897ed902e7"/>
      <w:bookmarkStart w:id="828" w:name="z7a718c6093ca4cd788b990897ed902e7"/>
      <w:bookmarkEnd w:id="828"/>
    </w:p>
    <w:tbl>
      <w:tblPr>
        <w:tblW w:w="5150" w:type="dxa"/>
        <w:jc w:val="left"/>
        <w:tblInd w:w="0" w:type="dxa"/>
        <w:tblCellMar>
          <w:top w:w="0" w:type="dxa"/>
          <w:left w:w="0" w:type="dxa"/>
          <w:bottom w:w="0" w:type="dxa"/>
          <w:right w:w="0" w:type="dxa"/>
        </w:tblCellMar>
      </w:tblPr>
      <w:tblGrid>
        <w:gridCol w:w="335"/>
        <w:gridCol w:w="920"/>
        <w:gridCol w:w="60"/>
        <w:gridCol w:w="215"/>
        <w:gridCol w:w="3620"/>
      </w:tblGrid>
      <w:tr>
        <w:trPr/>
        <w:tc>
          <w:tcPr>
            <w:tcW w:w="33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May 3, 2019</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By</w:t>
            </w:r>
          </w:p>
        </w:tc>
        <w:tc>
          <w:tcPr>
            <w:tcW w:w="3620" w:type="dxa"/>
            <w:tcBorders>
              <w:bottom w:val="single" w:sz="12" w:space="0" w:color="000000"/>
            </w:tcBorders>
            <w:shd w:fill="auto" w:val="clear"/>
            <w:tcMar>
              <w:bottom w:w="28" w:type="dxa"/>
            </w:tcMar>
            <w:vAlign w:val="center"/>
          </w:tcPr>
          <w:p>
            <w:pPr>
              <w:pStyle w:val="TableContents"/>
              <w:spacing w:before="0" w:after="0"/>
              <w:ind w:left="540" w:right="0" w:hanging="0"/>
              <w:jc w:val="left"/>
              <w:rPr>
                <w:rFonts w:ascii="Times New Roman" w:hAnsi="Times New Roman"/>
                <w:sz w:val="17"/>
              </w:rPr>
            </w:pPr>
            <w:r>
              <w:rPr>
                <w:rFonts w:ascii="Times New Roman" w:hAnsi="Times New Roman"/>
                <w:sz w:val="17"/>
              </w:rPr>
              <w:t>/s/ Robert N. Shuster</w:t>
            </w:r>
          </w:p>
        </w:tc>
      </w:tr>
      <w:tr>
        <w:trPr/>
        <w:tc>
          <w:tcPr>
            <w:tcW w:w="335"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ind w:left="540" w:right="0" w:hanging="0"/>
              <w:jc w:val="left"/>
              <w:rPr>
                <w:rFonts w:ascii="Times New Roman" w:hAnsi="Times New Roman"/>
                <w:sz w:val="17"/>
              </w:rPr>
            </w:pPr>
            <w:r>
              <w:rPr>
                <w:rFonts w:ascii="Times New Roman" w:hAnsi="Times New Roman"/>
                <w:sz w:val="17"/>
              </w:rPr>
              <w:t>Robert N. Shuster, Principal Financial Officer</w:t>
            </w:r>
          </w:p>
        </w:tc>
      </w:tr>
      <w:tr>
        <w:trPr/>
        <w:tc>
          <w:tcPr>
            <w:tcW w:w="335"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w:t>
            </w:r>
          </w:p>
        </w:tc>
        <w:tc>
          <w:tcPr>
            <w:tcW w:w="9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sz w:val="17"/>
              </w:rPr>
            </w:pPr>
            <w:r>
              <w:rPr>
                <w:rFonts w:ascii="Times New Roman" w:hAnsi="Times New Roman"/>
                <w:sz w:val="17"/>
              </w:rPr>
              <w:t>May 3, 2019</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By</w:t>
            </w:r>
          </w:p>
        </w:tc>
        <w:tc>
          <w:tcPr>
            <w:tcW w:w="3620" w:type="dxa"/>
            <w:tcBorders>
              <w:bottom w:val="single" w:sz="12" w:space="0" w:color="000000"/>
            </w:tcBorders>
            <w:shd w:fill="auto" w:val="clear"/>
            <w:tcMar>
              <w:bottom w:w="28" w:type="dxa"/>
            </w:tcMar>
            <w:vAlign w:val="center"/>
          </w:tcPr>
          <w:p>
            <w:pPr>
              <w:pStyle w:val="TableContents"/>
              <w:spacing w:before="0" w:after="0"/>
              <w:ind w:left="540" w:right="0" w:hanging="0"/>
              <w:jc w:val="left"/>
              <w:rPr>
                <w:rFonts w:ascii="Times New Roman" w:hAnsi="Times New Roman"/>
                <w:sz w:val="17"/>
              </w:rPr>
            </w:pPr>
            <w:r>
              <w:rPr>
                <w:rFonts w:ascii="Times New Roman" w:hAnsi="Times New Roman"/>
                <w:sz w:val="17"/>
              </w:rPr>
              <w:t>/s/ James J. Twarozynski</w:t>
            </w:r>
          </w:p>
        </w:tc>
      </w:tr>
      <w:tr>
        <w:trPr/>
        <w:tc>
          <w:tcPr>
            <w:tcW w:w="335"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ind w:left="540" w:right="0" w:hanging="0"/>
              <w:jc w:val="left"/>
              <w:rPr>
                <w:rFonts w:ascii="Times New Roman" w:hAnsi="Times New Roman"/>
                <w:sz w:val="17"/>
              </w:rPr>
            </w:pPr>
            <w:r>
              <w:rPr>
                <w:rFonts w:ascii="Times New Roman" w:hAnsi="Times New Roman"/>
                <w:sz w:val="17"/>
              </w:rPr>
              <w:t>James J. Twarozynski, Principal Accounting Officer</w:t>
            </w:r>
          </w:p>
        </w:tc>
      </w:tr>
    </w:tbl>
    <w:p>
      <w:pPr>
        <w:pStyle w:val="TextBody"/>
        <w:spacing w:before="0" w:after="0"/>
        <w:rPr/>
      </w:pPr>
      <w:r>
        <w:rPr/>
      </w:r>
    </w:p>
    <w:p>
      <w:pPr>
        <w:pStyle w:val="TextBody"/>
        <w:spacing w:before="0" w:after="0"/>
        <w:rPr/>
      </w:pPr>
      <w:r>
        <w:rPr/>
      </w:r>
    </w:p>
    <w:p>
      <w:pPr>
        <w:pStyle w:val="TextBody"/>
        <w:spacing w:before="0" w:after="0"/>
        <w:jc w:val="center"/>
        <w:rPr/>
      </w:pPr>
      <w:bookmarkStart w:id="829" w:name="DSPFPageNumber80"/>
      <w:bookmarkEnd w:id="829"/>
      <w:r>
        <w:rPr>
          <w:rFonts w:ascii="Times New Roman" w:hAnsi="Times New Roman"/>
          <w:b w:val="false"/>
          <w:i w:val="false"/>
          <w:caps w:val="false"/>
          <w:smallCaps w:val="false"/>
          <w:sz w:val="13"/>
        </w:rPr>
        <w:t>81</w:t>
      </w:r>
      <w:r>
        <w:rPr/>
        <w:t xml:space="preserve"> </w:t>
      </w:r>
    </w:p>
    <w:p>
      <w:pPr>
        <w:pStyle w:val="HorizontalLine"/>
        <w:pBdr>
          <w:bottom w:val="single" w:sz="20" w:space="0" w:color="808080"/>
        </w:pBdr>
        <w:rPr/>
      </w:pPr>
      <w:r>
        <w:rPr/>
      </w:r>
      <w:r>
        <w:br w:type="page"/>
      </w:r>
    </w:p>
    <w:p>
      <w:pPr>
        <w:pStyle w:val="HorizontalLine"/>
        <w:pBdr>
          <w:bottom w:val="single" w:sz="20" w:space="0" w:color="808080"/>
        </w:pBdr>
        <w:rPr/>
      </w:pPr>
      <w:r>
        <w:rPr/>
      </w:r>
      <w:bookmarkStart w:id="830" w:name="ex10_1.htm"/>
      <w:bookmarkStart w:id="831" w:name="ksex10_1"/>
      <w:bookmarkStart w:id="832" w:name="ex10_1.htm"/>
      <w:bookmarkStart w:id="833" w:name="ksex10_1"/>
      <w:bookmarkEnd w:id="832"/>
      <w:bookmarkEnd w:id="833"/>
    </w:p>
    <w:p>
      <w:pPr>
        <w:pStyle w:val="TextBody"/>
        <w:spacing w:before="0" w:after="0"/>
        <w:ind w:left="0" w:right="0" w:firstLine="6480"/>
        <w:jc w:val="right"/>
        <w:rPr>
          <w:rFonts w:ascii="Times New Roman" w:hAnsi="Times New Roman"/>
          <w:sz w:val="17"/>
        </w:rPr>
      </w:pPr>
      <w:r>
        <w:rPr>
          <w:rFonts w:ascii="Times New Roman" w:hAnsi="Times New Roman"/>
          <w:sz w:val="17"/>
        </w:rPr>
        <w:t>EXHIBIT 10.1</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INDEPENDENT BANK CORPORATION</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AMENDED AND RESTATED DEFERRED COMPENSATION AND</w:t>
      </w:r>
    </w:p>
    <w:p>
      <w:pPr>
        <w:pStyle w:val="TextBody"/>
        <w:spacing w:before="0" w:after="0"/>
        <w:jc w:val="center"/>
        <w:rPr>
          <w:rFonts w:ascii="Times New Roman" w:hAnsi="Times New Roman"/>
          <w:sz w:val="17"/>
        </w:rPr>
      </w:pPr>
      <w:r>
        <w:rPr>
          <w:rFonts w:ascii="Times New Roman" w:hAnsi="Times New Roman"/>
          <w:sz w:val="17"/>
        </w:rPr>
        <w:t>STOCK PURCHASE PLAN FOR NONEMPLOYEE DIRECTORS</w:t>
      </w:r>
    </w:p>
    <w:p>
      <w:pPr>
        <w:pStyle w:val="TextBody"/>
        <w:spacing w:before="0" w:after="0"/>
        <w:jc w:val="center"/>
        <w:rPr>
          <w:rFonts w:ascii="Times New Roman" w:hAnsi="Times New Roman"/>
          <w:sz w:val="17"/>
        </w:rPr>
      </w:pPr>
      <w:r>
        <w:rPr>
          <w:rFonts w:ascii="Times New Roman" w:hAnsi="Times New Roman"/>
          <w:sz w:val="17"/>
        </w:rPr>
        <w:t>(As Amended Through March 19, 2019)</w:t>
      </w:r>
    </w:p>
    <w:p>
      <w:pPr>
        <w:pStyle w:val="TextBody"/>
        <w:spacing w:before="0" w:after="0"/>
        <w:rPr/>
      </w:pPr>
      <w:r>
        <w:rPr/>
      </w:r>
    </w:p>
    <w:p>
      <w:pPr>
        <w:pStyle w:val="TextBody"/>
        <w:spacing w:before="0" w:after="0"/>
        <w:ind w:left="0" w:right="0" w:firstLine="720"/>
        <w:jc w:val="both"/>
        <w:rPr/>
      </w:pPr>
      <w:r>
        <w:rPr>
          <w:rFonts w:ascii="Times New Roman" w:hAnsi="Times New Roman"/>
          <w:sz w:val="17"/>
        </w:rPr>
        <w:t>1.</w:t>
      </w:r>
      <w:r>
        <w:rPr/>
        <w:t>          </w:t>
      </w:r>
      <w:r>
        <w:rPr>
          <w:rFonts w:ascii="Times            New Roman" w:hAnsi="Times            New Roman"/>
          <w:sz w:val="17"/>
          <w:u w:val="single"/>
        </w:rPr>
        <w:t>Purpose</w:t>
      </w:r>
      <w:r>
        <w:rPr>
          <w:rFonts w:ascii="Times New Roman" w:hAnsi="Times New Roman"/>
          <w:sz w:val="17"/>
        </w:rPr>
        <w:t>.  The Independent Bank Corporation Deferred Compensation and Stock Purchase Plan for Nonemployee Directors (“Plan”) has been adopted to provide an opportunity for each nonemployee director of Independent Bank Corporation (“IBC”) and IBC subsidiaries to defer his or her director fees or to increase, on a current basis, his or her ownership of shares of IBC’s common stock.</w:t>
      </w:r>
    </w:p>
    <w:p>
      <w:pPr>
        <w:pStyle w:val="TextBody"/>
        <w:spacing w:before="0" w:after="0"/>
        <w:rPr/>
      </w:pPr>
      <w:r>
        <w:rPr/>
      </w:r>
    </w:p>
    <w:p>
      <w:pPr>
        <w:pStyle w:val="TextBody"/>
        <w:spacing w:before="0" w:after="0"/>
        <w:ind w:left="0" w:right="0" w:firstLine="720"/>
        <w:jc w:val="both"/>
        <w:rPr/>
      </w:pPr>
      <w:r>
        <w:rPr>
          <w:rFonts w:ascii="Times New Roman" w:hAnsi="Times New Roman"/>
          <w:sz w:val="17"/>
        </w:rPr>
        <w:t>2.</w:t>
      </w:r>
      <w:r>
        <w:rPr/>
        <w:t>          </w:t>
      </w:r>
      <w:r>
        <w:rPr>
          <w:rFonts w:ascii="Times            New Roman" w:hAnsi="Times            New Roman"/>
          <w:sz w:val="17"/>
          <w:u w:val="single"/>
        </w:rPr>
        <w:t>Eligibility</w:t>
      </w:r>
      <w:r>
        <w:rPr>
          <w:rFonts w:ascii="Times New Roman" w:hAnsi="Times New Roman"/>
          <w:sz w:val="17"/>
        </w:rPr>
        <w:t>.  Each director of IBC or a subsidiary of IBC which adopts this Plan (“Subsidiary”) who is not an officer or employee of IBC or of any Subsidiary is eligible to participate in the Plan (“Eligible Director”).</w:t>
      </w:r>
    </w:p>
    <w:p>
      <w:pPr>
        <w:pStyle w:val="TextBody"/>
        <w:spacing w:before="0" w:after="0"/>
        <w:rPr/>
      </w:pPr>
      <w:r>
        <w:rPr/>
      </w:r>
    </w:p>
    <w:p>
      <w:pPr>
        <w:pStyle w:val="TextBody"/>
        <w:spacing w:before="0" w:after="0"/>
        <w:ind w:left="0" w:right="0" w:firstLine="720"/>
        <w:jc w:val="both"/>
        <w:rPr/>
      </w:pPr>
      <w:r>
        <w:rPr>
          <w:rFonts w:ascii="Times New Roman" w:hAnsi="Times New Roman"/>
          <w:sz w:val="17"/>
        </w:rPr>
        <w:t>3.</w:t>
      </w:r>
      <w:r>
        <w:rPr/>
        <w:t>          </w:t>
      </w:r>
      <w:r>
        <w:rPr>
          <w:rFonts w:ascii="Times            New Roman" w:hAnsi="Times            New Roman"/>
          <w:sz w:val="17"/>
          <w:u w:val="single"/>
        </w:rPr>
        <w:t>Administration</w:t>
      </w:r>
      <w:r>
        <w:rPr>
          <w:rFonts w:ascii="Times New Roman" w:hAnsi="Times New Roman"/>
          <w:sz w:val="17"/>
        </w:rPr>
        <w:t>.  The Plan shall be administered by the Compensation Committee of the Board of Directors of IBC, each of whom qualifies as an “independent” director under the applicable rules of the NASDAQ stock market (the “Plan Administrator”), who shall have the authority to interpret the Plan and to adopt procedures for implementing the Plan.  References to an Eligible Director’s retirement or termination of service as an Eligible Director shall be interpreted in a manner consistent with the term “separation from service” as such term is defined under Section 409A of the Internal Revenue Code of 1986, as amended.</w:t>
      </w:r>
    </w:p>
    <w:p>
      <w:pPr>
        <w:pStyle w:val="TextBody"/>
        <w:spacing w:before="0" w:after="0"/>
        <w:rPr/>
      </w:pPr>
      <w:r>
        <w:rPr/>
      </w:r>
    </w:p>
    <w:p>
      <w:pPr>
        <w:pStyle w:val="TextBody"/>
        <w:spacing w:before="0" w:after="0"/>
        <w:ind w:left="0" w:right="0" w:firstLine="720"/>
        <w:jc w:val="both"/>
        <w:rPr/>
      </w:pPr>
      <w:r>
        <w:rPr>
          <w:rFonts w:ascii="Times New Roman" w:hAnsi="Times New Roman"/>
          <w:sz w:val="17"/>
        </w:rPr>
        <w:t>4.</w:t>
      </w:r>
      <w:r>
        <w:rPr/>
        <w:t>          </w:t>
      </w:r>
      <w:r>
        <w:rPr>
          <w:rFonts w:ascii="Times            New Roman" w:hAnsi="Times            New Roman"/>
          <w:sz w:val="17"/>
          <w:u w:val="single"/>
        </w:rPr>
        <w:t>IBC Common Stock</w:t>
      </w:r>
      <w:r>
        <w:rPr>
          <w:rFonts w:ascii="Times New Roman" w:hAnsi="Times New Roman"/>
          <w:sz w:val="17"/>
        </w:rPr>
        <w:t>.  The shares of stock subject to purchase or the equivalent to be credited to a participant’s account under the Plan shall be the shares of IBC’s no par value common stock (the “IBC Common Stock”).  Shares issued and delivered to participants under the Plan may be either newly issued shares or shares purchased by IBC and reissued.  Subject to adjustment as described below, the maximum number of shares of Common Stock that may be purchased or credited under the Plan is 670,000.  If IBC shall at any time increase or decrease the number of its outstanding shares of IBC Common Stock or change in any way the rights and privileges of such shares by means of the payment of a stock dividend or any other distribution upon such shares payable in IBC Common Stock, or through a stock split, subdivision, consolidation, combination, reclassification, or recapitalization involving the IBC Common Stock, or in case of the merger or consolidation of IBC with or into another organization, then, in any such event, the numbers, rights and privileges of the shares issuable or credited under the Plan shall be increased, decreased or changed in like manner as if such shares had been issued and outstanding, fully paid, and nonassessable at the time of such occurrence.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4" w:name="DSPFPageBreakArea80"/>
      <w:bookmarkStart w:id="835" w:name="DSPFPageBreakArea80"/>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36" w:name="DSPFPageNumber81"/>
      <w:bookmarkStart w:id="837" w:name="DSPFPageNumberArea79"/>
      <w:bookmarkEnd w:id="836"/>
      <w:bookmarkEnd w:id="837"/>
      <w:r>
        <w:rPr>
          <w:rFonts w:ascii="Times New Roman" w:hAnsi="Times New Roman"/>
          <w:b w:val="false"/>
          <w:i w:val="false"/>
          <w:caps w:val="false"/>
          <w:smallCaps w:val="false"/>
          <w:sz w:val="13"/>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8" w:name="DSPFPageBreak80"/>
      <w:bookmarkStart w:id="839" w:name="DSPFPageBreak80"/>
      <w:bookmarkEnd w:id="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17"/>
        </w:rPr>
        <w:t>5.</w:t>
      </w:r>
      <w:r>
        <w:rPr/>
        <w:t>          </w:t>
      </w:r>
      <w:r>
        <w:rPr>
          <w:rFonts w:ascii="Times            New Roman" w:hAnsi="Times            New Roman"/>
          <w:sz w:val="17"/>
          <w:u w:val="single"/>
        </w:rPr>
        <w:t>Compensation Affected by Participation in the Plan</w:t>
      </w:r>
      <w:r>
        <w:rPr>
          <w:rFonts w:ascii="Times New Roman" w:hAnsi="Times New Roman"/>
          <w:sz w:val="17"/>
        </w:rPr>
        <w:t>.  An Eligible Director may specify in his or her Election to Participate that all or part (in integral multiples of 10%) of an Eligible Director’s annual retainer fees and chairperson retainer fees that would otherwise be payable in cash by IBC or a Subsidiary for his or her service for the calendar year following the year in which an Election to Participate is filed, or (a) in the case of an Eligible Director who files an Election to Participate within thirty (30) days of when he or she first becomes an Eligible Director, or (b) in the case of an Eligible Director who files an Election to Participate and have his or her fees credited to a Current Stock Purchase Account and with respect to the fees allocated to that Current Stock Purchase Account only, for that portion of the calendar year following the filing of that Election to Participate, and for all subsequent calendar years while the Election to Participate remains in effect, shall be subject to the terms of the Plan (“Plan Fees”).</w:t>
      </w:r>
    </w:p>
    <w:p>
      <w:pPr>
        <w:pStyle w:val="TextBody"/>
        <w:spacing w:before="0" w:after="0"/>
        <w:rPr/>
      </w:pPr>
      <w:r>
        <w:rPr/>
      </w:r>
    </w:p>
    <w:p>
      <w:pPr>
        <w:pStyle w:val="TextBody"/>
        <w:spacing w:before="0" w:after="0"/>
        <w:ind w:left="0" w:right="0" w:firstLine="720"/>
        <w:jc w:val="both"/>
        <w:rPr/>
      </w:pPr>
      <w:r>
        <w:rPr>
          <w:rFonts w:ascii="Times New Roman" w:hAnsi="Times New Roman"/>
          <w:sz w:val="17"/>
        </w:rPr>
        <w:t>6.</w:t>
      </w:r>
      <w:r>
        <w:rPr/>
        <w:t>          </w:t>
      </w:r>
      <w:r>
        <w:rPr>
          <w:rFonts w:ascii="Times            New Roman" w:hAnsi="Times            New Roman"/>
          <w:sz w:val="17"/>
          <w:u w:val="single"/>
        </w:rPr>
        <w:t>Election to Participate</w:t>
      </w:r>
      <w:r>
        <w:rPr>
          <w:rFonts w:ascii="Times New Roman" w:hAnsi="Times New Roman"/>
          <w:sz w:val="17"/>
        </w:rPr>
        <w:t>.  An Eligible Director becomes a participant in the Plan by filing an “Election to Participate” with the Plan Administrator not later than (except as provided in the following sentence) December 31 of the year preceding the calendar year with respect to which the Eligible Director wishes to commence participation in the Plan.  An Eligible Director may become a participant in the Plan during the first calendar year in which he or she first becomes an Eligible Director by filing an Election to Participate within thirty (30) days of first becoming an Eligible Director, and an Eligible Director may file an Election to Participate with respect to Plan Fees to be allocated to a Current Stock Purchase Account at any time during a calendar year.  Once filed, the Election to Participate shall continue to be effective (i) until the participant ceases to be an Eligible Director, (ii) until he or she files a subsequent Election to Participate revising any of the terms of the last election filed, or (iii) until he or she terminates an Election to Participate in the Plan by written notice to the Plan Administrator.  Termination of participation shall be effective immediately at the time a participant ceases to be an Eligible Director.  Other terminations of participation and changes in election shall be effective with respect to calendar years commencing after the calendar year in which the change in Election to Participate or termination notice is given.  An Eligible Director who has filed a notice of termination of participation may thereafter elect to begin participating for any subsequent calendar year or years by filing a new Election to Participate.  For all participants who are directors of IBC, all Elections to Participate must be made in compliance with Section 16 of the Securities Exchange Act of 1934, as amended (“Exchange Act”) and the rules and regulations promulgated thereunder.</w:t>
      </w:r>
    </w:p>
    <w:p>
      <w:pPr>
        <w:pStyle w:val="TextBody"/>
        <w:spacing w:before="0" w:after="0"/>
        <w:rPr/>
      </w:pPr>
      <w:r>
        <w:rPr/>
      </w:r>
    </w:p>
    <w:p>
      <w:pPr>
        <w:pStyle w:val="TextBody"/>
        <w:spacing w:before="0" w:after="0"/>
        <w:ind w:left="0" w:right="0" w:firstLine="720"/>
        <w:jc w:val="both"/>
        <w:rPr/>
      </w:pPr>
      <w:r>
        <w:rPr>
          <w:rFonts w:ascii="Times New Roman" w:hAnsi="Times New Roman"/>
          <w:sz w:val="17"/>
        </w:rPr>
        <w:t>7.</w:t>
      </w:r>
      <w:r>
        <w:rPr/>
        <w:t xml:space="preserve">         </w:t>
      </w:r>
      <w:r>
        <w:rPr>
          <w:rFonts w:ascii="Times            New Roman" w:hAnsi="Times            New Roman"/>
          <w:sz w:val="17"/>
          <w:u w:val="single"/>
        </w:rPr>
        <w:t>Contents of Election to Participate</w:t>
      </w:r>
      <w:r>
        <w:rPr>
          <w:rFonts w:ascii="Times New Roman" w:hAnsi="Times New Roman"/>
          <w:sz w:val="17"/>
        </w:rPr>
        <w:t>.  An Election to Participate shall be made on a form prescribed by the Plan Administrator.  The Election to Participate shall indicate the following:  (i) the participant’s Plan Fees; (ii) one of the following three accounts to which the participant wishes to have his or her Plan Fees credited (a) the Current Stock Purchase Account, (b) the Deferred Cash Investment Account, or (c) the Deferred Stock Account; (iii) the name or names of the participant’s beneficiary or beneficiaries; and (iv) if the participant elects the Deferred Stock Account or the Deferred Cash Investment Account, whether distributions are to be in a lump sum or in installments.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0" w:name="DSPFPageBreakArea81"/>
      <w:bookmarkStart w:id="841" w:name="DSPFPageBreakArea81"/>
      <w:bookmarkEnd w:id="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42" w:name="DSPFPageNumber82"/>
      <w:bookmarkStart w:id="843" w:name="DSPFPageNumberArea80"/>
      <w:bookmarkEnd w:id="842"/>
      <w:bookmarkEnd w:id="843"/>
      <w:r>
        <w:rPr>
          <w:rFonts w:ascii="Times New Roman" w:hAnsi="Times New Roman"/>
          <w:b w:val="false"/>
          <w:i w:val="false"/>
          <w:caps w:val="false"/>
          <w:smallCaps w:val="false"/>
          <w:sz w:val="13"/>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44" w:name="DSPFPageBreak81"/>
      <w:bookmarkStart w:id="845" w:name="DSPFPageBreak81"/>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17"/>
        </w:rPr>
        <w:t>8.</w:t>
      </w:r>
      <w:r>
        <w:rPr/>
        <w:t xml:space="preserve">         </w:t>
      </w:r>
      <w:r>
        <w:rPr>
          <w:rFonts w:ascii="Times            New Roman" w:hAnsi="Times            New Roman"/>
          <w:sz w:val="17"/>
          <w:u w:val="single"/>
        </w:rPr>
        <w:t>Credits to Account</w:t>
      </w:r>
      <w:r>
        <w:rPr>
          <w:rFonts w:ascii="Times New Roman" w:hAnsi="Times New Roman"/>
          <w:sz w:val="17"/>
        </w:rPr>
        <w:t>.  On the first day of each calendar quarter (the “Credit Date”), a participant shall receive a credit to his or her account under the Plan in an amount equal to the participant’s Plan Fees earned during that quarter (the “Credited Amount”).  Except as otherwise specifically provided in this Plan, transfers are not permitted between accounts.</w:t>
      </w:r>
    </w:p>
    <w:p>
      <w:pPr>
        <w:pStyle w:val="TextBody"/>
        <w:spacing w:before="0" w:after="0"/>
        <w:rPr/>
      </w:pPr>
      <w:r>
        <w:rPr/>
      </w:r>
    </w:p>
    <w:p>
      <w:pPr>
        <w:pStyle w:val="TextBody"/>
        <w:spacing w:before="0" w:after="0"/>
        <w:ind w:left="0" w:right="0" w:firstLine="720"/>
        <w:jc w:val="both"/>
        <w:rPr/>
      </w:pPr>
      <w:r>
        <w:rPr>
          <w:rFonts w:ascii="Times New Roman" w:hAnsi="Times New Roman"/>
          <w:sz w:val="17"/>
        </w:rPr>
        <w:t>9.</w:t>
      </w:r>
      <w:r>
        <w:rPr/>
        <w:t>          </w:t>
      </w:r>
      <w:r>
        <w:rPr>
          <w:rFonts w:ascii="Times            New Roman" w:hAnsi="Times            New Roman"/>
          <w:sz w:val="17"/>
          <w:u w:val="single"/>
        </w:rPr>
        <w:t>Current Stock Purchase Account</w:t>
      </w:r>
      <w:r>
        <w:rPr>
          <w:rFonts w:ascii="Times New Roman" w:hAnsi="Times New Roman"/>
          <w:sz w:val="17"/>
        </w:rPr>
        <w:t>.  If a participant has in effect on a Credit Date an Election to Participate specifying the Current Stock Purchase Account, on that Credit Date, the Credited Amount will be credited to a Current Stock Purchase Account for the benefit of the participant and will be used, together with any other cash credited to the account, to acquire directly from IBC, at a price per share equal to Fair Market Value on the Credit Date, as many whole shares of IBC Common Stock as possible using the funds credited to the Current Stock Purchase Account of that participant.  The shares will be issued to the participant within five (5) business days after the Credit Date, provided that no shares may be sold, conveyed, assigned, pledged, or otherwise transferred by the participant until the expiration of six (6) months after the Credit Date.  Any Credited Amount remaining in a participant’s account will be carried forward for investment under the terms of the Plan at the next Credit Date, unless a participant shall have terminated his or her participation in the Plan in which case such cash balance will be distributed at the next time shares are to be issued to the participant under this section of the Plan.</w:t>
      </w:r>
    </w:p>
    <w:p>
      <w:pPr>
        <w:pStyle w:val="TextBody"/>
        <w:spacing w:before="0" w:after="0"/>
        <w:rPr/>
      </w:pPr>
      <w:r>
        <w:rPr/>
      </w:r>
    </w:p>
    <w:p>
      <w:pPr>
        <w:pStyle w:val="TextBody"/>
        <w:spacing w:before="0" w:after="0"/>
        <w:ind w:left="0" w:right="0" w:firstLine="720"/>
        <w:jc w:val="both"/>
        <w:rPr/>
      </w:pPr>
      <w:r>
        <w:rPr>
          <w:rFonts w:ascii="Times New Roman" w:hAnsi="Times New Roman"/>
          <w:sz w:val="17"/>
        </w:rPr>
        <w:t>10.</w:t>
      </w:r>
      <w:r>
        <w:rPr/>
        <w:t xml:space="preserve">        </w:t>
      </w:r>
      <w:r>
        <w:rPr>
          <w:rFonts w:ascii="Times            New Roman" w:hAnsi="Times            New Roman"/>
          <w:sz w:val="17"/>
          <w:u w:val="single"/>
        </w:rPr>
        <w:t>Credits to Deferred Cash Investment Account</w:t>
      </w:r>
      <w:r>
        <w:rPr>
          <w:rFonts w:ascii="Times New Roman" w:hAnsi="Times New Roman"/>
          <w:sz w:val="17"/>
        </w:rPr>
        <w:t>.  If a participant has in effect on a Credit Date an Election to Participate specifying the Deferred Cash Investment Account, on that Credit Date, the Credited Amount will be credited to a Deferred Cash Investment Account for the benefit of the participant.  In addition, an “Appreciation Factor” (as herein defined) will be credited on the Credit Date to the account as to all funds that were credited to the account for the entire quarter that ends on the Credit Date just as if such funds had been invested during the quarter and earning at the rate of the applicable Appreciation Factor.  Initially, the Appreciation Factor available under the Plan will be a rate of interest equal to the rate of interest paid by Independent Bank on its 6-month certificates of deposit issued on the business day nearest the beginning of the quarter for which the Appreciation Factor is to be credited.  The Appreciation Factor may be changed from time to time by resolution of the IBC Board of Directors but it may not exceed the prime rate of interest charged by Independent Bank.</w:t>
      </w:r>
    </w:p>
    <w:p>
      <w:pPr>
        <w:pStyle w:val="TextBody"/>
        <w:spacing w:before="0" w:after="0"/>
        <w:rPr/>
      </w:pPr>
      <w:r>
        <w:rPr/>
      </w:r>
    </w:p>
    <w:p>
      <w:pPr>
        <w:pStyle w:val="TextBody"/>
        <w:spacing w:before="0" w:after="0"/>
        <w:ind w:left="0" w:right="0" w:firstLine="720"/>
        <w:jc w:val="both"/>
        <w:rPr/>
      </w:pPr>
      <w:r>
        <w:rPr>
          <w:rFonts w:ascii="Times New Roman" w:hAnsi="Times New Roman"/>
          <w:sz w:val="17"/>
        </w:rPr>
        <w:t>11.</w:t>
      </w:r>
      <w:r>
        <w:rPr/>
        <w:t xml:space="preserve">        </w:t>
      </w:r>
      <w:r>
        <w:rPr>
          <w:rFonts w:ascii="Times            New Roman" w:hAnsi="Times            New Roman"/>
          <w:sz w:val="17"/>
          <w:u w:val="single"/>
        </w:rPr>
        <w:t>Credits to Deferred Stock Account</w:t>
      </w:r>
      <w:r>
        <w:rPr>
          <w:rFonts w:ascii="Times New Roman" w:hAnsi="Times New Roman"/>
          <w:sz w:val="17"/>
        </w:rPr>
        <w:t>.  If a participant has in effect on a Credit Date an Election to Participate specifying the Deferred Stock Account, on that Credit Date, the Credited Amount will be credited to the Deferred Stock Account for that participant and shall be converted into “IBC Stock Units” which shall be equal in number to the number of shares (rounded to the nearest 100th of a share) determined by dividing the Credited Amount by ninety percent (90%) of  the Fair Market Value of a share of IBC Common Stock on the Credit Date.  In addition, each time a dividend is paid on IBC Common Stock, a participant shall receive a credit to his or her Deferred Stock Account.  The amount of the dividend credit shall be a number of IBC Stock Units equal to the number of shares (rounded to the nearest 100th of a share) determined by multiplying the dividend amount per share by the number of IBC Stock Units credited to the participant’s Deferred Stock Account as of the record date for the dividend and dividing the product by the Fair Market Value on the dividend payment date.</w:t>
      </w:r>
    </w:p>
    <w:p>
      <w:pPr>
        <w:pStyle w:val="TextBody"/>
        <w:spacing w:before="0" w:after="0"/>
        <w:ind w:left="0" w:right="0" w:firstLine="72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6" w:name="DSPFPageBreakArea82"/>
      <w:bookmarkStart w:id="847" w:name="DSPFPageBreakArea82"/>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48" w:name="DSPFPageNumber83"/>
      <w:bookmarkStart w:id="849" w:name="DSPFPageNumberArea81"/>
      <w:bookmarkEnd w:id="848"/>
      <w:bookmarkEnd w:id="849"/>
      <w:r>
        <w:rPr>
          <w:rFonts w:ascii="Times New Roman" w:hAnsi="Times New Roman"/>
          <w:b w:val="false"/>
          <w:i w:val="false"/>
          <w:caps w:val="false"/>
          <w:smallCaps w:val="false"/>
          <w:sz w:val="13"/>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0" w:name="DSPFPageBreak82"/>
      <w:bookmarkStart w:id="851" w:name="DSPFPageBreak82"/>
      <w:bookmarkEnd w:id="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r>
        <w:rPr>
          <w:rFonts w:ascii="Times New Roman" w:hAnsi="Times New Roman"/>
          <w:sz w:val="17"/>
        </w:rPr>
        <w:t xml:space="preserve">12.             </w:t>
      </w:r>
      <w:r>
        <w:rPr>
          <w:rFonts w:ascii="Times New            Roman" w:hAnsi="Times New            Roman"/>
          <w:sz w:val="17"/>
          <w:u w:val="single"/>
        </w:rPr>
        <w:t>Distribution of Deferred Account Balances</w:t>
      </w:r>
      <w:r>
        <w:rPr>
          <w:rFonts w:ascii="Times New Roman" w:hAnsi="Times New Roman"/>
          <w:sz w:val="17"/>
        </w:rPr>
        <w:t>.  No amount credited to a participant’s Deferred Cash Investment Account or a participant’s Deferred Stock Account shall be distributed prior to the termination of his or her service as an Eligible Director.</w:t>
      </w:r>
    </w:p>
    <w:p>
      <w:pPr>
        <w:pStyle w:val="TextBody"/>
        <w:spacing w:before="0" w:after="0"/>
        <w:rPr/>
      </w:pPr>
      <w:r>
        <w:rPr/>
      </w:r>
    </w:p>
    <w:p>
      <w:pPr>
        <w:pStyle w:val="TextBody"/>
        <w:spacing w:before="0" w:after="0"/>
        <w:ind w:left="720" w:right="0" w:firstLine="720"/>
        <w:jc w:val="both"/>
        <w:rPr/>
      </w:pPr>
      <w:r>
        <w:rPr>
          <w:rFonts w:ascii="Times New Roman" w:hAnsi="Times New Roman"/>
          <w:sz w:val="17"/>
        </w:rPr>
        <w:t>(a)</w:t>
      </w:r>
      <w:r>
        <w:rPr/>
        <w:t>          </w:t>
      </w:r>
      <w:r>
        <w:rPr>
          <w:rFonts w:ascii="Times New Roman" w:hAnsi="Times New Roman"/>
          <w:sz w:val="17"/>
          <w:u w:val="single"/>
        </w:rPr>
        <w:t>Retirement-Deferred Cash Investment Account</w:t>
      </w:r>
      <w:r>
        <w:rPr>
          <w:rFonts w:ascii="Times New Roman" w:hAnsi="Times New Roman"/>
          <w:sz w:val="17"/>
        </w:rPr>
        <w:t>.  If a participant retires from service as an Eligible Director, the participant’s Deferred Cash Investment Account shall be distributed to the participant commencing as of January 15 of the year which occurs after the end of the year in which the participant retired from service as an Eligible Director.  Distribution of the Deferred Cash Investment Account may be made in a lump sum, in five (5) annual installments or ten (10) annual installments, payable as of January 15 of each year during the distribution period, consistent with the participant’s first filed Election to Participate.  A retired director’s Deferred Cash Investment Account balance during any distribution period shall continue to be adjusted by an Appreciation Factor just as if the director had not retired.  After adjusting the retired director’s Deferred Cash Investment Account by the Appreciation Factor each year, the account balance will be divided by the number of annual installments yet to be paid or distributed to the retired director and the quotient will be the distribution to be made to the retired director at that time.</w:t>
      </w:r>
    </w:p>
    <w:p>
      <w:pPr>
        <w:pStyle w:val="TextBody"/>
        <w:spacing w:before="0" w:after="0"/>
        <w:rPr/>
      </w:pPr>
      <w:r>
        <w:rPr/>
      </w:r>
    </w:p>
    <w:p>
      <w:pPr>
        <w:pStyle w:val="TextBody"/>
        <w:spacing w:before="0" w:after="0"/>
        <w:ind w:left="720" w:right="0" w:firstLine="720"/>
        <w:jc w:val="both"/>
        <w:rPr/>
      </w:pPr>
      <w:r>
        <w:rPr>
          <w:rFonts w:ascii="Times New Roman" w:hAnsi="Times New Roman"/>
          <w:sz w:val="17"/>
        </w:rPr>
        <w:t>(b)</w:t>
      </w:r>
      <w:r>
        <w:rPr/>
        <w:t xml:space="preserve">         </w:t>
      </w:r>
      <w:r>
        <w:rPr>
          <w:rFonts w:ascii="Times New Roman" w:hAnsi="Times New Roman"/>
          <w:sz w:val="17"/>
          <w:u w:val="single"/>
        </w:rPr>
        <w:t>Retirement-Deferred Stock Account - Lump Sum Distribution</w:t>
      </w:r>
      <w:r>
        <w:rPr>
          <w:rFonts w:ascii="Times New Roman" w:hAnsi="Times New Roman"/>
          <w:sz w:val="17"/>
        </w:rPr>
        <w:t>.  Unless a participant has elected pursuant to his or her Election to Participate to receive payment of his or her Deferred Stock Account in installments, IBC Stock Units credited to the participant’s Deferred Stock Account shall be payable, in full, in whole shares of IBC Common Stock (together with cash in lieu of a fractional share), on January 15 of the year which occurs after the end of the fiscal year in which the participant retired from service as an Eligible Director.  Any cash distributed in lieu of fractional shares shall be determined based upon the Fair Market Value of IBC Common Stock on the day immediately preceding the date of payment.</w:t>
      </w:r>
    </w:p>
    <w:p>
      <w:pPr>
        <w:pStyle w:val="TextBody"/>
        <w:spacing w:before="0" w:after="0"/>
        <w:rPr/>
      </w:pPr>
      <w:r>
        <w:rPr/>
      </w:r>
    </w:p>
    <w:p>
      <w:pPr>
        <w:pStyle w:val="TextBody"/>
        <w:spacing w:before="0" w:after="0"/>
        <w:ind w:left="720" w:right="0" w:firstLine="720"/>
        <w:jc w:val="both"/>
        <w:rPr/>
      </w:pPr>
      <w:r>
        <w:rPr>
          <w:rFonts w:ascii="Times New Roman" w:hAnsi="Times New Roman"/>
          <w:sz w:val="17"/>
        </w:rPr>
        <w:t>(c)</w:t>
      </w:r>
      <w:r>
        <w:rPr/>
        <w:t>          </w:t>
      </w:r>
      <w:r>
        <w:rPr>
          <w:rFonts w:ascii="Times New Roman" w:hAnsi="Times New Roman"/>
          <w:sz w:val="17"/>
          <w:u w:val="single"/>
        </w:rPr>
        <w:t>Retirement-Deferred Stock Account-Installment Distribution</w:t>
      </w:r>
      <w:r>
        <w:rPr>
          <w:rFonts w:ascii="Times New Roman" w:hAnsi="Times New Roman"/>
          <w:sz w:val="17"/>
        </w:rPr>
        <w:t>.  If a participant has elected pursuant to his or her Election to Participate to have his or her Deferred Stock Account paid in annual installments, IBC Stock Units credited to the participant’s Deferred Stock Account shall be payable in whole shares of IBC Common Stock (together with cash in lieu of fractional shares) in an amount equal to the number of IBC Stock Units then credited to his or her account, divided by the number of remaining annual installments, consistent with the participant’s effective Election to Participate, the first installment of which shall commence as of January 15 following the year in which the participant retired from service as an Eligible Director.</w:t>
      </w:r>
    </w:p>
    <w:p>
      <w:pPr>
        <w:pStyle w:val="TextBody"/>
        <w:spacing w:before="0" w:after="0"/>
        <w:ind w:left="720" w:right="0" w:firstLine="720"/>
        <w:jc w:val="both"/>
        <w:rPr>
          <w:rFonts w:ascii="Times New Roman" w:hAnsi="Times New Roman"/>
          <w:sz w:val="17"/>
        </w:rPr>
      </w:pPr>
      <w:r>
        <w:rPr>
          <w:rFonts w:ascii="Times New Roman" w:hAnsi="Times New Roman"/>
          <w:sz w:val="17"/>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2" w:name="DSPFPageBreakArea83"/>
      <w:bookmarkStart w:id="853" w:name="DSPFPageBreakArea83"/>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54" w:name="DSPFPageNumber84"/>
      <w:bookmarkStart w:id="855" w:name="DSPFPageNumberArea82"/>
      <w:bookmarkEnd w:id="854"/>
      <w:bookmarkEnd w:id="855"/>
      <w:r>
        <w:rPr>
          <w:rFonts w:ascii="Times New Roman" w:hAnsi="Times New Roman"/>
          <w:b w:val="false"/>
          <w:i w:val="false"/>
          <w:caps w:val="false"/>
          <w:smallCaps w:val="false"/>
          <w:sz w:val="13"/>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6" w:name="DSPFPageBreak83"/>
      <w:bookmarkStart w:id="857" w:name="DSPFPageBreak83"/>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firstLine="720"/>
        <w:jc w:val="both"/>
        <w:rPr/>
      </w:pPr>
      <w:r>
        <w:rPr>
          <w:rFonts w:ascii="Times New Roman" w:hAnsi="Times New Roman"/>
          <w:sz w:val="17"/>
        </w:rPr>
        <w:t>(d)</w:t>
      </w:r>
      <w:r>
        <w:rPr/>
        <w:t xml:space="preserve">         </w:t>
      </w:r>
      <w:r>
        <w:rPr>
          <w:rFonts w:ascii="Times New Roman" w:hAnsi="Times New Roman"/>
          <w:sz w:val="17"/>
          <w:u w:val="single"/>
        </w:rPr>
        <w:t>Termination Other Than Retirement</w:t>
      </w:r>
      <w:r>
        <w:rPr>
          <w:rFonts w:ascii="Times New Roman" w:hAnsi="Times New Roman"/>
          <w:sz w:val="17"/>
        </w:rPr>
        <w:t>.  If a participant’s service as an Eligible Director terminates because of his or her death or if a retired director dies following his or her retirement while receiving distributions pursuant to this Plan, the participant’s entire account balance shall be distributed as of January 15 of the year following the year in which the director died or his or her services as an Eligible Director otherwise terminated.</w:t>
      </w:r>
    </w:p>
    <w:p>
      <w:pPr>
        <w:pStyle w:val="TextBody"/>
        <w:spacing w:before="0" w:after="0"/>
        <w:rPr/>
      </w:pPr>
      <w:r>
        <w:rPr/>
      </w:r>
    </w:p>
    <w:p>
      <w:pPr>
        <w:pStyle w:val="TextBody"/>
        <w:spacing w:before="0" w:after="0"/>
        <w:ind w:left="720" w:right="0" w:firstLine="720"/>
        <w:jc w:val="both"/>
        <w:rPr/>
      </w:pPr>
      <w:r>
        <w:rPr>
          <w:rFonts w:ascii="Times New Roman" w:hAnsi="Times New Roman"/>
          <w:sz w:val="17"/>
        </w:rPr>
        <w:t>(e)</w:t>
      </w:r>
      <w:r>
        <w:rPr/>
        <w:t xml:space="preserve">         </w:t>
      </w:r>
      <w:r>
        <w:rPr>
          <w:rFonts w:ascii="Times New Roman" w:hAnsi="Times New Roman"/>
          <w:sz w:val="17"/>
          <w:u w:val="single"/>
        </w:rPr>
        <w:t>Distributions to Beneficiaries</w:t>
      </w:r>
      <w:r>
        <w:rPr>
          <w:rFonts w:ascii="Times New Roman" w:hAnsi="Times New Roman"/>
          <w:sz w:val="17"/>
        </w:rPr>
        <w:t>.  Each participant shall have the right to designate a beneficiary or beneficiaries to succeed to the right to receive distributions of the participant’s account maintained under this Plan in the event of a participant’s death.  If a participant fails to designate a beneficiary, or if the designated beneficiary dies without a contingent beneficiary being designated, distribution of the participant’s account shall be made to the participant’s estate.  No designation of a beneficiary shall be valid unless in writing signed by the participant, dated and filed with the Plan Administrator.  Designated beneficiaries may be changed from time to time without consent of any prior beneficiaries upon filing the beneficiary portion of the Election to Participate form with the Plan Administrator.</w:t>
      </w:r>
    </w:p>
    <w:p>
      <w:pPr>
        <w:pStyle w:val="TextBody"/>
        <w:spacing w:before="0" w:after="0"/>
        <w:rPr/>
      </w:pPr>
      <w:r>
        <w:rPr/>
      </w:r>
    </w:p>
    <w:p>
      <w:pPr>
        <w:pStyle w:val="TextBody"/>
        <w:spacing w:before="0" w:after="0"/>
        <w:ind w:left="0" w:right="0" w:firstLine="720"/>
        <w:jc w:val="both"/>
        <w:rPr/>
      </w:pPr>
      <w:r>
        <w:rPr>
          <w:rFonts w:ascii="Times New Roman" w:hAnsi="Times New Roman"/>
          <w:sz w:val="17"/>
        </w:rPr>
        <w:t>13.</w:t>
      </w:r>
      <w:r>
        <w:rPr/>
        <w:t xml:space="preserve">        </w:t>
      </w:r>
      <w:r>
        <w:rPr>
          <w:rFonts w:ascii="Times            New Roman" w:hAnsi="Times            New Roman"/>
          <w:sz w:val="17"/>
          <w:u w:val="single"/>
        </w:rPr>
        <w:t>Nonassignability</w:t>
      </w:r>
      <w:r>
        <w:rPr>
          <w:rFonts w:ascii="Times New Roman" w:hAnsi="Times New Roman"/>
          <w:sz w:val="17"/>
        </w:rPr>
        <w:t>.  No right to receive payments under this Plan nor any shares of IBC Common Stock credited to a participant’s Current Stock Purchase or Deferred Stock Account shall be assignable or transferable by participant other than by will or the laws of descent and distribution.  The designation of a beneficiary by a participant under this Plan does not constitute a transfer.</w:t>
      </w:r>
    </w:p>
    <w:p>
      <w:pPr>
        <w:pStyle w:val="TextBody"/>
        <w:spacing w:before="0" w:after="0"/>
        <w:rPr/>
      </w:pPr>
      <w:r>
        <w:rPr/>
      </w:r>
    </w:p>
    <w:p>
      <w:pPr>
        <w:pStyle w:val="TextBody"/>
        <w:spacing w:before="0" w:after="0"/>
        <w:ind w:left="0" w:right="0" w:firstLine="720"/>
        <w:jc w:val="both"/>
        <w:rPr/>
      </w:pPr>
      <w:r>
        <w:rPr>
          <w:rFonts w:ascii="Times New Roman" w:hAnsi="Times New Roman"/>
          <w:sz w:val="17"/>
        </w:rPr>
        <w:t>14.</w:t>
      </w:r>
      <w:r>
        <w:rPr/>
        <w:t xml:space="preserve">        </w:t>
      </w:r>
      <w:r>
        <w:rPr>
          <w:rFonts w:ascii="Times            New Roman" w:hAnsi="Times            New Roman"/>
          <w:sz w:val="17"/>
          <w:u w:val="single"/>
        </w:rPr>
        <w:t>Unfunded Plan</w:t>
      </w:r>
      <w:r>
        <w:rPr>
          <w:rFonts w:ascii="Times New Roman" w:hAnsi="Times New Roman"/>
          <w:sz w:val="17"/>
        </w:rPr>
        <w:t>.  It is intended that this Plan constitute an “unfunded plan” with respect to the Deferred Cash Investment Accounts and the Deferred Stock Accounts of the participants.  IBC may authorize the creation of trusts or other arrangements to meet the obligations created under the Plan as long as IBC determines that the existence of such trusts or other arrangements is consistent with the “unfunded” status of the Plan; provided, however, no such trust shall be an offshore trust or otherwise violate the provisions of Section 409A of the Internal Revenue Code.  Any liability of IBC to any person with respect to any of the accounts established under the Plan shall be based solely upon contractual obligations that may be created pursuant to the Plan.  No such obligation of IBC shall be deemed to be secured by any pledge of, or other encumbrance on, any property of IBC.  Benefits payable under this Plan shall be an unsecured obligation of IBC, and to the extent that any person acquires a right to receive payments or distributions from IBC under the Plan, such right will be no greater than of any unsecured general creditor of IBC.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8" w:name="DSPFPageBreakArea84"/>
      <w:bookmarkStart w:id="859" w:name="DSPFPageBreakArea84"/>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 w:hAnsi="Times New Roman"/>
          <w:b w:val="false"/>
          <w:i w:val="false"/>
          <w:caps w:val="false"/>
          <w:smallCaps w:val="false"/>
          <w:sz w:val="13"/>
        </w:rPr>
      </w:pPr>
      <w:bookmarkStart w:id="860" w:name="DSPFPageNumber85"/>
      <w:bookmarkStart w:id="861" w:name="DSPFPageNumberArea83"/>
      <w:bookmarkEnd w:id="860"/>
      <w:bookmarkEnd w:id="861"/>
      <w:r>
        <w:rPr>
          <w:rFonts w:ascii="Times New Roman" w:hAnsi="Times New Roman"/>
          <w:b w:val="false"/>
          <w:i w:val="false"/>
          <w:caps w:val="false"/>
          <w:smallCaps w:val="false"/>
          <w:sz w:val="13"/>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2" w:name="DSPFPageBreak84"/>
      <w:bookmarkStart w:id="863" w:name="DSPFPageBreak84"/>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17"/>
        </w:rPr>
        <w:t>15.</w:t>
      </w:r>
      <w:r>
        <w:rPr/>
        <w:t xml:space="preserve">       </w:t>
      </w:r>
      <w:r>
        <w:rPr>
          <w:rFonts w:ascii="Times New            Roman" w:hAnsi="Times New            Roman"/>
          <w:sz w:val="17"/>
          <w:u w:val="single"/>
        </w:rPr>
        <w:t>Trust For Deferred Stock Account</w:t>
      </w:r>
      <w:r>
        <w:rPr>
          <w:rFonts w:ascii="Times New Roman" w:hAnsi="Times New Roman"/>
          <w:sz w:val="17"/>
        </w:rPr>
        <w:t>.  If IBC so chooses, it may, as to credits to the Deferred Stock Accounts, make contributions in cash or in shares of IBC Common Stock to a trust; provided, however, no such trust shall be an offshore trust or otherwise violate the provisions of Section 409A of the Internal Revenue Code.  Any cash contributions shall be used by the trustee to purchase shares of IBC Common Stock within ten (10) business days after the deposit of the funds.  The purchase of shares may be made by the trustee in brokerage transactions or by private purchase, including purchase from IBC.  All shares held by the trust shall be held in the name of the trustee.  All IBC Common Stock or cash held in a trust shall be held on a commingled basis and shall be subject to the claims of general creditors of IBC.  All IBC Common Stock held in any such trust shall be voted by the trustee in its discretion.</w:t>
      </w:r>
    </w:p>
    <w:p>
      <w:pPr>
        <w:pStyle w:val="TextBody"/>
        <w:spacing w:before="0" w:after="0"/>
        <w:rPr/>
      </w:pPr>
      <w:r>
        <w:rPr/>
      </w:r>
    </w:p>
    <w:p>
      <w:pPr>
        <w:pStyle w:val="TextBody"/>
        <w:spacing w:before="0" w:after="0"/>
        <w:ind w:left="0" w:right="0" w:firstLine="720"/>
        <w:jc w:val="both"/>
        <w:rPr/>
      </w:pPr>
      <w:r>
        <w:rPr>
          <w:rFonts w:ascii="Times New Roman" w:hAnsi="Times New Roman"/>
          <w:sz w:val="17"/>
        </w:rPr>
        <w:t>16.</w:t>
      </w:r>
      <w:r>
        <w:rPr/>
        <w:t xml:space="preserve">        </w:t>
      </w:r>
      <w:r>
        <w:rPr>
          <w:rFonts w:ascii="Times            New Roman" w:hAnsi="Times            New Roman"/>
          <w:sz w:val="17"/>
          <w:u w:val="single"/>
        </w:rPr>
        <w:t>Fair Market Value Defined</w:t>
      </w:r>
      <w:r>
        <w:rPr>
          <w:rFonts w:ascii="Times New Roman" w:hAnsi="Times New Roman"/>
          <w:sz w:val="17"/>
        </w:rPr>
        <w:t>.  The term “Fair Market Value” as used in this Plan shall mean the consolidated closing bid price per share of IBC Common Stock, as determined in accordance with NASDAQ Marketplace Rules.</w:t>
      </w:r>
    </w:p>
    <w:p>
      <w:pPr>
        <w:pStyle w:val="TextBody"/>
        <w:spacing w:before="0" w:after="0"/>
        <w:rPr/>
      </w:pPr>
      <w:r>
        <w:rPr/>
      </w:r>
    </w:p>
    <w:p>
      <w:pPr>
        <w:pStyle w:val="TextBody"/>
        <w:spacing w:before="0" w:after="0"/>
        <w:ind w:left="0" w:right="0" w:firstLine="720"/>
        <w:jc w:val="both"/>
        <w:rPr/>
      </w:pPr>
      <w:r>
        <w:rPr>
          <w:rFonts w:ascii="Times New Roman" w:hAnsi="Times New Roman"/>
          <w:sz w:val="17"/>
        </w:rPr>
        <w:t>17.</w:t>
      </w:r>
      <w:r>
        <w:rPr/>
        <w:t xml:space="preserve">        </w:t>
      </w:r>
      <w:r>
        <w:rPr>
          <w:rFonts w:ascii="Times            New Roman" w:hAnsi="Times            New Roman"/>
          <w:sz w:val="17"/>
          <w:u w:val="single"/>
        </w:rPr>
        <w:t>Retirement Defined</w:t>
      </w:r>
      <w:r>
        <w:rPr>
          <w:rFonts w:ascii="Times New Roman" w:hAnsi="Times New Roman"/>
          <w:sz w:val="17"/>
        </w:rPr>
        <w:t>.  As used in this Plan, the terms “retirement” and “retire” shall mean voluntary or involuntary resignation, termination of service based upon attainment of a mandatory retirement age or termination of service as a result of not being reelected or any other termination not as a result of death.</w:t>
      </w:r>
    </w:p>
    <w:p>
      <w:pPr>
        <w:pStyle w:val="TextBody"/>
        <w:spacing w:before="0" w:after="0"/>
        <w:rPr/>
      </w:pPr>
      <w:r>
        <w:rPr/>
      </w:r>
    </w:p>
    <w:p>
      <w:pPr>
        <w:pStyle w:val="TextBody"/>
        <w:spacing w:before="0" w:after="0"/>
        <w:ind w:left="0" w:right="0" w:firstLine="720"/>
        <w:jc w:val="both"/>
        <w:rPr/>
      </w:pPr>
      <w:r>
        <w:rPr>
          <w:rFonts w:ascii="Times New Roman" w:hAnsi="Times New Roman"/>
          <w:sz w:val="17"/>
        </w:rPr>
        <w:t>18.</w:t>
      </w:r>
      <w:r>
        <w:rPr/>
        <w:t>          </w:t>
      </w:r>
      <w:r>
        <w:rPr>
          <w:rFonts w:ascii="Times            New Roman" w:hAnsi="Times            New Roman"/>
          <w:sz w:val="17"/>
          <w:u w:val="single"/>
        </w:rPr>
        <w:t>Rules of Construction</w:t>
      </w:r>
      <w:r>
        <w:rPr>
          <w:rFonts w:ascii="Times New Roman" w:hAnsi="Times New Roman"/>
          <w:sz w:val="17"/>
        </w:rPr>
        <w:t>.  Headings are given to the sections of the Plan solely as a convenience to facilitate reference.  The reference to any statute, regulation or provision of law shall be construed to refer to any amendment to or successor of such provision of law.  The Plan shall be construed and interpreted in accordance with Michigan law.  The Plan is intended to be construed so that participation in the Plan will be exempt from Section 16(b) of the Exchange Act pursuant to regulations and interpretations issued from time to time by the Securities and Exchange Commission.</w:t>
      </w:r>
    </w:p>
    <w:p>
      <w:pPr>
        <w:pStyle w:val="TextBody"/>
        <w:spacing w:before="0" w:after="0"/>
        <w:rPr/>
      </w:pPr>
      <w:r>
        <w:rPr/>
      </w:r>
    </w:p>
    <w:p>
      <w:pPr>
        <w:pStyle w:val="TextBody"/>
        <w:spacing w:before="0" w:after="0"/>
        <w:ind w:left="0" w:right="0" w:firstLine="720"/>
        <w:jc w:val="both"/>
        <w:rPr/>
      </w:pPr>
      <w:r>
        <w:rPr>
          <w:rFonts w:ascii="Times New Roman" w:hAnsi="Times New Roman"/>
          <w:sz w:val="17"/>
        </w:rPr>
        <w:t>19.</w:t>
      </w:r>
      <w:r>
        <w:rPr/>
        <w:t xml:space="preserve">        </w:t>
      </w:r>
      <w:r>
        <w:rPr>
          <w:rFonts w:ascii="Times            New Roman" w:hAnsi="Times            New Roman"/>
          <w:sz w:val="17"/>
          <w:u w:val="single"/>
        </w:rPr>
        <w:t>Withholding</w:t>
      </w:r>
      <w:r>
        <w:rPr>
          <w:rFonts w:ascii="Times New Roman" w:hAnsi="Times New Roman"/>
          <w:sz w:val="17"/>
        </w:rPr>
        <w:t>.  No later than the date as of which an amount first becomes includable in the gross income of a participant for federal income tax purposes with respect to any participation under the Plan, the participant shall pay to IBC, or make arrangements satisfactory to IBC regarding the payment of, any federal, state, local or foreign taxes of any kind required by law to be withheld with respect to such amount.</w:t>
      </w:r>
    </w:p>
    <w:p>
      <w:pPr>
        <w:pStyle w:val="TextBody"/>
        <w:spacing w:before="0" w:after="0"/>
        <w:rPr/>
      </w:pPr>
      <w:r>
        <w:rPr/>
      </w:r>
    </w:p>
    <w:p>
      <w:pPr>
        <w:pStyle w:val="TextBody"/>
        <w:spacing w:before="0" w:after="0"/>
        <w:ind w:left="0" w:right="0" w:firstLine="720"/>
        <w:jc w:val="both"/>
        <w:rPr/>
      </w:pPr>
      <w:r>
        <w:rPr>
          <w:rFonts w:ascii="Times New Roman" w:hAnsi="Times New Roman"/>
          <w:sz w:val="17"/>
        </w:rPr>
        <w:t>20.</w:t>
      </w:r>
      <w:r>
        <w:rPr/>
        <w:t xml:space="preserve">        </w:t>
      </w:r>
      <w:r>
        <w:rPr>
          <w:rFonts w:ascii="Times            New Roman" w:hAnsi="Times            New Roman"/>
          <w:sz w:val="17"/>
          <w:u w:val="single"/>
        </w:rPr>
        <w:t>Regulatory Restrictions</w:t>
      </w:r>
      <w:r>
        <w:rPr>
          <w:rFonts w:ascii="Times New Roman" w:hAnsi="Times New Roman"/>
          <w:sz w:val="17"/>
        </w:rPr>
        <w:t>.  All certificates for shares of IBC Common Stock or other securities delivered under the Plan shall be subject to such stock transfer orders and other restrictions as IBC may deem advisable under the rules, regulations and other requirements of IBC, any stock exchange or stock market upon which the IBC Common Stock is then listed or traded and any applicable Federal, state or foreign securities law, and IBC may cause a legend or legends to be placed on any such certificates to make appropriate reference to such restrictions.</w:t>
      </w:r>
    </w:p>
    <w:p>
      <w:pPr>
        <w:pStyle w:val="TextBody"/>
        <w:spacing w:before="0" w:after="0"/>
        <w:rPr/>
      </w:pPr>
      <w:r>
        <w:rPr/>
      </w:r>
    </w:p>
    <w:p>
      <w:pPr>
        <w:pStyle w:val="TextBody"/>
        <w:spacing w:before="0" w:after="0"/>
        <w:ind w:left="0" w:right="0" w:firstLine="720"/>
        <w:jc w:val="both"/>
        <w:rPr/>
      </w:pPr>
      <w:r>
        <w:rPr>
          <w:rFonts w:ascii="Times New Roman" w:hAnsi="Times New Roman"/>
          <w:sz w:val="17"/>
        </w:rPr>
        <w:t>21.</w:t>
      </w:r>
      <w:r>
        <w:rPr/>
        <w:t xml:space="preserve">        </w:t>
      </w:r>
      <w:r>
        <w:rPr>
          <w:rFonts w:ascii="Times            New Roman" w:hAnsi="Times            New Roman"/>
          <w:sz w:val="17"/>
          <w:u w:val="single"/>
        </w:rPr>
        <w:t>Amendment and Termination</w:t>
      </w:r>
      <w:r>
        <w:rPr>
          <w:rFonts w:ascii="Times New Roman" w:hAnsi="Times New Roman"/>
          <w:sz w:val="17"/>
        </w:rPr>
        <w:t>.  The IBC Board of Directors may at any time terminate, suspend or amend this Plan.  However, no such action shall be taken with respect to Plan Fees credited to the account of a participant under this Plan prior to the time of the action unless the IBC Board of Directors determines that the action would not be materially adverse to the participants in the Plan.</w:t>
      </w:r>
    </w:p>
    <w:p>
      <w:pPr>
        <w:pStyle w:val="TextBody"/>
        <w:spacing w:before="0" w:after="0"/>
        <w:rPr/>
      </w:pPr>
      <w:r>
        <w:rPr/>
      </w:r>
    </w:p>
    <w:p>
      <w:pPr>
        <w:pStyle w:val="TextBody"/>
        <w:spacing w:before="0" w:after="0"/>
        <w:ind w:left="0" w:right="0" w:firstLine="720"/>
        <w:jc w:val="both"/>
        <w:rPr/>
      </w:pPr>
      <w:r>
        <w:rPr>
          <w:rFonts w:ascii="Times New Roman" w:hAnsi="Times New Roman"/>
          <w:sz w:val="17"/>
        </w:rPr>
        <w:t>22.</w:t>
      </w:r>
      <w:r>
        <w:rPr/>
        <w:t xml:space="preserve">        </w:t>
      </w:r>
      <w:r>
        <w:rPr>
          <w:rFonts w:ascii="Times            New Roman" w:hAnsi="Times            New Roman"/>
          <w:sz w:val="17"/>
          <w:u w:val="single"/>
        </w:rPr>
        <w:t>Effective Date of Plan</w:t>
      </w:r>
      <w:r>
        <w:rPr>
          <w:rFonts w:ascii="Times New Roman" w:hAnsi="Times New Roman"/>
          <w:sz w:val="17"/>
        </w:rPr>
        <w:t>.  The Plan became effective on April 1, 1997 and was amended and restated in its entirety as of March 8, 2011, and amended as of March 19, 2019.</w:t>
      </w:r>
    </w:p>
    <w:p>
      <w:pPr>
        <w:pStyle w:val="TextBody"/>
        <w:spacing w:before="0" w:after="0"/>
        <w:jc w:val="both"/>
        <w:rPr>
          <w:rFonts w:ascii="Times New Roman" w:hAnsi="Times New Roman"/>
          <w:sz w:val="17"/>
        </w:rPr>
      </w:pPr>
      <w:r>
        <w:rPr>
          <w:rFonts w:ascii="Times New Roman" w:hAnsi="Times New Roman"/>
          <w:sz w:val="17"/>
        </w:rPr>
      </w:r>
    </w:p>
    <w:p>
      <w:pPr>
        <w:pStyle w:val="TextBody"/>
        <w:spacing w:before="0" w:after="0"/>
        <w:rPr>
          <w:rFonts w:ascii="Times New Roman" w:hAnsi="Times New Roman"/>
          <w:sz w:val="17"/>
        </w:rPr>
      </w:pPr>
      <w:r>
        <w:rPr>
          <w:rFonts w:ascii="Times New Roman" w:hAnsi="Times New Roman"/>
          <w:sz w:val="17"/>
        </w:rPr>
      </w:r>
    </w:p>
    <w:p>
      <w:pPr>
        <w:pStyle w:val="TextBody"/>
        <w:spacing w:before="0" w:after="0"/>
        <w:jc w:val="center"/>
        <w:rPr>
          <w:rFonts w:ascii="Times New Roman" w:hAnsi="Times New Roman"/>
          <w:b w:val="false"/>
          <w:i w:val="false"/>
          <w:caps w:val="false"/>
          <w:smallCaps w:val="false"/>
          <w:sz w:val="13"/>
        </w:rPr>
      </w:pPr>
      <w:bookmarkStart w:id="864" w:name="DSPFPageNumber86"/>
      <w:bookmarkEnd w:id="864"/>
      <w:r>
        <w:rPr>
          <w:rFonts w:ascii="Times New Roman" w:hAnsi="Times New Roman"/>
          <w:b w:val="false"/>
          <w:i w:val="false"/>
          <w:caps w:val="false"/>
          <w:smallCaps w:val="false"/>
          <w:sz w:val="13"/>
        </w:rPr>
        <w:t>6</w:t>
      </w:r>
    </w:p>
    <w:p>
      <w:pPr>
        <w:pStyle w:val="HorizontalLine"/>
        <w:pBdr>
          <w:bottom w:val="single" w:sz="20" w:space="0" w:color="808080"/>
        </w:pBdr>
        <w:jc w:val="both"/>
        <w:rPr/>
      </w:pPr>
      <w:r>
        <w:rPr/>
      </w:r>
      <w:r>
        <w:br w:type="page"/>
      </w:r>
    </w:p>
    <w:p>
      <w:pPr>
        <w:pStyle w:val="HorizontalLine"/>
        <w:pBdr>
          <w:bottom w:val="single" w:sz="20" w:space="0" w:color="808080"/>
        </w:pBdr>
        <w:rPr/>
      </w:pPr>
      <w:r>
        <w:rPr/>
      </w:r>
      <w:bookmarkStart w:id="865" w:name="ex31_1.htm"/>
      <w:bookmarkStart w:id="866" w:name="ksex31_1"/>
      <w:bookmarkStart w:id="867" w:name="ex31_1.htm"/>
      <w:bookmarkStart w:id="868" w:name="ksex31_1"/>
      <w:bookmarkEnd w:id="867"/>
      <w:bookmarkEnd w:id="868"/>
    </w:p>
    <w:p>
      <w:pPr>
        <w:pStyle w:val="TextBody"/>
        <w:spacing w:before="0" w:after="0"/>
        <w:jc w:val="right"/>
        <w:rPr>
          <w:rFonts w:ascii="Times New Roman" w:hAnsi="Times New Roman"/>
          <w:sz w:val="17"/>
        </w:rPr>
      </w:pPr>
      <w:r>
        <w:rPr>
          <w:rFonts w:ascii="Times New Roman" w:hAnsi="Times New Roman"/>
          <w:sz w:val="17"/>
        </w:rPr>
        <w:t>EXHIBIT 31.1</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CERTIFICATION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 William B. Kessel, certify that:</w:t>
      </w:r>
    </w:p>
    <w:p>
      <w:pPr>
        <w:pStyle w:val="TextBody"/>
        <w:spacing w:before="0" w:after="0"/>
        <w:rPr/>
      </w:pPr>
      <w:r>
        <w:rPr/>
      </w:r>
    </w:p>
    <w:tbl>
      <w:tblPr>
        <w:tblW w:w="6235" w:type="dxa"/>
        <w:jc w:val="left"/>
        <w:tblInd w:w="0" w:type="dxa"/>
        <w:tblCellMar>
          <w:top w:w="0" w:type="dxa"/>
          <w:left w:w="0" w:type="dxa"/>
          <w:bottom w:w="0" w:type="dxa"/>
          <w:right w:w="0" w:type="dxa"/>
        </w:tblCellMar>
      </w:tblPr>
      <w:tblGrid>
        <w:gridCol w:w="170"/>
        <w:gridCol w:w="6065"/>
      </w:tblGrid>
      <w:tr>
        <w:trPr/>
        <w:tc>
          <w:tcPr>
            <w:tcW w:w="17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6065"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I have reviewed this quarterly report on Form 10-Q of Independent Bank Corporation;</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10061"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3.</w:t>
            </w:r>
          </w:p>
        </w:tc>
        <w:tc>
          <w:tcPr>
            <w:tcW w:w="10059"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4.</w:t>
            </w:r>
          </w:p>
        </w:tc>
        <w:tc>
          <w:tcPr>
            <w:tcW w:w="10062"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left"/>
        <w:tblInd w:w="0" w:type="dxa"/>
        <w:tblCellMar>
          <w:top w:w="0" w:type="dxa"/>
          <w:left w:w="0" w:type="dxa"/>
          <w:bottom w:w="0" w:type="dxa"/>
          <w:right w:w="0" w:type="dxa"/>
        </w:tblCellMar>
      </w:tblPr>
      <w:tblGrid>
        <w:gridCol w:w="38"/>
        <w:gridCol w:w="117"/>
        <w:gridCol w:w="10050"/>
      </w:tblGrid>
      <w:tr>
        <w:trPr/>
        <w:tc>
          <w:tcPr>
            <w:tcW w:w="38" w:type="dxa"/>
            <w:tcBorders/>
            <w:shd w:fill="auto" w:val="clear"/>
            <w:vAlign w:val="center"/>
          </w:tcPr>
          <w:p>
            <w:pPr>
              <w:pStyle w:val="TableContents"/>
              <w:spacing w:before="0" w:after="283"/>
              <w:rPr/>
            </w:pPr>
            <w:r>
              <w:rPr/>
            </w:r>
          </w:p>
        </w:tc>
        <w:tc>
          <w:tcPr>
            <w:tcW w:w="11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a)</w:t>
            </w:r>
          </w:p>
        </w:tc>
        <w:tc>
          <w:tcPr>
            <w:tcW w:w="1005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38"/>
        <w:gridCol w:w="133"/>
        <w:gridCol w:w="10034"/>
      </w:tblGrid>
      <w:tr>
        <w:trPr/>
        <w:tc>
          <w:tcPr>
            <w:tcW w:w="38" w:type="dxa"/>
            <w:tcBorders/>
            <w:shd w:fill="auto" w:val="clear"/>
            <w:vAlign w:val="center"/>
          </w:tcPr>
          <w:p>
            <w:pPr>
              <w:pStyle w:val="TableContents"/>
              <w:spacing w:before="0" w:after="283"/>
              <w:rPr/>
            </w:pPr>
            <w:r>
              <w:rPr/>
            </w:r>
          </w:p>
        </w:tc>
        <w:tc>
          <w:tcPr>
            <w:tcW w:w="133"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b)</w:t>
            </w:r>
          </w:p>
        </w:tc>
        <w:tc>
          <w:tcPr>
            <w:tcW w:w="10034"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pPr>
            <w:r>
              <w:rPr/>
            </w:r>
          </w:p>
        </w:tc>
        <w:tc>
          <w:tcPr>
            <w:tcW w:w="12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c)</w:t>
            </w:r>
          </w:p>
        </w:tc>
        <w:tc>
          <w:tcPr>
            <w:tcW w:w="10042"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38"/>
        <w:gridCol w:w="132"/>
        <w:gridCol w:w="10035"/>
      </w:tblGrid>
      <w:tr>
        <w:trPr/>
        <w:tc>
          <w:tcPr>
            <w:tcW w:w="38"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d)</w:t>
            </w:r>
          </w:p>
        </w:tc>
        <w:tc>
          <w:tcPr>
            <w:tcW w:w="10035"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5.</w:t>
            </w:r>
          </w:p>
        </w:tc>
        <w:tc>
          <w:tcPr>
            <w:tcW w:w="10058"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38"/>
        <w:gridCol w:w="127"/>
        <w:gridCol w:w="10040"/>
      </w:tblGrid>
      <w:tr>
        <w:trPr/>
        <w:tc>
          <w:tcPr>
            <w:tcW w:w="38" w:type="dxa"/>
            <w:tcBorders/>
            <w:shd w:fill="auto" w:val="clear"/>
            <w:vAlign w:val="center"/>
          </w:tcPr>
          <w:p>
            <w:pPr>
              <w:pStyle w:val="TableContents"/>
              <w:spacing w:before="0" w:after="283"/>
              <w:rPr/>
            </w:pPr>
            <w:r>
              <w:rPr/>
            </w:r>
          </w:p>
        </w:tc>
        <w:tc>
          <w:tcPr>
            <w:tcW w:w="12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a)</w:t>
            </w:r>
          </w:p>
        </w:tc>
        <w:tc>
          <w:tcPr>
            <w:tcW w:w="1004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b)</w:t>
            </w:r>
          </w:p>
        </w:tc>
        <w:tc>
          <w:tcPr>
            <w:tcW w:w="10007"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any fraud, whether or not material, that involves management or other employees who have a significant role in the registrant’s internal controls over financial reporting.</w:t>
            </w:r>
          </w:p>
        </w:tc>
      </w:tr>
    </w:tbl>
    <w:p>
      <w:pPr>
        <w:pStyle w:val="TextBody"/>
        <w:spacing w:before="0" w:after="0"/>
        <w:rPr/>
      </w:pPr>
      <w:r>
        <w:rPr/>
      </w:r>
    </w:p>
    <w:tbl>
      <w:tblPr>
        <w:tblW w:w="4330" w:type="dxa"/>
        <w:jc w:val="left"/>
        <w:tblInd w:w="0" w:type="dxa"/>
        <w:tblCellMar>
          <w:top w:w="0" w:type="dxa"/>
          <w:left w:w="0" w:type="dxa"/>
          <w:bottom w:w="0" w:type="dxa"/>
          <w:right w:w="0" w:type="dxa"/>
        </w:tblCellMar>
      </w:tblPr>
      <w:tblGrid>
        <w:gridCol w:w="1415"/>
        <w:gridCol w:w="2915"/>
      </w:tblGrid>
      <w:tr>
        <w:trPr/>
        <w:tc>
          <w:tcPr>
            <w:tcW w:w="141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INDEPENDENT BANK CORPORATION</w:t>
            </w:r>
          </w:p>
        </w:tc>
      </w:tr>
      <w:tr>
        <w:trPr/>
        <w:tc>
          <w:tcPr>
            <w:tcW w:w="141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  May  3, 2019</w:t>
            </w:r>
          </w:p>
        </w:tc>
        <w:tc>
          <w:tcPr>
            <w:tcW w:w="2915" w:type="dxa"/>
            <w:tcBorders/>
            <w:shd w:fill="auto" w:val="clear"/>
            <w:vAlign w:val="center"/>
          </w:tcPr>
          <w:p>
            <w:pPr>
              <w:pStyle w:val="TableContents"/>
              <w:spacing w:before="0" w:after="0"/>
              <w:jc w:val="left"/>
              <w:rPr>
                <w:rFonts w:ascii="Times New Roman" w:hAnsi="Times New Roman"/>
                <w:sz w:val="17"/>
                <w:u w:val="single"/>
              </w:rPr>
            </w:pPr>
            <w:r>
              <w:rPr>
                <w:rFonts w:ascii="Times New Roman" w:hAnsi="Times New Roman"/>
                <w:sz w:val="17"/>
                <w:u w:val="single"/>
              </w:rPr>
              <w:t>/s/  William B. Kessel</w:t>
            </w:r>
          </w:p>
        </w:tc>
      </w:tr>
      <w:tr>
        <w:trPr/>
        <w:tc>
          <w:tcPr>
            <w:tcW w:w="141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William B. Kessel</w:t>
            </w:r>
          </w:p>
        </w:tc>
      </w:tr>
      <w:tr>
        <w:trPr/>
        <w:tc>
          <w:tcPr>
            <w:tcW w:w="141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President and Chief Executive Officer</w:t>
            </w:r>
          </w:p>
        </w:tc>
      </w:tr>
    </w:tbl>
    <w:p>
      <w:pPr>
        <w:pStyle w:val="TextBody"/>
        <w:spacing w:before="0" w:after="0"/>
        <w:rPr>
          <w:rFonts w:ascii="Times New Roman" w:hAnsi="Times New Roman"/>
          <w:sz w:val="17"/>
        </w:rPr>
      </w:pPr>
      <w:r>
        <w:rPr>
          <w:rFonts w:ascii="Times New Roman" w:hAnsi="Times New Roman"/>
          <w:sz w:val="17"/>
        </w:rPr>
      </w:r>
    </w:p>
    <w:p>
      <w:pPr>
        <w:pStyle w:val="TextBody"/>
        <w:spacing w:before="0" w:after="0"/>
        <w:jc w:val="left"/>
        <w:rPr>
          <w:rFonts w:ascii="Times New Roman" w:hAnsi="Times New Roman"/>
          <w:sz w:val="17"/>
        </w:rPr>
      </w:pPr>
      <w:r>
        <w:rPr>
          <w:rFonts w:ascii="Times New Roman" w:hAnsi="Times New Roman"/>
          <w:sz w:val="17"/>
        </w:rPr>
      </w:r>
    </w:p>
    <w:p>
      <w:pPr>
        <w:pStyle w:val="HorizontalLine"/>
        <w:pBdr>
          <w:bottom w:val="single" w:sz="20" w:space="0" w:color="808080"/>
        </w:pBdr>
        <w:jc w:val="right"/>
        <w:rPr/>
      </w:pPr>
      <w:r>
        <w:rPr/>
      </w:r>
    </w:p>
    <w:p>
      <w:pPr>
        <w:pStyle w:val="TextBody"/>
        <w:jc w:val="right"/>
        <w:rPr/>
      </w:pPr>
      <w:r>
        <w:rPr/>
        <w:t> </w:t>
      </w:r>
      <w:r>
        <w:br w:type="page"/>
      </w:r>
    </w:p>
    <w:p>
      <w:pPr>
        <w:pStyle w:val="HorizontalLine"/>
        <w:pBdr>
          <w:bottom w:val="single" w:sz="20" w:space="0" w:color="808080"/>
        </w:pBdr>
        <w:rPr/>
      </w:pPr>
      <w:r>
        <w:rPr/>
      </w:r>
      <w:bookmarkStart w:id="869" w:name="ex31_2.htm"/>
      <w:bookmarkStart w:id="870" w:name="ksex31_2"/>
      <w:bookmarkStart w:id="871" w:name="ex31_2.htm"/>
      <w:bookmarkStart w:id="872" w:name="ksex31_2"/>
      <w:bookmarkEnd w:id="871"/>
      <w:bookmarkEnd w:id="872"/>
    </w:p>
    <w:p>
      <w:pPr>
        <w:pStyle w:val="TextBody"/>
        <w:spacing w:before="0" w:after="0"/>
        <w:jc w:val="right"/>
        <w:rPr>
          <w:rFonts w:ascii="Times New Roman" w:hAnsi="Times New Roman"/>
          <w:sz w:val="17"/>
        </w:rPr>
      </w:pPr>
      <w:r>
        <w:rPr>
          <w:rFonts w:ascii="Times New Roman" w:hAnsi="Times New Roman"/>
          <w:sz w:val="17"/>
        </w:rPr>
        <w:t>EXHIBIT 31.2</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CERTIFICATION</w:t>
      </w:r>
    </w:p>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I, Robert N. Shuster, certify that:</w:t>
      </w:r>
    </w:p>
    <w:p>
      <w:pPr>
        <w:pStyle w:val="TextBody"/>
        <w:spacing w:before="0" w:after="0"/>
        <w:rPr/>
      </w:pPr>
      <w:r>
        <w:rPr/>
      </w:r>
    </w:p>
    <w:tbl>
      <w:tblPr>
        <w:tblW w:w="6235" w:type="dxa"/>
        <w:jc w:val="left"/>
        <w:tblInd w:w="0" w:type="dxa"/>
        <w:tblCellMar>
          <w:top w:w="0" w:type="dxa"/>
          <w:left w:w="0" w:type="dxa"/>
          <w:bottom w:w="0" w:type="dxa"/>
          <w:right w:w="0" w:type="dxa"/>
        </w:tblCellMar>
      </w:tblPr>
      <w:tblGrid>
        <w:gridCol w:w="170"/>
        <w:gridCol w:w="6065"/>
      </w:tblGrid>
      <w:tr>
        <w:trPr/>
        <w:tc>
          <w:tcPr>
            <w:tcW w:w="17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1.</w:t>
            </w:r>
          </w:p>
        </w:tc>
        <w:tc>
          <w:tcPr>
            <w:tcW w:w="6065"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I have reviewed this quarterly report on Form 10-Q of Independent Bank Corporation;</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2.</w:t>
            </w:r>
          </w:p>
        </w:tc>
        <w:tc>
          <w:tcPr>
            <w:tcW w:w="10061"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3.</w:t>
            </w:r>
          </w:p>
        </w:tc>
        <w:tc>
          <w:tcPr>
            <w:tcW w:w="10059"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4.</w:t>
            </w:r>
          </w:p>
        </w:tc>
        <w:tc>
          <w:tcPr>
            <w:tcW w:w="10062"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left"/>
        <w:tblInd w:w="0" w:type="dxa"/>
        <w:tblCellMar>
          <w:top w:w="0" w:type="dxa"/>
          <w:left w:w="0" w:type="dxa"/>
          <w:bottom w:w="0" w:type="dxa"/>
          <w:right w:w="0" w:type="dxa"/>
        </w:tblCellMar>
      </w:tblPr>
      <w:tblGrid>
        <w:gridCol w:w="38"/>
        <w:gridCol w:w="117"/>
        <w:gridCol w:w="10050"/>
      </w:tblGrid>
      <w:tr>
        <w:trPr/>
        <w:tc>
          <w:tcPr>
            <w:tcW w:w="38" w:type="dxa"/>
            <w:tcBorders/>
            <w:shd w:fill="auto" w:val="clear"/>
            <w:vAlign w:val="center"/>
          </w:tcPr>
          <w:p>
            <w:pPr>
              <w:pStyle w:val="TableContents"/>
              <w:spacing w:before="0" w:after="283"/>
              <w:rPr/>
            </w:pPr>
            <w:r>
              <w:rPr/>
            </w:r>
          </w:p>
        </w:tc>
        <w:tc>
          <w:tcPr>
            <w:tcW w:w="11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a)</w:t>
            </w:r>
          </w:p>
        </w:tc>
        <w:tc>
          <w:tcPr>
            <w:tcW w:w="1005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38"/>
        <w:gridCol w:w="133"/>
        <w:gridCol w:w="10034"/>
      </w:tblGrid>
      <w:tr>
        <w:trPr/>
        <w:tc>
          <w:tcPr>
            <w:tcW w:w="38" w:type="dxa"/>
            <w:tcBorders/>
            <w:shd w:fill="auto" w:val="clear"/>
            <w:vAlign w:val="center"/>
          </w:tcPr>
          <w:p>
            <w:pPr>
              <w:pStyle w:val="TableContents"/>
              <w:spacing w:before="0" w:after="283"/>
              <w:rPr/>
            </w:pPr>
            <w:r>
              <w:rPr/>
            </w:r>
          </w:p>
        </w:tc>
        <w:tc>
          <w:tcPr>
            <w:tcW w:w="133"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b)</w:t>
            </w:r>
          </w:p>
        </w:tc>
        <w:tc>
          <w:tcPr>
            <w:tcW w:w="10034"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pPr>
            <w:r>
              <w:rPr/>
            </w:r>
          </w:p>
        </w:tc>
        <w:tc>
          <w:tcPr>
            <w:tcW w:w="125"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c)</w:t>
            </w:r>
          </w:p>
        </w:tc>
        <w:tc>
          <w:tcPr>
            <w:tcW w:w="10042"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38"/>
        <w:gridCol w:w="132"/>
        <w:gridCol w:w="10035"/>
      </w:tblGrid>
      <w:tr>
        <w:trPr/>
        <w:tc>
          <w:tcPr>
            <w:tcW w:w="38"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d)</w:t>
            </w:r>
          </w:p>
        </w:tc>
        <w:tc>
          <w:tcPr>
            <w:tcW w:w="10035"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5.</w:t>
            </w:r>
          </w:p>
        </w:tc>
        <w:tc>
          <w:tcPr>
            <w:tcW w:w="10058"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38"/>
        <w:gridCol w:w="127"/>
        <w:gridCol w:w="10040"/>
      </w:tblGrid>
      <w:tr>
        <w:trPr/>
        <w:tc>
          <w:tcPr>
            <w:tcW w:w="38" w:type="dxa"/>
            <w:tcBorders/>
            <w:shd w:fill="auto" w:val="clear"/>
            <w:vAlign w:val="center"/>
          </w:tcPr>
          <w:p>
            <w:pPr>
              <w:pStyle w:val="TableContents"/>
              <w:spacing w:before="0" w:after="283"/>
              <w:rPr/>
            </w:pPr>
            <w:r>
              <w:rPr/>
            </w:r>
          </w:p>
        </w:tc>
        <w:tc>
          <w:tcPr>
            <w:tcW w:w="127"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a)</w:t>
            </w:r>
          </w:p>
        </w:tc>
        <w:tc>
          <w:tcPr>
            <w:tcW w:w="10040" w:type="dxa"/>
            <w:tcBorders/>
            <w:shd w:fill="auto" w:val="clear"/>
            <w:vAlign w:val="center"/>
          </w:tcPr>
          <w:p>
            <w:pPr>
              <w:pStyle w:val="TableContents"/>
              <w:spacing w:before="0" w:after="0"/>
              <w:jc w:val="both"/>
              <w:rPr>
                <w:rFonts w:ascii="Times New Roman" w:hAnsi="Times New Roman"/>
                <w:sz w:val="17"/>
              </w:rPr>
            </w:pP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rFonts w:ascii="Times New Roman" w:hAnsi="Times New Roman"/>
                <w:sz w:val="17"/>
              </w:rPr>
            </w:pPr>
            <w:r>
              <w:rPr>
                <w:rFonts w:ascii="Times New Roman" w:hAnsi="Times New Roman"/>
                <w:sz w:val="17"/>
              </w:rPr>
              <w:t>b)</w:t>
            </w:r>
          </w:p>
        </w:tc>
        <w:tc>
          <w:tcPr>
            <w:tcW w:w="10007"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any fraud, whether or not material, that involves management or other employees who have a significant role in the registrant’s internal controls over financial reporting.</w:t>
            </w:r>
          </w:p>
        </w:tc>
      </w:tr>
    </w:tbl>
    <w:p>
      <w:pPr>
        <w:pStyle w:val="TextBody"/>
        <w:spacing w:before="0" w:after="0"/>
        <w:rPr/>
      </w:pPr>
      <w:r>
        <w:rPr/>
      </w:r>
    </w:p>
    <w:tbl>
      <w:tblPr>
        <w:tblW w:w="4285" w:type="dxa"/>
        <w:jc w:val="left"/>
        <w:tblInd w:w="0" w:type="dxa"/>
        <w:tblCellMar>
          <w:top w:w="0" w:type="dxa"/>
          <w:left w:w="0" w:type="dxa"/>
          <w:bottom w:w="0" w:type="dxa"/>
          <w:right w:w="0" w:type="dxa"/>
        </w:tblCellMar>
      </w:tblPr>
      <w:tblGrid>
        <w:gridCol w:w="1370"/>
        <w:gridCol w:w="2915"/>
      </w:tblGrid>
      <w:tr>
        <w:trPr/>
        <w:tc>
          <w:tcPr>
            <w:tcW w:w="137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INDEPENDENT BANK CORPORATION</w:t>
            </w:r>
          </w:p>
        </w:tc>
      </w:tr>
      <w:tr>
        <w:trPr/>
        <w:tc>
          <w:tcPr>
            <w:tcW w:w="137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  May 3, 2019</w:t>
            </w:r>
          </w:p>
        </w:tc>
        <w:tc>
          <w:tcPr>
            <w:tcW w:w="2915" w:type="dxa"/>
            <w:tcBorders/>
            <w:shd w:fill="auto" w:val="clear"/>
            <w:vAlign w:val="center"/>
          </w:tcPr>
          <w:p>
            <w:pPr>
              <w:pStyle w:val="TableContents"/>
              <w:spacing w:before="0" w:after="0"/>
              <w:jc w:val="left"/>
              <w:rPr>
                <w:rFonts w:ascii="Times New Roman" w:hAnsi="Times New Roman"/>
                <w:sz w:val="17"/>
                <w:u w:val="single"/>
              </w:rPr>
            </w:pPr>
            <w:r>
              <w:rPr>
                <w:rFonts w:ascii="Times New Roman" w:hAnsi="Times New Roman"/>
                <w:sz w:val="17"/>
                <w:u w:val="single"/>
              </w:rPr>
              <w:t>/s/  Robert N. Shuster</w:t>
            </w:r>
          </w:p>
        </w:tc>
      </w:tr>
      <w:tr>
        <w:trPr/>
        <w:tc>
          <w:tcPr>
            <w:tcW w:w="137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Robert N. Shuster</w:t>
            </w:r>
          </w:p>
        </w:tc>
      </w:tr>
      <w:tr>
        <w:trPr/>
        <w:tc>
          <w:tcPr>
            <w:tcW w:w="137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873" w:name="ex32_1.htm"/>
      <w:bookmarkStart w:id="874" w:name="ksex32_1"/>
      <w:bookmarkStart w:id="875" w:name="ex32_1.htm"/>
      <w:bookmarkStart w:id="876" w:name="ksex32_1"/>
      <w:bookmarkEnd w:id="875"/>
      <w:bookmarkEnd w:id="876"/>
    </w:p>
    <w:p>
      <w:pPr>
        <w:pStyle w:val="TextBody"/>
        <w:spacing w:before="0" w:after="0"/>
        <w:jc w:val="right"/>
        <w:rPr>
          <w:rFonts w:ascii="Times New Roman" w:hAnsi="Times New Roman"/>
          <w:sz w:val="17"/>
        </w:rPr>
      </w:pPr>
      <w:r>
        <w:rPr>
          <w:rFonts w:ascii="Times New Roman" w:hAnsi="Times New Roman"/>
          <w:sz w:val="17"/>
        </w:rPr>
        <w:t>EXHIBIT 32.1</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CERTIFICATE OF THE</w:t>
      </w:r>
    </w:p>
    <w:p>
      <w:pPr>
        <w:pStyle w:val="TextBody"/>
        <w:spacing w:before="0" w:after="0"/>
        <w:jc w:val="center"/>
        <w:rPr>
          <w:rFonts w:ascii="Times New Roman" w:hAnsi="Times New Roman"/>
          <w:sz w:val="17"/>
        </w:rPr>
      </w:pPr>
      <w:r>
        <w:rPr>
          <w:rFonts w:ascii="Times New Roman" w:hAnsi="Times New Roman"/>
          <w:sz w:val="17"/>
        </w:rPr>
        <w:t>CHIEF EXECUTIVE OFFICER OF</w:t>
      </w:r>
    </w:p>
    <w:p>
      <w:pPr>
        <w:pStyle w:val="TextBody"/>
        <w:spacing w:before="0" w:after="0"/>
        <w:jc w:val="center"/>
        <w:rPr>
          <w:rFonts w:ascii="Times New Roman" w:hAnsi="Times New Roman"/>
          <w:sz w:val="17"/>
        </w:rPr>
      </w:pPr>
      <w:r>
        <w:rPr>
          <w:rFonts w:ascii="Times New Roman" w:hAnsi="Times New Roman"/>
          <w:sz w:val="17"/>
        </w:rPr>
        <w:t>INDEPENDENT BANK CORPORATION</w:t>
      </w:r>
    </w:p>
    <w:p>
      <w:pPr>
        <w:pStyle w:val="TextBody"/>
        <w:spacing w:before="0" w:after="0"/>
        <w:rPr/>
      </w:pPr>
      <w:r>
        <w:rPr/>
      </w:r>
    </w:p>
    <w:p>
      <w:pPr>
        <w:pStyle w:val="TextBody"/>
        <w:spacing w:before="0" w:after="0"/>
        <w:ind w:left="0" w:right="0" w:firstLine="720"/>
        <w:jc w:val="left"/>
        <w:rPr>
          <w:rFonts w:ascii="Times New Roman" w:hAnsi="Times New Roman"/>
          <w:sz w:val="17"/>
        </w:rPr>
      </w:pPr>
      <w:r>
        <w:rPr>
          <w:rFonts w:ascii="Times New Roman" w:hAnsi="Times New Roman"/>
          <w:sz w:val="17"/>
        </w:rPr>
        <w:t>Pursuant to Section 906 of the Sarbanes-Oxley Act of 2002 (18 U.S.C. 1350):</w:t>
      </w:r>
    </w:p>
    <w:p>
      <w:pPr>
        <w:pStyle w:val="TextBody"/>
        <w:spacing w:before="0" w:after="0"/>
        <w:rPr/>
      </w:pPr>
      <w:r>
        <w:rPr/>
      </w:r>
    </w:p>
    <w:p>
      <w:pPr>
        <w:pStyle w:val="TextBody"/>
        <w:spacing w:before="0" w:after="0"/>
        <w:ind w:left="0" w:right="0" w:firstLine="720"/>
        <w:jc w:val="both"/>
        <w:rPr>
          <w:rFonts w:ascii="Times New Roman" w:hAnsi="Times New Roman"/>
          <w:sz w:val="17"/>
        </w:rPr>
      </w:pPr>
      <w:r>
        <w:rPr>
          <w:rFonts w:ascii="Times New Roman" w:hAnsi="Times New Roman"/>
          <w:sz w:val="17"/>
        </w:rPr>
        <w:t>I, William B. Kessel, President and Chief Executive Officer of Independent Bank Corporation, certify, to the best of my knowledge and belief, pursuant to Section 906 of the Sarbanes-Oxley Act of 2002 (18 U.S.C. 1350) that:</w:t>
      </w:r>
    </w:p>
    <w:p>
      <w:pPr>
        <w:pStyle w:val="TextBody"/>
        <w:spacing w:before="0" w:after="0"/>
        <w:rPr/>
      </w:pPr>
      <w:r>
        <w:rPr/>
      </w:r>
    </w:p>
    <w:p>
      <w:pPr>
        <w:pStyle w:val="TextBody"/>
        <w:spacing w:before="0" w:after="0"/>
        <w:ind w:left="0" w:right="0" w:firstLine="720"/>
        <w:jc w:val="both"/>
        <w:rPr/>
      </w:pPr>
      <w:r>
        <w:rPr>
          <w:rFonts w:ascii="Times New Roman" w:hAnsi="Times New Roman"/>
          <w:sz w:val="17"/>
        </w:rPr>
        <w:t xml:space="preserve">(1)      </w:t>
      </w:r>
      <w:r>
        <w:rPr>
          <w:rFonts w:ascii="Times New Roman" w:hAnsi="Times New Roman"/>
          <w:sz w:val="20"/>
        </w:rPr>
        <w:t>The quarterly report on Form 10-Q for the quarterly period ended March 31, 2019, which this statement accompanies, fully complies with requirements of Section 13(a) or 15(d) of the Securities Exchange Act of 1934 and;</w:t>
      </w:r>
    </w:p>
    <w:p>
      <w:pPr>
        <w:pStyle w:val="TextBody"/>
        <w:spacing w:before="0" w:after="0"/>
        <w:rPr/>
      </w:pPr>
      <w:r>
        <w:rPr/>
      </w:r>
    </w:p>
    <w:p>
      <w:pPr>
        <w:pStyle w:val="TextBody"/>
        <w:spacing w:before="0" w:after="0"/>
        <w:ind w:left="0" w:right="0" w:firstLine="720"/>
        <w:jc w:val="both"/>
        <w:rPr>
          <w:rFonts w:ascii="Times New Roman" w:hAnsi="Times New Roman"/>
          <w:sz w:val="17"/>
        </w:rPr>
      </w:pPr>
      <w:r>
        <w:rPr>
          <w:rFonts w:ascii="Times New Roman" w:hAnsi="Times New Roman"/>
          <w:sz w:val="17"/>
        </w:rPr>
        <w:t>(2)      The information contained in this quarterly report on Form 10-Q for the quarterly period ended March 31, 2019, fairly presents, in all material respects, the financial condition and results of operations of Independent Bank Corporation.</w:t>
      </w:r>
    </w:p>
    <w:p>
      <w:pPr>
        <w:pStyle w:val="TextBody"/>
        <w:spacing w:before="0" w:after="0"/>
        <w:rPr/>
      </w:pPr>
      <w:r>
        <w:rPr/>
      </w:r>
    </w:p>
    <w:tbl>
      <w:tblPr>
        <w:tblW w:w="4315" w:type="dxa"/>
        <w:jc w:val="left"/>
        <w:tblInd w:w="0" w:type="dxa"/>
        <w:tblCellMar>
          <w:top w:w="0" w:type="dxa"/>
          <w:left w:w="0" w:type="dxa"/>
          <w:bottom w:w="0" w:type="dxa"/>
          <w:right w:w="0" w:type="dxa"/>
        </w:tblCellMar>
      </w:tblPr>
      <w:tblGrid>
        <w:gridCol w:w="1385"/>
        <w:gridCol w:w="2930"/>
      </w:tblGrid>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INDEPENDENT BANK CORPORATION</w:t>
            </w:r>
          </w:p>
        </w:tc>
      </w:tr>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  May 3, 2019</w:t>
            </w:r>
          </w:p>
        </w:tc>
        <w:tc>
          <w:tcPr>
            <w:tcW w:w="2930" w:type="dxa"/>
            <w:tcBorders/>
            <w:shd w:fill="auto" w:val="clear"/>
            <w:vAlign w:val="center"/>
          </w:tcPr>
          <w:p>
            <w:pPr>
              <w:pStyle w:val="TableContents"/>
              <w:spacing w:before="0" w:after="0"/>
              <w:jc w:val="left"/>
              <w:rPr>
                <w:rFonts w:ascii="Times New Roman" w:hAnsi="Times New Roman"/>
                <w:sz w:val="17"/>
                <w:u w:val="single"/>
              </w:rPr>
            </w:pPr>
            <w:r>
              <w:rPr>
                <w:rFonts w:ascii="Times New Roman" w:hAnsi="Times New Roman"/>
                <w:sz w:val="17"/>
                <w:u w:val="single"/>
              </w:rPr>
              <w:t>/s/  William B. Kessel</w:t>
            </w:r>
          </w:p>
        </w:tc>
      </w:tr>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William B. Kessel</w:t>
            </w:r>
          </w:p>
        </w:tc>
      </w:tr>
      <w:tr>
        <w:trPr/>
        <w:tc>
          <w:tcPr>
            <w:tcW w:w="1385" w:type="dxa"/>
            <w:tcBorders/>
            <w:shd w:fill="auto" w:val="clear"/>
            <w:vAlign w:val="center"/>
          </w:tcPr>
          <w:p>
            <w:pPr>
              <w:pStyle w:val="TableContents"/>
              <w:spacing w:before="0" w:after="283"/>
              <w:rPr/>
            </w:pPr>
            <w:r>
              <w:rPr/>
            </w:r>
          </w:p>
        </w:tc>
        <w:tc>
          <w:tcPr>
            <w:tcW w:w="2930"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President and Chief Executive Officer</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pStyle w:val="TextBody"/>
        <w:spacing w:before="0" w:after="0"/>
        <w:jc w:val="both"/>
        <w:rPr>
          <w:rFonts w:ascii="Times New Roman" w:hAnsi="Times New Roman"/>
          <w:sz w:val="17"/>
        </w:rPr>
      </w:pPr>
      <w:r>
        <w:rPr>
          <w:rFonts w:ascii="Times New Roman" w:hAnsi="Times New Roman"/>
          <w:sz w:val="17"/>
        </w:rPr>
      </w:r>
    </w:p>
    <w:p>
      <w:pPr>
        <w:pStyle w:val="TextBody"/>
        <w:spacing w:before="0" w:after="0"/>
        <w:rPr>
          <w:rFonts w:ascii="Times New Roman" w:hAnsi="Times New Roman"/>
          <w:sz w:val="17"/>
        </w:rPr>
      </w:pPr>
      <w:r>
        <w:rPr>
          <w:rFonts w:ascii="Times New Roman" w:hAnsi="Times New Roman"/>
          <w:sz w:val="17"/>
        </w:rPr>
      </w:r>
    </w:p>
    <w:p>
      <w:pPr>
        <w:pStyle w:val="HorizontalLine"/>
        <w:pBdr>
          <w:bottom w:val="single" w:sz="20" w:space="0" w:color="808080"/>
        </w:pBdr>
        <w:jc w:val="both"/>
        <w:rPr/>
      </w:pPr>
      <w:r>
        <w:rPr/>
      </w:r>
    </w:p>
    <w:p>
      <w:pPr>
        <w:pStyle w:val="TextBody"/>
        <w:rPr/>
      </w:pPr>
      <w:r>
        <w:rPr/>
      </w:r>
      <w:r>
        <w:br w:type="page"/>
      </w:r>
    </w:p>
    <w:p>
      <w:pPr>
        <w:pStyle w:val="HorizontalLine"/>
        <w:pBdr>
          <w:bottom w:val="single" w:sz="20" w:space="0" w:color="808080"/>
        </w:pBdr>
        <w:rPr/>
      </w:pPr>
      <w:r>
        <w:rPr/>
      </w:r>
      <w:bookmarkStart w:id="877" w:name="ex32_2.htm"/>
      <w:bookmarkStart w:id="878" w:name="ksex32_2"/>
      <w:bookmarkStart w:id="879" w:name="ex32_2.htm"/>
      <w:bookmarkStart w:id="880" w:name="ksex32_2"/>
      <w:bookmarkEnd w:id="879"/>
      <w:bookmarkEnd w:id="880"/>
    </w:p>
    <w:p>
      <w:pPr>
        <w:pStyle w:val="TextBody"/>
        <w:spacing w:before="0" w:after="0"/>
        <w:jc w:val="right"/>
        <w:rPr>
          <w:rFonts w:ascii="Times New Roman" w:hAnsi="Times New Roman"/>
          <w:sz w:val="17"/>
        </w:rPr>
      </w:pPr>
      <w:r>
        <w:rPr>
          <w:rFonts w:ascii="Times New Roman" w:hAnsi="Times New Roman"/>
          <w:sz w:val="17"/>
        </w:rPr>
        <w:t>EXHIBIT 32.2</w:t>
      </w:r>
    </w:p>
    <w:p>
      <w:pPr>
        <w:pStyle w:val="TextBody"/>
        <w:spacing w:before="0" w:after="0"/>
        <w:rPr/>
      </w:pPr>
      <w:r>
        <w:rPr/>
      </w:r>
    </w:p>
    <w:p>
      <w:pPr>
        <w:pStyle w:val="TextBody"/>
        <w:spacing w:before="0" w:after="0"/>
        <w:jc w:val="center"/>
        <w:rPr>
          <w:rFonts w:ascii="Times New Roman" w:hAnsi="Times New Roman"/>
          <w:sz w:val="17"/>
        </w:rPr>
      </w:pPr>
      <w:r>
        <w:rPr>
          <w:rFonts w:ascii="Times New Roman" w:hAnsi="Times New Roman"/>
          <w:sz w:val="17"/>
        </w:rPr>
        <w:t>CERTIFICATE OF THE</w:t>
      </w:r>
    </w:p>
    <w:p>
      <w:pPr>
        <w:pStyle w:val="TextBody"/>
        <w:spacing w:before="0" w:after="0"/>
        <w:jc w:val="center"/>
        <w:rPr>
          <w:rFonts w:ascii="Times New Roman" w:hAnsi="Times New Roman"/>
          <w:sz w:val="17"/>
        </w:rPr>
      </w:pPr>
      <w:r>
        <w:rPr>
          <w:rFonts w:ascii="Times New Roman" w:hAnsi="Times New Roman"/>
          <w:sz w:val="17"/>
        </w:rPr>
        <w:t>CHIEF FINANCIAL OFFICER OF</w:t>
      </w:r>
    </w:p>
    <w:p>
      <w:pPr>
        <w:pStyle w:val="TextBody"/>
        <w:spacing w:before="0" w:after="0"/>
        <w:jc w:val="center"/>
        <w:rPr>
          <w:rFonts w:ascii="Times New Roman" w:hAnsi="Times New Roman"/>
          <w:sz w:val="17"/>
        </w:rPr>
      </w:pPr>
      <w:r>
        <w:rPr>
          <w:rFonts w:ascii="Times New Roman" w:hAnsi="Times New Roman"/>
          <w:sz w:val="17"/>
        </w:rPr>
        <w:t>INDEPENDENT BANK CORPORATION</w:t>
      </w:r>
    </w:p>
    <w:p>
      <w:pPr>
        <w:pStyle w:val="TextBody"/>
        <w:spacing w:before="0" w:after="0"/>
        <w:rPr/>
      </w:pPr>
      <w:r>
        <w:rPr/>
      </w:r>
    </w:p>
    <w:p>
      <w:pPr>
        <w:pStyle w:val="TextBody"/>
        <w:spacing w:before="0" w:after="0"/>
        <w:ind w:left="0" w:right="0" w:firstLine="720"/>
        <w:jc w:val="left"/>
        <w:rPr>
          <w:rFonts w:ascii="Times New Roman" w:hAnsi="Times New Roman"/>
          <w:sz w:val="17"/>
        </w:rPr>
      </w:pPr>
      <w:r>
        <w:rPr>
          <w:rFonts w:ascii="Times New Roman" w:hAnsi="Times New Roman"/>
          <w:sz w:val="17"/>
        </w:rPr>
        <w:t>Pursuant to Section 906 of the Sarbanes-Oxley Act of 2002 (18 U.S.C. 1350):</w:t>
      </w:r>
    </w:p>
    <w:p>
      <w:pPr>
        <w:pStyle w:val="TextBody"/>
        <w:spacing w:before="0" w:after="0"/>
        <w:rPr/>
      </w:pPr>
      <w:r>
        <w:rPr/>
      </w:r>
    </w:p>
    <w:p>
      <w:pPr>
        <w:pStyle w:val="TextBody"/>
        <w:spacing w:before="0" w:after="0"/>
        <w:ind w:left="0" w:right="0" w:firstLine="720"/>
        <w:jc w:val="both"/>
        <w:rPr>
          <w:rFonts w:ascii="Times New Roman" w:hAnsi="Times New Roman"/>
          <w:sz w:val="17"/>
        </w:rPr>
      </w:pPr>
      <w:r>
        <w:rPr>
          <w:rFonts w:ascii="Times New Roman" w:hAnsi="Times New Roman"/>
          <w:sz w:val="17"/>
        </w:rPr>
        <w:t>I, Robert N. Shuster, Chief Financial Officer of Independent Bank Corporation, certify, to the best of my knowledge and belief, pursuant to Section 906 of the Sarbanes-Oxley Act of 2002 (18 U.S.C. 1350) that:</w:t>
      </w:r>
    </w:p>
    <w:p>
      <w:pPr>
        <w:pStyle w:val="TextBody"/>
        <w:spacing w:before="0" w:after="0"/>
        <w:rPr/>
      </w:pPr>
      <w:r>
        <w:rPr/>
      </w:r>
    </w:p>
    <w:p>
      <w:pPr>
        <w:pStyle w:val="TextBody"/>
        <w:spacing w:before="0" w:after="0"/>
        <w:ind w:left="0" w:right="0" w:firstLine="720"/>
        <w:jc w:val="both"/>
        <w:rPr/>
      </w:pPr>
      <w:r>
        <w:rPr>
          <w:rFonts w:ascii="Times New Roman" w:hAnsi="Times New Roman"/>
          <w:sz w:val="17"/>
        </w:rPr>
        <w:t>(1)</w:t>
      </w:r>
      <w:r>
        <w:rPr/>
        <w:t>          </w:t>
      </w:r>
      <w:r>
        <w:rPr>
          <w:rFonts w:ascii="Times New Roman" w:hAnsi="Times New Roman"/>
          <w:sz w:val="17"/>
        </w:rPr>
        <w:t>The quarterly report on Form 10-Q for the quarterly period ended March 31, 2019, which this statement accompanies, fully complies with requirements of Section 13(a) or 15(d) of the Securities Exchange Act of 1934 and;</w:t>
      </w:r>
    </w:p>
    <w:p>
      <w:pPr>
        <w:pStyle w:val="TextBody"/>
        <w:spacing w:before="0" w:after="0"/>
        <w:rPr/>
      </w:pPr>
      <w:r>
        <w:rPr/>
      </w:r>
    </w:p>
    <w:p>
      <w:pPr>
        <w:pStyle w:val="TextBody"/>
        <w:spacing w:before="0" w:after="0"/>
        <w:ind w:left="0" w:right="0" w:firstLine="720"/>
        <w:jc w:val="both"/>
        <w:rPr/>
      </w:pPr>
      <w:r>
        <w:rPr>
          <w:rFonts w:ascii="Times New Roman" w:hAnsi="Times New Roman"/>
          <w:sz w:val="17"/>
        </w:rPr>
        <w:t>(2)</w:t>
      </w:r>
      <w:r>
        <w:rPr/>
        <w:t>          </w:t>
      </w:r>
      <w:r>
        <w:rPr>
          <w:rFonts w:ascii="Times New Roman" w:hAnsi="Times New Roman"/>
          <w:sz w:val="17"/>
        </w:rPr>
        <w:t>The information contained in this quarterly report on Form 10-Q for the quarterly period ended March 31, 2019, fairly presents, in all material respects, the financial condition and results of operations of Independent Bank Corporation.</w:t>
      </w:r>
    </w:p>
    <w:p>
      <w:pPr>
        <w:pStyle w:val="TextBody"/>
        <w:spacing w:before="0" w:after="0"/>
        <w:rPr/>
      </w:pPr>
      <w:r>
        <w:rPr/>
      </w:r>
    </w:p>
    <w:tbl>
      <w:tblPr>
        <w:tblW w:w="4315" w:type="dxa"/>
        <w:jc w:val="left"/>
        <w:tblInd w:w="0" w:type="dxa"/>
        <w:tblCellMar>
          <w:top w:w="0" w:type="dxa"/>
          <w:left w:w="0" w:type="dxa"/>
          <w:bottom w:w="0" w:type="dxa"/>
          <w:right w:w="0" w:type="dxa"/>
        </w:tblCellMar>
      </w:tblPr>
      <w:tblGrid>
        <w:gridCol w:w="1385"/>
        <w:gridCol w:w="2930"/>
      </w:tblGrid>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INDEPENDENT BANK CORPORATION</w:t>
            </w:r>
          </w:p>
        </w:tc>
      </w:tr>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jc w:val="left"/>
              <w:rPr>
                <w:rFonts w:ascii="Times New Roman" w:hAnsi="Times New Roman"/>
                <w:sz w:val="17"/>
              </w:rPr>
            </w:pPr>
            <w:r>
              <w:rPr>
                <w:rFonts w:ascii="Times New Roman" w:hAnsi="Times New Roman"/>
                <w:sz w:val="17"/>
              </w:rPr>
              <w:t>Date:  May 3, 2019</w:t>
            </w:r>
          </w:p>
        </w:tc>
        <w:tc>
          <w:tcPr>
            <w:tcW w:w="2930" w:type="dxa"/>
            <w:tcBorders/>
            <w:shd w:fill="auto" w:val="clear"/>
            <w:vAlign w:val="center"/>
          </w:tcPr>
          <w:p>
            <w:pPr>
              <w:pStyle w:val="TableContents"/>
              <w:spacing w:before="0" w:after="0"/>
              <w:jc w:val="left"/>
              <w:rPr>
                <w:rFonts w:ascii="Times New Roman" w:hAnsi="Times New Roman"/>
                <w:sz w:val="17"/>
                <w:u w:val="single"/>
              </w:rPr>
            </w:pPr>
            <w:r>
              <w:rPr>
                <w:rFonts w:ascii="Times New Roman" w:hAnsi="Times New Roman"/>
                <w:sz w:val="17"/>
                <w:u w:val="single"/>
              </w:rPr>
              <w:t>/s/  Robert N. Shuster</w:t>
            </w:r>
          </w:p>
        </w:tc>
      </w:tr>
      <w:tr>
        <w:trPr/>
        <w:tc>
          <w:tcPr>
            <w:tcW w:w="138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Robert N. Shuster</w:t>
            </w:r>
          </w:p>
        </w:tc>
      </w:tr>
      <w:tr>
        <w:trPr/>
        <w:tc>
          <w:tcPr>
            <w:tcW w:w="1385" w:type="dxa"/>
            <w:tcBorders/>
            <w:shd w:fill="auto" w:val="clear"/>
            <w:vAlign w:val="center"/>
          </w:tcPr>
          <w:p>
            <w:pPr>
              <w:pStyle w:val="TableContents"/>
              <w:spacing w:before="0" w:after="283"/>
              <w:rPr/>
            </w:pPr>
            <w:r>
              <w:rPr/>
            </w:r>
          </w:p>
        </w:tc>
        <w:tc>
          <w:tcPr>
            <w:tcW w:w="2930" w:type="dxa"/>
            <w:tcBorders/>
            <w:shd w:fill="auto" w:val="clear"/>
            <w:vAlign w:val="center"/>
          </w:tcPr>
          <w:p>
            <w:pPr>
              <w:pStyle w:val="TableContents"/>
              <w:spacing w:before="0" w:after="0"/>
              <w:ind w:left="360" w:right="0" w:hanging="0"/>
              <w:jc w:val="left"/>
              <w:rPr>
                <w:rFonts w:ascii="Times New Roman" w:hAnsi="Times New Roman"/>
                <w:sz w:val="17"/>
              </w:rPr>
            </w:pPr>
            <w:r>
              <w:rPr>
                <w:rFonts w:ascii="Times New Roman" w:hAnsi="Times New Roman"/>
                <w:sz w:val="17"/>
              </w:rPr>
              <w:t>Chief Financial Officer</w:t>
            </w:r>
          </w:p>
        </w:tc>
      </w:tr>
    </w:tbl>
    <w:p>
      <w:pPr>
        <w:pStyle w:val="TextBody"/>
        <w:spacing w:before="0" w:after="0"/>
        <w:rPr/>
      </w:pPr>
      <w:r>
        <w:rPr/>
      </w:r>
    </w:p>
    <w:p>
      <w:pPr>
        <w:pStyle w:val="TextBody"/>
        <w:spacing w:before="0" w:after="0"/>
        <w:jc w:val="both"/>
        <w:rPr>
          <w:rFonts w:ascii="Times New Roman" w:hAnsi="Times New Roman"/>
          <w:sz w:val="17"/>
        </w:rPr>
      </w:pPr>
      <w:r>
        <w:rPr>
          <w:rFonts w:ascii="Times New Roman" w:hAnsi="Times New Roman"/>
          <w:sz w:val="17"/>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pStyle w:val="TextBody"/>
        <w:spacing w:before="0" w:after="0"/>
        <w:jc w:val="both"/>
        <w:rPr>
          <w:rFonts w:ascii="Times New Roman" w:hAnsi="Times New Roman"/>
          <w:sz w:val="17"/>
        </w:rPr>
      </w:pPr>
      <w:r>
        <w:rPr>
          <w:rFonts w:ascii="Times New Roman" w:hAnsi="Times New Roman"/>
          <w:sz w:val="17"/>
        </w:rPr>
      </w:r>
    </w:p>
    <w:p>
      <w:pPr>
        <w:pStyle w:val="TextBody"/>
        <w:spacing w:before="0" w:after="0"/>
        <w:rPr>
          <w:rFonts w:ascii="Times New Roman" w:hAnsi="Times New Roman"/>
          <w:sz w:val="17"/>
        </w:rPr>
      </w:pPr>
      <w:r>
        <w:rPr>
          <w:rFonts w:ascii="Times New Roman" w:hAnsi="Times New Roman"/>
          <w:sz w:val="17"/>
        </w:rPr>
      </w:r>
    </w:p>
    <w:p>
      <w:pPr>
        <w:pStyle w:val="HorizontalLine"/>
        <w:pBdr>
          <w:bottom w:val="single" w:sz="20" w:space="0" w:color="808080"/>
        </w:pBdr>
        <w:spacing w:before="0" w:after="283"/>
        <w:jc w:val="both"/>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quot">
    <w:charset w:val="00"/>
    <w:family w:val="auto"/>
    <w:pitch w:val="default"/>
  </w:font>
  <w:font w:name="Times                        New Roman">
    <w:charset w:val="00"/>
    <w:family w:val="auto"/>
    <w:pitch w:val="default"/>
  </w:font>
  <w:font w:name="Times                New Roman">
    <w:charset w:val="00"/>
    <w:family w:val="auto"/>
    <w:pitch w:val="default"/>
  </w:font>
  <w:font w:name="Times New                Roman">
    <w:charset w:val="00"/>
    <w:family w:val="auto"/>
    <w:pitch w:val="default"/>
  </w:font>
  <w:font w:name="Times                      New Roman">
    <w:charset w:val="00"/>
    <w:family w:val="auto"/>
    <w:pitch w:val="default"/>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34806</Words>
  <CharactersWithSpaces>227582</CharactersWithSpaces>
  <Paragraphs>20934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