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3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2016</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Michigan</w:t>
            </w:r>
          </w:p>
        </w:tc>
        <w:tc>
          <w:tcPr>
            <w:tcW w:w="434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7080" w:type="dxa"/>
            <w:vAlign w:val="bottom"/>
            <w:gridSpan w:val="3"/>
          </w:tcPr>
          <w:p>
            <w:pPr>
              <w:ind w:left="3840"/>
              <w:spacing w:after="0"/>
              <w:rPr>
                <w:sz w:val="20"/>
                <w:szCs w:val="20"/>
                <w:color w:val="auto"/>
              </w:rPr>
            </w:pPr>
            <w:r>
              <w:rPr>
                <w:rFonts w:ascii="Arial" w:cs="Arial" w:eastAsia="Arial" w:hAnsi="Arial"/>
                <w:sz w:val="18"/>
                <w:szCs w:val="18"/>
                <w:color w:val="auto"/>
                <w:w w:val="92"/>
              </w:rPr>
              <w:t>4200 East Beltline, Grand Rapids, Michigan</w:t>
            </w:r>
          </w:p>
        </w:tc>
        <w:tc>
          <w:tcPr>
            <w:tcW w:w="4340" w:type="dxa"/>
            <w:vAlign w:val="bottom"/>
          </w:tcPr>
          <w:p>
            <w:pPr>
              <w:jc w:val="right"/>
              <w:ind w:right="3750"/>
              <w:spacing w:after="0"/>
              <w:rPr>
                <w:sz w:val="20"/>
                <w:szCs w:val="20"/>
                <w:color w:val="auto"/>
              </w:rPr>
            </w:pPr>
            <w:r>
              <w:rPr>
                <w:rFonts w:ascii="Arial" w:cs="Arial" w:eastAsia="Arial" w:hAnsi="Arial"/>
                <w:sz w:val="18"/>
                <w:szCs w:val="18"/>
                <w:color w:val="auto"/>
                <w:w w:val="95"/>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25" w:lineRule="exact"/>
        <w:rPr>
          <w:sz w:val="24"/>
          <w:szCs w:val="24"/>
          <w:color w:val="auto"/>
        </w:rPr>
      </w:pPr>
    </w:p>
    <w:p>
      <w:pPr>
        <w:jc w:val="both"/>
        <w:ind w:firstLine="162"/>
        <w:spacing w:after="0" w:line="287" w:lineRule="auto"/>
        <w:rPr>
          <w:sz w:val="20"/>
          <w:szCs w:val="20"/>
          <w:color w:val="auto"/>
        </w:rPr>
      </w:pPr>
      <w:r>
        <w:rPr>
          <w:rFonts w:ascii="Arial" w:cs="Arial" w:eastAsia="Arial" w:hAnsi="Arial"/>
          <w:sz w:val="16"/>
          <w:szCs w:val="16"/>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line="207" w:lineRule="exact"/>
        <w:tabs>
          <w:tab w:leader="none" w:pos="3320" w:val="left"/>
          <w:tab w:leader="none" w:pos="408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smaller reporting company.</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21,262,815</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Outstanding at May 3, 2016</w:t>
            </w:r>
          </w:p>
        </w:tc>
      </w:tr>
      <w:tr>
        <w:trPr>
          <w:trHeight w:val="29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03"/>
        </w:trPr>
        <w:tc>
          <w:tcPr>
            <w:tcW w:w="5620" w:type="dxa"/>
            <w:vAlign w:val="bottom"/>
            <w:tcBorders>
              <w:left w:val="single" w:sz="8" w:color="9A9A9A"/>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right w:val="single" w:sz="8" w:color="EEEEEE"/>
            </w:tcBorders>
          </w:tcPr>
          <w:p>
            <w:pPr>
              <w:spacing w:after="0"/>
              <w:rPr>
                <w:sz w:val="17"/>
                <w:szCs w:val="17"/>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12"/>
          </w:tcPr>
          <w:p>
            <w:pPr>
              <w:jc w:val="center"/>
              <w:ind w:right="1660"/>
              <w:spacing w:after="0"/>
              <w:rPr>
                <w:sz w:val="20"/>
                <w:szCs w:val="20"/>
                <w:color w:val="auto"/>
              </w:rPr>
            </w:pPr>
            <w:r>
              <w:rPr>
                <w:rFonts w:ascii="Arial" w:cs="Arial" w:eastAsia="Arial" w:hAnsi="Arial"/>
                <w:sz w:val="18"/>
                <w:szCs w:val="18"/>
                <w:color w:val="auto"/>
                <w:w w:val="97"/>
              </w:rPr>
              <w:t>INDEPENDENT BANK CORPORATION AND SUBSIDIARIES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INDEX</w:t>
            </w:r>
          </w:p>
        </w:tc>
        <w:tc>
          <w:tcPr>
            <w:tcW w:w="41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000" w:type="dxa"/>
            <w:vAlign w:val="bottom"/>
            <w:gridSpan w:val="17"/>
            <w:vMerge w:val="restart"/>
          </w:tcPr>
          <w:p>
            <w:pPr>
              <w:spacing w:after="0"/>
              <w:rPr>
                <w:sz w:val="20"/>
                <w:szCs w:val="20"/>
                <w:color w:val="auto"/>
              </w:rPr>
            </w:pPr>
            <w:r>
              <w:rPr>
                <w:rFonts w:ascii="Arial" w:cs="Arial" w:eastAsia="Arial" w:hAnsi="Arial"/>
                <w:sz w:val="18"/>
                <w:szCs w:val="18"/>
                <w:color w:val="auto"/>
              </w:rPr>
              <w:t>Financial Information</w:t>
            </w:r>
          </w:p>
        </w:tc>
        <w:tc>
          <w:tcPr>
            <w:tcW w:w="1280" w:type="dxa"/>
            <w:vAlign w:val="bottom"/>
            <w:gridSpan w:val="3"/>
          </w:tcPr>
          <w:p>
            <w:pPr>
              <w:ind w:left="48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000" w:type="dxa"/>
            <w:vAlign w:val="bottom"/>
            <w:gridSpan w:val="17"/>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2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March 31, 2016 and December 31, 2015</w:t>
              </w:r>
            </w:hyperlink>
          </w:p>
        </w:tc>
        <w:tc>
          <w:tcPr>
            <w:tcW w:w="1740" w:type="dxa"/>
            <w:vAlign w:val="bottom"/>
            <w:tcBorders>
              <w:bottom w:val="single" w:sz="8" w:color="CCEEFF"/>
            </w:tcBorders>
            <w:gridSpan w:val="5"/>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Three-month periods ended March 31, 2016 and 2015</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5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Three-month periods ended March 31, 2016 and 2015</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Three-month periods ended March 31, 2016 and 2015</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Shareholders' Equity Three-month periods ended March 31, 2016 and 2015</w:t>
              </w:r>
            </w:hyperlink>
          </w:p>
        </w:tc>
        <w:tc>
          <w:tcPr>
            <w:tcW w:w="7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tcBorders>
              <w:bottom w:val="single" w:sz="8" w:color="CCEEFF"/>
            </w:tcBorders>
            <w:gridSpan w:val="6"/>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56-79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17"/>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00" w:type="dxa"/>
            <w:vAlign w:val="bottom"/>
            <w:gridSpan w:val="1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13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17"/>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Risk Factors</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17"/>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15"/>
                <w:szCs w:val="15"/>
                <w:color w:val="auto"/>
              </w:rPr>
            </w:pPr>
          </w:p>
        </w:tc>
        <w:tc>
          <w:tcPr>
            <w:tcW w:w="4660" w:type="dxa"/>
            <w:vAlign w:val="bottom"/>
            <w:tcBorders>
              <w:top w:val="single" w:sz="8" w:color="CCEEFF"/>
            </w:tcBorders>
            <w:gridSpan w:val="9"/>
          </w:tcPr>
          <w:p>
            <w:pPr>
              <w:spacing w:after="0"/>
              <w:rPr>
                <w:sz w:val="15"/>
                <w:szCs w:val="15"/>
                <w:color w:val="auto"/>
              </w:rPr>
            </w:pPr>
          </w:p>
        </w:tc>
        <w:tc>
          <w:tcPr>
            <w:tcW w:w="126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40" w:type="dxa"/>
            <w:vAlign w:val="bottom"/>
            <w:gridSpan w:val="10"/>
          </w:tcPr>
          <w:p>
            <w:pPr>
              <w:jc w:val="center"/>
              <w:ind w:left="4171"/>
              <w:spacing w:after="0"/>
              <w:rPr>
                <w:sz w:val="20"/>
                <w:szCs w:val="20"/>
                <w:color w:val="auto"/>
              </w:rPr>
            </w:pPr>
            <w:r>
              <w:rPr>
                <w:rFonts w:ascii="Arial" w:cs="Arial" w:eastAsia="Arial" w:hAnsi="Arial"/>
                <w:sz w:val="14"/>
                <w:szCs w:val="14"/>
                <w:color w:val="auto"/>
                <w:w w:val="76"/>
              </w:rPr>
              <w:t>1</w:t>
            </w: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79"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76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jc w:val="both"/>
        <w:ind w:left="76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our estimate of probable incurred losses from vehicle service contract payment plan counterparty contingencies, including our assumptions regarding future cancellations of vehicle service contracts, the value to us of collateral that may be available to recover funds due from our counterparties, and our ability to enforce the contractual obligations of our counterparties to pay amounts owing to us;</w:t>
      </w:r>
    </w:p>
    <w:p>
      <w:pPr>
        <w:spacing w:after="0" w:line="1"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2015,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20" w:type="dxa"/>
            <w:vAlign w:val="bottom"/>
            <w:gridSpan w:val="3"/>
            <w:vMerge w:val="restart"/>
          </w:tcPr>
          <w:p>
            <w:pPr>
              <w:jc w:val="right"/>
              <w:ind w:right="590"/>
              <w:spacing w:after="0"/>
              <w:rPr>
                <w:sz w:val="20"/>
                <w:szCs w:val="20"/>
                <w:color w:val="auto"/>
              </w:rPr>
            </w:pPr>
            <w:r>
              <w:rPr>
                <w:rFonts w:ascii="Arial" w:cs="Arial" w:eastAsia="Arial" w:hAnsi="Arial"/>
                <w:sz w:val="18"/>
                <w:szCs w:val="18"/>
                <w:color w:val="auto"/>
                <w:w w:val="99"/>
              </w:rPr>
              <w:t>INDEPENDENT BANK CORPORATION AND SUBSIDIARIES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Part I - Item 1.</w:t>
            </w:r>
          </w:p>
        </w:tc>
        <w:tc>
          <w:tcPr>
            <w:tcW w:w="5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240" w:type="dxa"/>
            <w:vAlign w:val="bottom"/>
            <w:gridSpan w:val="2"/>
            <w:vMerge w:val="restart"/>
          </w:tcPr>
          <w:p>
            <w:pPr>
              <w:jc w:val="right"/>
              <w:ind w:right="850"/>
              <w:spacing w:after="0" w:line="190" w:lineRule="exact"/>
              <w:rPr>
                <w:sz w:val="20"/>
                <w:szCs w:val="20"/>
                <w:color w:val="auto"/>
              </w:rPr>
            </w:pPr>
            <w:r>
              <w:rPr>
                <w:rFonts w:ascii="Arial" w:cs="Arial" w:eastAsia="Arial" w:hAnsi="Arial"/>
                <w:sz w:val="18"/>
                <w:szCs w:val="18"/>
                <w:color w:val="auto"/>
                <w:w w:val="89"/>
              </w:rPr>
              <w:t>Condensed Consolidated Statements of Financial Condition</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5"/>
                <w:szCs w:val="5"/>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center"/>
              <w:ind w:right="7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41,790</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28,016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770,886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3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1,538,982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1,515,050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3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7"/>
              </w:rPr>
              <w:t>Net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1,516,487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1,492,480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real estate and repossessed assets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42,089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37,167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Capitalized mortgage loan servicing rights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receivables,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2,487,120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2,409,066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8"/>
              </w:rPr>
              <w:t>Savings and interest-bearing checking</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Deposits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2,085,963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payables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8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52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2,247,575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2,157,974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21,261,830 shares at March 31,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4"/>
          </w:tcPr>
          <w:p>
            <w:pPr>
              <w:jc w:val="right"/>
              <w:ind w:right="4750"/>
              <w:spacing w:after="0"/>
              <w:rPr>
                <w:sz w:val="20"/>
                <w:szCs w:val="20"/>
                <w:color w:val="auto"/>
              </w:rPr>
            </w:pPr>
            <w:r>
              <w:rPr>
                <w:rFonts w:ascii="Arial" w:cs="Arial" w:eastAsia="Arial" w:hAnsi="Arial"/>
                <w:sz w:val="18"/>
                <w:szCs w:val="18"/>
                <w:color w:val="auto"/>
                <w:w w:val="88"/>
              </w:rPr>
              <w:t>2016 and 22,251,373 shares at December 31, 2015</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324,328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5"/>
              </w:rPr>
              <w:t>Accumulated other comprehensive loss</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4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2,487,120</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2,409,066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4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gridSpan w:val="3"/>
          </w:tcPr>
          <w:p>
            <w:pPr>
              <w:jc w:val="right"/>
              <w:ind w:right="630"/>
              <w:spacing w:after="0"/>
              <w:rPr>
                <w:sz w:val="20"/>
                <w:szCs w:val="20"/>
                <w:color w:val="auto"/>
              </w:rPr>
            </w:pPr>
            <w:r>
              <w:rPr>
                <w:rFonts w:ascii="Arial" w:cs="Arial" w:eastAsia="Arial" w:hAnsi="Arial"/>
                <w:sz w:val="18"/>
                <w:szCs w:val="18"/>
                <w:color w:val="auto"/>
              </w:rPr>
              <w:t>INDEPENDENT BANK CORPORATION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20" w:type="dxa"/>
            <w:vAlign w:val="bottom"/>
            <w:gridSpan w:val="3"/>
          </w:tcPr>
          <w:p>
            <w:pPr>
              <w:jc w:val="right"/>
              <w:ind w:right="1210"/>
              <w:spacing w:after="0" w:line="190" w:lineRule="exact"/>
              <w:rPr>
                <w:sz w:val="20"/>
                <w:szCs w:val="20"/>
                <w:color w:val="auto"/>
              </w:rPr>
            </w:pPr>
            <w:r>
              <w:rPr>
                <w:rFonts w:ascii="Arial" w:cs="Arial" w:eastAsia="Arial" w:hAnsi="Arial"/>
                <w:sz w:val="18"/>
                <w:szCs w:val="18"/>
                <w:color w:val="auto"/>
              </w:rPr>
              <w:t>Condensed Consolidated Statements of Operations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jc w:val="center"/>
              <w:ind w:right="11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gridSpan w:val="5"/>
            <w:vMerge w:val="restart"/>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1520" w:type="dxa"/>
            <w:vAlign w:val="bottom"/>
            <w:gridSpan w:val="4"/>
          </w:tcPr>
          <w:p>
            <w:pPr>
              <w:jc w:val="center"/>
              <w:ind w:left="51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Interest on securities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Taxable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Tax-exempt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960" w:type="dxa"/>
            <w:vAlign w:val="bottom"/>
            <w:gridSpan w:val="2"/>
          </w:tcPr>
          <w:p>
            <w:pPr>
              <w:jc w:val="right"/>
              <w:ind w:right="50"/>
              <w:spacing w:after="0"/>
              <w:rPr>
                <w:sz w:val="20"/>
                <w:szCs w:val="20"/>
                <w:color w:val="auto"/>
              </w:rPr>
            </w:pPr>
            <w:r>
              <w:rPr>
                <w:rFonts w:ascii="Arial" w:cs="Arial" w:eastAsia="Arial" w:hAnsi="Arial"/>
                <w:sz w:val="18"/>
                <w:szCs w:val="18"/>
                <w:color w:val="auto"/>
              </w:rPr>
              <w:t>Total Interest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960" w:type="dxa"/>
            <w:vAlign w:val="bottom"/>
            <w:gridSpan w:val="2"/>
          </w:tcPr>
          <w:p>
            <w:pPr>
              <w:jc w:val="right"/>
              <w:ind w:right="50"/>
              <w:spacing w:after="0"/>
              <w:rPr>
                <w:sz w:val="20"/>
                <w:szCs w:val="20"/>
                <w:color w:val="auto"/>
              </w:rPr>
            </w:pPr>
            <w:r>
              <w:rPr>
                <w:rFonts w:ascii="Arial" w:cs="Arial" w:eastAsia="Arial" w:hAnsi="Arial"/>
                <w:sz w:val="18"/>
                <w:szCs w:val="18"/>
                <w:color w:val="auto"/>
              </w:rPr>
              <w:t>Total Interest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96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496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 After Provision for Loan Losses</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Non-interest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Interchange 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assets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Mortgage loan servicing, net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Title insurance fees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Total Non-interest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Occupancy,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Data processing</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Furniture, fixtures and equipment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Loan and collection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Legal and professional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Interchange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Credit card and bank service fees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Vehicle service contract counterparty contingencies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Costs related to unfunded lending commitments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Net gains on other real estate and repossessed assets</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Provision for loss reimbursement on sold loans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960" w:type="dxa"/>
            <w:vAlign w:val="bottom"/>
            <w:gridSpan w:val="2"/>
          </w:tcPr>
          <w:p>
            <w:pPr>
              <w:jc w:val="right"/>
              <w:ind w:right="50"/>
              <w:spacing w:after="0"/>
              <w:rPr>
                <w:sz w:val="20"/>
                <w:szCs w:val="20"/>
                <w:color w:val="auto"/>
              </w:rPr>
            </w:pPr>
            <w:r>
              <w:rPr>
                <w:rFonts w:ascii="Arial" w:cs="Arial" w:eastAsia="Arial" w:hAnsi="Arial"/>
                <w:sz w:val="18"/>
                <w:szCs w:val="18"/>
                <w:color w:val="auto"/>
              </w:rPr>
              <w:t>Income Before Income Tax</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Dividends Per Common Share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Declared</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4"/>
          </w:tcPr>
          <w:p>
            <w:pPr>
              <w:ind w:left="160"/>
              <w:spacing w:after="0"/>
              <w:rPr>
                <w:sz w:val="20"/>
                <w:szCs w:val="20"/>
                <w:color w:val="auto"/>
              </w:rPr>
            </w:pPr>
            <w:r>
              <w:rPr>
                <w:rFonts w:ascii="Arial" w:cs="Arial" w:eastAsia="Arial" w:hAnsi="Arial"/>
                <w:sz w:val="18"/>
                <w:szCs w:val="18"/>
                <w:color w:val="auto"/>
              </w:rPr>
              <w:t>Paid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7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40" w:type="dxa"/>
            <w:vAlign w:val="bottom"/>
            <w:gridSpan w:val="3"/>
          </w:tcPr>
          <w:p>
            <w:pPr>
              <w:jc w:val="right"/>
              <w:ind w:right="640"/>
              <w:spacing w:after="0"/>
              <w:rPr>
                <w:sz w:val="20"/>
                <w:szCs w:val="20"/>
                <w:color w:val="auto"/>
              </w:rPr>
            </w:pPr>
            <w:r>
              <w:rPr>
                <w:rFonts w:ascii="Arial" w:cs="Arial" w:eastAsia="Arial" w:hAnsi="Arial"/>
                <w:sz w:val="18"/>
                <w:szCs w:val="18"/>
                <w:color w:val="auto"/>
              </w:rPr>
              <w:t>INDEPENDENT BANK CORPORATION AND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340" w:type="dxa"/>
            <w:vAlign w:val="bottom"/>
            <w:gridSpan w:val="2"/>
          </w:tcPr>
          <w:p>
            <w:pPr>
              <w:jc w:val="right"/>
              <w:ind w:right="760"/>
              <w:spacing w:after="0" w:line="190" w:lineRule="exact"/>
              <w:rPr>
                <w:sz w:val="20"/>
                <w:szCs w:val="20"/>
                <w:color w:val="auto"/>
              </w:rPr>
            </w:pPr>
            <w:r>
              <w:rPr>
                <w:rFonts w:ascii="Arial" w:cs="Arial" w:eastAsia="Arial" w:hAnsi="Arial"/>
                <w:sz w:val="18"/>
                <w:szCs w:val="18"/>
                <w:color w:val="auto"/>
                <w:w w:val="88"/>
              </w:rPr>
              <w:t>Condensed Consolidated Statements of Comprehensive Income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Other comprehensive income, before tax</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jc w:val="right"/>
              <w:ind w:right="6600"/>
              <w:spacing w:after="0"/>
              <w:rPr>
                <w:sz w:val="20"/>
                <w:szCs w:val="20"/>
                <w:color w:val="auto"/>
              </w:rPr>
            </w:pPr>
            <w:r>
              <w:rPr>
                <w:rFonts w:ascii="Arial" w:cs="Arial" w:eastAsia="Arial" w:hAnsi="Arial"/>
                <w:sz w:val="18"/>
                <w:szCs w:val="18"/>
                <w:color w:val="auto"/>
                <w:w w:val="96"/>
              </w:rPr>
              <w:t>Securities available for sale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Unrealized gains arising during period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Change in unrealized gains for which a portion of other than temporary impairment has been recognized in earnings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Reclassification adjustments for gains included in earnings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Unrealized gains recognized in other comprehensive income on securities available for sale</w:t>
            </w: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Unrealized gains recognized in other comprehensive income on available for sale securities, net of tax</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340" w:type="dxa"/>
            <w:vAlign w:val="bottom"/>
            <w:gridSpan w:val="2"/>
          </w:tcPr>
          <w:p>
            <w:pPr>
              <w:jc w:val="right"/>
              <w:ind w:right="60"/>
              <w:spacing w:after="0"/>
              <w:rPr>
                <w:sz w:val="20"/>
                <w:szCs w:val="20"/>
                <w:color w:val="auto"/>
              </w:rPr>
            </w:pPr>
            <w:r>
              <w:rPr>
                <w:rFonts w:ascii="Arial" w:cs="Arial" w:eastAsia="Arial" w:hAnsi="Arial"/>
                <w:sz w:val="18"/>
                <w:szCs w:val="18"/>
                <w:color w:val="auto"/>
              </w:rPr>
              <w:t>Other comprehensive income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Comprehensive income</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Arial" w:cs="Arial" w:eastAsia="Arial" w:hAnsi="Arial"/>
                <w:sz w:val="18"/>
                <w:szCs w:val="18"/>
                <w:color w:val="auto"/>
              </w:rPr>
              <w:t>INDEPENDENT BANK CORPORATION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220"/>
              <w:spacing w:after="0"/>
              <w:rPr>
                <w:sz w:val="20"/>
                <w:szCs w:val="20"/>
                <w:color w:val="auto"/>
              </w:rPr>
            </w:pPr>
            <w:r>
              <w:rPr>
                <w:rFonts w:ascii="Arial" w:cs="Arial" w:eastAsia="Arial" w:hAnsi="Arial"/>
                <w:sz w:val="18"/>
                <w:szCs w:val="18"/>
                <w:color w:val="auto"/>
                <w:w w:val="89"/>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8"/>
                <w:szCs w:val="18"/>
                <w:color w:val="auto"/>
                <w:w w:val="98"/>
              </w:rPr>
              <w:t>(unaudited - 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(Used in) Operating Activities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(55,689)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Deferred federal income tax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Deferred loan fees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6"/>
              </w:rPr>
              <w:t>Depreciation, amortization of intangible assets and premiums and accretion of discounts on securities, loans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3"/>
          </w:tcPr>
          <w:p>
            <w:pPr>
              <w:jc w:val="right"/>
              <w:ind w:right="6180"/>
              <w:spacing w:after="0"/>
              <w:rPr>
                <w:sz w:val="20"/>
                <w:szCs w:val="20"/>
                <w:color w:val="auto"/>
              </w:rPr>
            </w:pPr>
            <w:r>
              <w:rPr>
                <w:rFonts w:ascii="Arial" w:cs="Arial" w:eastAsia="Arial" w:hAnsi="Arial"/>
                <w:sz w:val="18"/>
                <w:szCs w:val="18"/>
                <w:color w:val="auto"/>
                <w:w w:val="89"/>
              </w:rPr>
              <w:t>interest bearning deposits - time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mortgage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on securities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other real estate and repossessed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Vehicle service contract counterparty contingencies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(Increase) decrease in accrued income and other assets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Decrease in accrued expenses and other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Total Adjustments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From (Used in)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securities available for sale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securities available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Purchases of interest bearing deposits - time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(23,280)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From (Used in) Investing Activities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total deposits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decrease in other borrowings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vehicle service contract counterparty payables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144,709</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101,552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Transfer of payment plan receivables to vehicle service contract counterparty receivables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920" w:type="dxa"/>
            <w:vAlign w:val="bottom"/>
            <w:gridSpan w:val="2"/>
          </w:tcPr>
          <w:p>
            <w:pPr>
              <w:jc w:val="center"/>
              <w:ind w:right="56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2015 included in our Annual Report on Form 10-K.</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accompanying unaudited condensed consolidated financial statements contain all the adjustments necessary to present fairly our consolidated financial condition as of March 31, 2016 and December 31, 2015, and the results of operations for the three month periods ended March 31, 2016 and 2015. The results of operations for the three month periods ended March 31, 2016,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determination of vehicle service contract counterparty contingencies, the valuation of originated mortgage loan servicing rights and the valuation of deferred tax assets. Refer to our 2015 Annual Report on Form 10-K for a disclosure of our accounting policies.</w:t>
      </w:r>
    </w:p>
    <w:p>
      <w:pPr>
        <w:spacing w:after="0" w:line="189"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2014, the Financial Accounting Standards Board (“FASB”) issued Accounting Standards Update (“ASU”) 2014-12, “Compensation – Stock Compensation (Topic 718) – Accounting for Share-Based Payments When the Terms of an Award Provide That a Performance Target Could Be Achieved After the Requisite Service Period”. This ASU amends existing guidance related to the accounting for share-based payments when the terms of an award provide that a performance target could be achieved after the requisite service period. These amendments require that a performance target that affects vesting and that could be achieved after the requisite service period be treated as a performance condition.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amended guidance became effective for us on January 1, 2016, and did not have a material impact on our consolidated operating results or financial condition.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and is not expected to have a material impact on our consolidated operating results or financial condition.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(718) Improvements to Employee Share-Based Payment Accounting”. This ASU amends existing guidance in an effort to simplify certain aspects of accounting for share-based payments. The areas for simplification in this ASU include income tax consequences, classification of awards as either equity or liabilities and classification on the statement of cash flows. This amended guidance is effective for us on January 1, 2017, with early adoption permitted, and is not expected to have a material impact on our consolidated operating results or financial condition.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March 31, 2016</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35,016</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1,644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587,963</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589,500</w:t>
            </w:r>
          </w:p>
        </w:tc>
        <w:tc>
          <w:tcPr>
            <w:tcW w:w="0" w:type="dxa"/>
            <w:vAlign w:val="bottom"/>
          </w:tcPr>
          <w:p>
            <w:pPr>
              <w:spacing w:after="0"/>
              <w:rPr>
                <w:sz w:val="1"/>
                <w:szCs w:val="1"/>
                <w:color w:val="auto"/>
              </w:rPr>
            </w:pPr>
          </w:p>
        </w:tc>
      </w:tr>
      <w:tr>
        <w:trPr>
          <w:trHeight w:val="21"/>
        </w:trPr>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47,283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176,042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224,857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64,733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available-for-sale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or (loss).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March 31, 2016, we had 30 U.S. agency, 66 U.S. agency residential mortgage-backed and five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label mortgage backed securities — at March 31, 2016, we had 11 of this type of security whose fair value is less than amortized cost. The unrealized losses are primarily attributed to five securities purchased prior to 2016. Two of these five securities have an impairment in excess of 10% and four of these holdings have been impaired for more than 12 months. The unrealized losses are largely attributable to credit spread widening on these five securities since their acquisition.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five securities are receiving principal and interest payments. Most of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five private label mortgage-backed securities are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four of the five securities whose fair value is less than amortized cost while the fifth security had credit related OTTI recognized in prior years and is discussed in further detail below.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March 31, 2016, we had 121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of states and political subdivisions — at March 31, 2016, we had 44 municipal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March 31, 2016, we had 23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March 31, 2016,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$0.8 million as of March 31, 2016, continues to have satisfactory credit metrics and make interest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March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810"/>
              <w:spacing w:after="0"/>
              <w:rPr>
                <w:sz w:val="20"/>
                <w:szCs w:val="20"/>
                <w:color w:val="auto"/>
              </w:rPr>
            </w:pPr>
            <w:r>
              <w:rPr>
                <w:rFonts w:ascii="Arial" w:cs="Arial" w:eastAsia="Arial" w:hAnsi="Arial"/>
                <w:sz w:val="18"/>
                <w:szCs w:val="18"/>
                <w:color w:val="auto"/>
              </w:rPr>
              <w:t>March 31, 2016</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2015</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Foreign government — at March 31, 2016, we had one foreign government security whose fair value is less than amortized cost. The unrealized loss is primarily due to an increase in interest rates since acquisition. As management does not intend to liquidate this security and it is more likely than not that we will not be required to sell this security prior to recovery of this unrealized loss, the decline is not deemed to be other than temporary.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month periods ended March 31, 2016 and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three private label mortgage-backed securities had credit related OTTI and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Senior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40" w:type="dxa"/>
            <w:vAlign w:val="bottom"/>
            <w:gridSpan w:val="2"/>
          </w:tcPr>
          <w:p>
            <w:pPr>
              <w:spacing w:after="0"/>
              <w:rPr>
                <w:sz w:val="20"/>
                <w:szCs w:val="20"/>
                <w:color w:val="auto"/>
              </w:rPr>
            </w:pPr>
            <w:r>
              <w:rPr>
                <w:rFonts w:ascii="Arial" w:cs="Arial" w:eastAsia="Arial" w:hAnsi="Arial"/>
                <w:sz w:val="18"/>
                <w:szCs w:val="18"/>
                <w:color w:val="auto"/>
              </w:rPr>
              <w:t>As of March 31, 2016</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Amortized cost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Non-credit unrealized loss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Unrealized gain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Cumulative credit related OTTI</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Credit related OTTI recognized in our Condensed</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Consolidated Statements of Operations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 the three months ended March 31,</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80"/>
              <w:spacing w:after="0"/>
              <w:rPr>
                <w:sz w:val="20"/>
                <w:szCs w:val="20"/>
                <w:color w:val="auto"/>
              </w:rPr>
            </w:pPr>
            <w:r>
              <w:rPr>
                <w:rFonts w:ascii="Arial" w:cs="Arial" w:eastAsia="Arial" w:hAnsi="Arial"/>
                <w:sz w:val="18"/>
                <w:szCs w:val="18"/>
                <w:color w:val="auto"/>
              </w:rPr>
              <w:t>2016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2015</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Two of these securities have unrealized gains and one has an unrealized loss at March 31, 2016. The original amortized cost for each of these securities has been permanently adjusted downward for previously recorded credit related OTTI. The unrealized loss (based on original amortized cost) for two of these securities is now less than previously recorded credit related OTTI amounts. The remaining non-credit related unrealized loss in the senior security is attributed to other factors and is reflected in other comprehensive income during those same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for the three month periods ending March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1,844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1,844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
        </w:trPr>
        <w:tc>
          <w:tcPr>
            <w:tcW w:w="7500" w:type="dxa"/>
            <w:vAlign w:val="bottom"/>
            <w:gridSpan w:val="2"/>
            <w:vMerge w:val="restart"/>
          </w:tcPr>
          <w:p>
            <w:pPr>
              <w:jc w:val="right"/>
              <w:ind w:right="1630"/>
              <w:spacing w:after="0"/>
              <w:rPr>
                <w:sz w:val="20"/>
                <w:szCs w:val="20"/>
                <w:color w:val="auto"/>
              </w:rPr>
            </w:pPr>
            <w:r>
              <w:rPr>
                <w:rFonts w:ascii="Arial" w:cs="Arial" w:eastAsia="Arial" w:hAnsi="Arial"/>
                <w:sz w:val="14"/>
                <w:szCs w:val="14"/>
                <w:color w:val="auto"/>
              </w:rPr>
              <w:t>14</w:t>
            </w: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5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w w:val="96"/>
              </w:rPr>
              <w:t>The amortized cost and fair value of securities available for sale at March 31, 2016, by contractual maturity, follow:</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74,249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74,472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62,664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63,236</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69,240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69,021</w:t>
            </w:r>
          </w:p>
        </w:tc>
      </w:tr>
      <w:tr>
        <w:trPr>
          <w:trHeight w:val="216"/>
        </w:trPr>
        <w:tc>
          <w:tcPr>
            <w:tcW w:w="8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237,182</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197,379</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Private label residential mortgage-backed</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18,375</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587,963</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589,500</w:t>
            </w:r>
          </w:p>
        </w:tc>
      </w:tr>
      <w:tr>
        <w:trPr>
          <w:trHeight w:val="21"/>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Losses</w:t>
            </w: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11,786</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2016 and 2015, our trading securities consisted of various preferred stocks. During the first three months of 2016 and 2015, we recognized gains (losses) on trading securities of $(0.012) million and $0.010 million, respectively, that are included in net gains on securities in the Condensed Consolidated Statements of Operations. Both of these amounts relate to gains (losses) recognized on trading securities still held at each respective period end.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March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Payment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Subjective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Receivables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5,622</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5,363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5,916</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5,056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Payment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Installment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Receivables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17,585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64,899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506,253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32,305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1,543,510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Accrued interest included in recorded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770,886</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231,787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32,305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1,538,982</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733,399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436,349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226,409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34,599</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502,724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Accrued interest included in recorded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90+ and</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Non-</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rPr>
              <w:t>Still</w:t>
            </w: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Performing</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Accruing</w:t>
            </w:r>
          </w:p>
        </w:tc>
        <w:tc>
          <w:tcPr>
            <w:tcW w:w="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Accrual</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10"/>
              <w:spacing w:after="0"/>
              <w:rPr>
                <w:sz w:val="20"/>
                <w:szCs w:val="20"/>
                <w:color w:val="auto"/>
              </w:rPr>
            </w:pPr>
            <w:r>
              <w:rPr>
                <w:rFonts w:ascii="Arial" w:cs="Arial" w:eastAsia="Arial" w:hAnsi="Arial"/>
                <w:sz w:val="14"/>
                <w:szCs w:val="14"/>
                <w:color w:val="auto"/>
                <w:w w:val="89"/>
              </w:rPr>
              <w:t>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310,604</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305,155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272,298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Payment plan receivables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Full refund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Partial refund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5,881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8,201</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1,504,250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1,519,887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Impaired loans are as follows :</w:t>
            </w:r>
          </w:p>
        </w:tc>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460" w:type="dxa"/>
            <w:vAlign w:val="bottom"/>
            <w:gridSpan w:val="7"/>
          </w:tcPr>
          <w:p>
            <w:pPr>
              <w:ind w:left="3600"/>
              <w:spacing w:after="0"/>
              <w:rPr>
                <w:sz w:val="20"/>
                <w:szCs w:val="20"/>
                <w:color w:val="auto"/>
              </w:rPr>
            </w:pPr>
            <w:r>
              <w:rPr>
                <w:rFonts w:ascii="Arial" w:cs="Arial" w:eastAsia="Arial" w:hAnsi="Arial"/>
                <w:sz w:val="18"/>
                <w:szCs w:val="18"/>
                <w:color w:val="auto"/>
                <w:w w:val="96"/>
              </w:rPr>
              <w:t>March 31, 2016  December 31, 2015</w:t>
            </w:r>
          </w:p>
        </w:tc>
        <w:tc>
          <w:tcPr>
            <w:tcW w:w="0" w:type="dxa"/>
            <w:vAlign w:val="bottom"/>
          </w:tcPr>
          <w:p>
            <w:pPr>
              <w:spacing w:after="0"/>
              <w:rPr>
                <w:sz w:val="1"/>
                <w:szCs w:val="1"/>
                <w:color w:val="auto"/>
              </w:rPr>
            </w:pPr>
          </w:p>
        </w:tc>
      </w:tr>
      <w:tr>
        <w:trPr>
          <w:trHeight w:val="27"/>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Impaired loans with no allocated allowance</w:t>
            </w:r>
          </w:p>
        </w:tc>
        <w:tc>
          <w:tcPr>
            <w:tcW w:w="3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vMerge w:val="continue"/>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w w:val="83"/>
              </w:rPr>
              <w:t>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396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9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present value cash flow</w:t>
            </w:r>
          </w:p>
        </w:tc>
        <w:tc>
          <w:tcPr>
            <w:tcW w:w="36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396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87,851</w:t>
            </w:r>
          </w:p>
        </w:tc>
        <w:tc>
          <w:tcPr>
            <w:tcW w:w="9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88,793</w:t>
            </w:r>
          </w:p>
        </w:tc>
        <w:tc>
          <w:tcPr>
            <w:tcW w:w="0" w:type="dxa"/>
            <w:vAlign w:val="bottom"/>
          </w:tcPr>
          <w:p>
            <w:pPr>
              <w:spacing w:after="0"/>
              <w:rPr>
                <w:sz w:val="1"/>
                <w:szCs w:val="1"/>
                <w:color w:val="auto"/>
              </w:rPr>
            </w:pPr>
          </w:p>
        </w:tc>
      </w:tr>
      <w:tr>
        <w:trPr>
          <w:trHeight w:val="21"/>
        </w:trPr>
        <w:tc>
          <w:tcPr>
            <w:tcW w:w="49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396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9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 - allowance based on present value cash flow</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6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00" w:type="dxa"/>
            <w:vAlign w:val="bottom"/>
          </w:tcPr>
          <w:p>
            <w:pPr>
              <w:ind w:left="680"/>
              <w:spacing w:after="0"/>
              <w:rPr>
                <w:sz w:val="20"/>
                <w:szCs w:val="20"/>
                <w:color w:val="auto"/>
              </w:rPr>
            </w:pPr>
            <w:r>
              <w:rPr>
                <w:rFonts w:ascii="Arial" w:cs="Arial" w:eastAsia="Arial" w:hAnsi="Arial"/>
                <w:sz w:val="14"/>
                <w:szCs w:val="14"/>
                <w:color w:val="auto"/>
              </w:rPr>
              <w:t>20</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Impaired loans by class are as follows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 2016</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9"/>
              </w:rPr>
              <w:t>December 31, 2015</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Recorded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7"/>
              </w:rPr>
              <w:t>Recorded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Allowance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Allowance</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3,744</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18,319</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2,492</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85,599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88,955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90,182</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3,171</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18,319</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88,154</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92,541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89,131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93,926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
        </w:trPr>
        <w:tc>
          <w:tcPr>
            <w:tcW w:w="3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payment plan receivables or purchased mortgage loans at March 31, 2016 or December 31, 2015.</w:t>
      </w:r>
    </w:p>
    <w:p>
      <w:pPr>
        <w:sectPr>
          <w:pgSz w:w="11900" w:h="16838" w:orient="portrait"/>
          <w:cols w:equalWidth="0" w:num="1">
            <w:col w:w="11420"/>
          </w:cols>
          <w:pgMar w:left="240" w:top="121" w:right="239" w:bottom="94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43"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080"/>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three month periods ending March 31, follows (1):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line of credit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line of credit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installment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installment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line of credit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line of credit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installment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installment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line of credit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line of credit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installment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installment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88,647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111,375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during the three month periods ended March 31, 2016 and 2015, respectively.</w:t>
      </w:r>
    </w:p>
    <w:p>
      <w:pPr>
        <w:sectPr>
          <w:pgSz w:w="11900" w:h="16838" w:orient="portrait"/>
          <w:cols w:equalWidth="0" w:num="1">
            <w:col w:w="11420"/>
          </w:cols>
          <w:pgMar w:left="240" w:top="121"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average investment in impaired loans was approximately $88.6 million and $111.4 million for the three-month periods ended March 31, 2016 and 2015, respectively. Cash receipts on impaired loans on non-accrual status are generally applied to the principal balance. Interest income recognized on impaired loans during the three months ending March 31, 2016 and 2015, was approximately $0.9 million and $1.2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6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2"/>
              </w:rPr>
              <w:t>March 31,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66,619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80,569</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Non-performing TDRs(1)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3,693(2)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6,491</w:t>
            </w:r>
          </w:p>
        </w:tc>
      </w:tr>
      <w:tr>
        <w:trPr>
          <w:trHeight w:val="25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6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3"/>
              </w:rPr>
              <w:t>December 31, 2015</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68,194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81,512</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Non-performing TDRs(1)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3,777(2)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6,818</w:t>
            </w:r>
          </w:p>
        </w:tc>
      </w:tr>
      <w:tr>
        <w:trPr>
          <w:trHeight w:val="25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(1)Included in non-performing loans table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(2)Also includes loans on non-accrual at the time of modification until six payments are received on a timely basis.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$10.7 million and $10.9 million of specific reserves to customers whose loan terms have been modified in troubled debt restructurings as of March 31, 2016 and December 31, 2015,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2016 and 2015,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March 31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2016</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2,259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2015</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troubled debt restructurings described above for 2016 increased the allowance for loan losses by $0.06 million and resulted in zero charge offs while the troubled debt restructurings described above for 2015 increased the allowance for loan losses by $0.03 million and resulted in zero charge offs.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that have been classified as troubled debt restructurings during the past twelve months and that have subsequently defaulted during the three-month periods ended March 31 follow: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gridSpan w:val="2"/>
            <w:vMerge w:val="restart"/>
          </w:tcPr>
          <w:p>
            <w:pPr>
              <w:jc w:val="right"/>
              <w:ind w:right="8370"/>
              <w:spacing w:after="0"/>
              <w:rPr>
                <w:sz w:val="20"/>
                <w:szCs w:val="20"/>
                <w:color w:val="auto"/>
              </w:rPr>
            </w:pPr>
            <w:r>
              <w:rPr>
                <w:rFonts w:ascii="Arial" w:cs="Arial" w:eastAsia="Arial" w:hAnsi="Arial"/>
                <w:sz w:val="18"/>
                <w:szCs w:val="18"/>
                <w:color w:val="auto"/>
                <w:w w:val="84"/>
              </w:rPr>
              <w:t>2016</w:t>
            </w:r>
          </w:p>
        </w:tc>
        <w:tc>
          <w:tcPr>
            <w:tcW w:w="2600" w:type="dxa"/>
            <w:vAlign w:val="bottom"/>
            <w:gridSpan w:val="6"/>
          </w:tcPr>
          <w:p>
            <w:pPr>
              <w:ind w:left="4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187"/>
        </w:trPr>
        <w:tc>
          <w:tcPr>
            <w:tcW w:w="88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troubled debt restructurings that subsequently defaulted in 2016 while the troubled debt restructurings that subsequently defaulted described above for 2015 had no impact on the balance of the allowance for loan losses and resulted in zero charge offs.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certain other loans were modified during the three months ended March 31, 2016 and 2015 in a manner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 on-going monitoring of the credit quality of our loan portfolios, we track certain credit quality indicators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weighted-average risk grade of commercial loans, (b) the level of classified commercial loans, (c) credit scores of mortgage and installment loan borrowers, (d) financial performance of certain counterparties for payment plan receivables and (e) delinquency history and non-performing loans.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This rating includes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with weaknesses that make collection of debt in full, on the basis of current facts, conditions and values at best questionable and at worst improbable. All of these loans are placed in non-accrual.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303,195</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733,522</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28,729</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6,653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296,898</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371,357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6,683</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399,570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709,099</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1,729</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color w:val="auto"/>
                <w:w w:val="93"/>
              </w:rPr>
              <w:t>Mortgage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Home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Resort</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Purchased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1-4 Family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1st Lien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2nd Lien</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29,357</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39,748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18,190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16,538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7,501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3,052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283,257</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112,916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26,244</w:t>
            </w: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52,410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31,426</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506,253</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28,760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40,888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31,980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27,966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4,991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116,020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51,258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502,724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1,396</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477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87</w:t>
            </w: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196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114</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1"/>
              </w:rPr>
              <w:t>Home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1"/>
              </w:rPr>
              <w:t>Loans not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Secured by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1"/>
              </w:rPr>
              <w:t>1st Lien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2nd Lien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89,742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16,394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16,213</w:t>
            </w:r>
          </w:p>
        </w:tc>
        <w:tc>
          <w:tcPr>
            <w:tcW w:w="40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19,059</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195,080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2,107</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232,459</w:t>
            </w:r>
          </w:p>
        </w:tc>
        <w:tc>
          <w:tcPr>
            <w:tcW w:w="0" w:type="dxa"/>
            <w:vAlign w:val="bottom"/>
          </w:tcPr>
          <w:p>
            <w:pPr>
              <w:spacing w:after="0"/>
              <w:rPr>
                <w:sz w:val="1"/>
                <w:szCs w:val="1"/>
                <w:color w:val="auto"/>
              </w:rPr>
            </w:pPr>
          </w:p>
        </w:tc>
      </w:tr>
      <w:tr>
        <w:trPr>
          <w:trHeight w:val="21"/>
        </w:trPr>
        <w:tc>
          <w:tcPr>
            <w:tcW w:w="47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1,792</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34,789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17,235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192,333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232,297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83</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520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Mepco Finance Corporation (“Mepco”) is a wholly-owned subsidiary of our Bank that operates a vehicle service contract payment plan business throughout the United States. See Note #14 for more information about Mepco’s business. As of March 31, 2016, approximately 56.0% of Mepco’s outstanding payment plan receivables relate to programs in which a third party insurer or risk retention group is obligated to pay Mepco the full refund owing upon cancellation of the related service contract (including with respect to both the portion funded to the service contract seller and the portion funded to the administrator). These receivables are shown as “Full Refund” in the table below. Another approximately 20.3% of Mepco’s outstanding payment plan receivables as of March 31, 2016, relate to programs in which a third party insurer or risk retention group is obligated to pay Mepco the refund owing upon cancellation only with respect to the unearned portion previously funded by Mepco to the administrator (but not to the service contract seller). These receivables are shown as “Partial Refund” in the table below. The balance of Mepco’s outstanding payment plan receivables relate to programs in which there is no insurer or risk retention group that has any contractual liability to Mepco for any portion of the refund amount. These receivables are shown as “Other” in the table below. For each class of our payment plan receivables we monitor financial information on the counterparties as we evaluate the credit quality of this portfolio.</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credit ratings of insurer or risk retention group counterparties by class of payment plan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Payment Plan Receivables</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Full</w:t>
            </w:r>
          </w:p>
        </w:tc>
        <w:tc>
          <w:tcPr>
            <w:tcW w:w="240" w:type="dxa"/>
            <w:vAlign w:val="bottom"/>
          </w:tcPr>
          <w:p>
            <w:pPr>
              <w:spacing w:after="0"/>
              <w:rPr>
                <w:sz w:val="17"/>
                <w:szCs w:val="17"/>
                <w:color w:val="auto"/>
              </w:rPr>
            </w:pPr>
          </w:p>
        </w:tc>
        <w:tc>
          <w:tcPr>
            <w:tcW w:w="12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Partial</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Refund</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Refund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w w:val="76"/>
              </w:rPr>
              <w:t>thousands)</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jc w:val="center"/>
              <w:ind w:right="3270"/>
              <w:spacing w:after="0"/>
              <w:rPr>
                <w:sz w:val="20"/>
                <w:szCs w:val="20"/>
                <w:color w:val="auto"/>
              </w:rPr>
            </w:pPr>
            <w:r>
              <w:rPr>
                <w:rFonts w:ascii="Arial" w:cs="Arial" w:eastAsia="Arial" w:hAnsi="Arial"/>
                <w:sz w:val="18"/>
                <w:szCs w:val="18"/>
                <w:color w:val="auto"/>
                <w:w w:val="94"/>
              </w:rPr>
              <w:t>AM Best rating</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5,285</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1,208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7,658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Not rated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18,084</w:t>
            </w: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7,660</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32,305</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jc w:val="center"/>
              <w:ind w:right="3310"/>
              <w:spacing w:after="0"/>
              <w:rPr>
                <w:sz w:val="20"/>
                <w:szCs w:val="20"/>
                <w:color w:val="auto"/>
              </w:rPr>
            </w:pPr>
            <w:r>
              <w:rPr>
                <w:rFonts w:ascii="Arial" w:cs="Arial" w:eastAsia="Arial" w:hAnsi="Arial"/>
                <w:sz w:val="18"/>
                <w:szCs w:val="18"/>
                <w:color w:val="auto"/>
                <w:w w:val="88"/>
              </w:rPr>
              <w:t>December 31,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jc w:val="center"/>
              <w:ind w:right="3270"/>
              <w:spacing w:after="0"/>
              <w:rPr>
                <w:sz w:val="20"/>
                <w:szCs w:val="20"/>
                <w:color w:val="auto"/>
              </w:rPr>
            </w:pPr>
            <w:r>
              <w:rPr>
                <w:rFonts w:ascii="Arial" w:cs="Arial" w:eastAsia="Arial" w:hAnsi="Arial"/>
                <w:sz w:val="18"/>
                <w:szCs w:val="18"/>
                <w:color w:val="auto"/>
                <w:w w:val="94"/>
              </w:rPr>
              <w:t>AM Best rating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5,203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6,265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Not rated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15,720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21,850</w:t>
            </w: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6,270</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34,599</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Mepco has contractual recourse against various counterparties for refunds owing upon cancellation of vehicle service contracts, see Note #14 below regarding certain risks and difficulties associated with collecting these refunds.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$2.5 million and $2.8 million at March 31, 2016 and December 31, 2015, respectively. Retail mortgage loans secured by residential real estate properties for which formal foreclosure proceedings are in process according to local requirements totaled $1.4 million and $1.1 million at March 31, 2016 and December 31, 2015, respectively.</w:t>
      </w:r>
    </w:p>
    <w:p>
      <w:pPr>
        <w:spacing w:after="0" w:line="187"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Segments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reportable segments are based upon legal entities. We currently have two reportable segments: Independent Bank (“IB” or “Bank”) and Mepco. These business segments are also differentiated based on the products and services provided. We evaluate performance based principally on net income (loss) of the respective reportable segments.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our IB segment provides funding to our Mepco segment through an intercompany line of credit priced at the prime rate of interest as published in the Wall Street Journal. Our IB segment also provides certain administrative services to our Mepco segment which are reimbursed at an agreed upon rate. These intercompany transactions are eliminated upon consolidation. The only other material intersegment balances and transactions are investments in subsidiaries at the parent entities and cash balances on deposit at our IB segment.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selected financial information for our reportable segments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IB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Mepco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Other(1)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Elimination(2)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2,425,152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50,515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2,340,566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57,208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286,936</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(275,644)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2,409,066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 the three months ended March 31,</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20,243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2015</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Net interest income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Income (loss) before income tax</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14706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amounts relating to our parent company.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parent company's investment in subsidiaries and cash balances maintained at subsidiary.</w:t>
      </w:r>
    </w:p>
    <w:p>
      <w:pPr>
        <w:spacing w:after="0" w:line="2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21, 2016, our Board of Directors authorized a share repurchase plan (the “Repurchase Plan”) to buy back up to 5% of our outstanding common stock through December 31, 2016.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three months ended March 31, 2016, we repurchased 1,059,865 shares of common stock for an aggregate purchase price of $15.5 million leaving 52,703 shares to be repurchased under the Repurchase Plan. On April 26, 2016 our Board of Directors authorized a $5.0 million expansion of the Repurchase Plan.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2011, we entered into a Tax Benefits Preservation Plan (the "Preservation Plan") with our stock transfer agent, American Stock Transfer &amp; Trust Company. Our Board of Directors adopted the Preservation Plan in an effort to protect the value to our shareholders of our ability to use deferred tax assets such as net operating loss carry forwards to reduce potential future federal income tax obligations. Under federal tax rules, this value could be lost in the event we experienced an "ownership change," as defined in Section 382 of the Internal Revenue Code. The Preservation Plan attempts to protect this value by reducing the likelihood that we will experience such an ownership change by discouraging any person who is not already a 5% shareholder from becoming a 5% shareholder (with certain limited exceptions).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15, 2011, our Board of Directors declared a dividend of one preferred share purchase right (a "Right") for each outstanding share of our common stock under the terms of the Preservation Plan. The dividend is payable to the holders of common stock outstanding as of the close of business on November 15, 2011, or outstanding at any time thereafter but before the earlier of a "Distribution Date" and the date the Preservation Plan terminates. Each Right entitles the registered holder to purchase from us 1/1000 of a share of our Series C Junior Participating Preferred Stock, no par value per share ("Series C Preferred Stock"). Each 1/1000 of a share of Series C Preferred Stock has economic and voting terms similar to those of one whole share of common stock. The Rights are not exercisable and generally do not become exercisable until a person or group has acquired, subject to certain exceptions and conditions, beneficial ownership of 4.99% or more of the outstanding shares of common stock. At that time, each Right will generally entitle its holder to purchase securities of the Company at a discount of 50% to the current market price of the common stock. However, the Rights owned by the person acquiring beneficial ownership of 4.99% or more of the outstanding shares of common stock would automatically be void. The significant dilution that would result is expected to deter any person from acquiring beneficial ownership of 4.99% or more and thereby triggering the Rights.</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date, none of the Rights have been exercised or have become exercisable because no unpermitted 4.99% or more change in the beneficial ownership of the outstanding common stock has occurred. The Rights will generally expire on the earlier to occur of the close of business on November 15, 2016, and certain other events described in the Preservation Plan, including such date as our Board of Directors determines that the Preservation Plan is no longer necessary for its intended purposes. At the present time, the Board of Directors does not intend to extend the Preservation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outstanding (1)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stock options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(1)Basic net income per common share includes weighted average common shares outstanding during the period and participating share awards.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stock options outstanding that were not included in weighted average shares outstanding for calculation of diluted earnings per share because they were anti-dilutive totaled 0.03 million for both the three-month periods ended March 31, 2016 and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1"/>
              </w:rPr>
              <w:t>March 31, 2016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23,854</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50,127</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42,933</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42,933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2,803</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165,453</w:t>
            </w:r>
          </w:p>
        </w:tc>
        <w:tc>
          <w:tcPr>
            <w:tcW w:w="2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744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20,581</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46,320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27,587</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27,587</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We obtain market prices on Mandatory Commitments and Rate-Lock Commitments. Net gains on mortgage loans, as well as net income may be more volatile as a result of these derivative instruments, which are not designated as hedges.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we began offering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relate to this program.</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4"/>
          </w:tcPr>
          <w:p>
            <w:pPr>
              <w:spacing w:after="0"/>
              <w:rPr>
                <w:sz w:val="20"/>
                <w:szCs w:val="20"/>
                <w:color w:val="auto"/>
              </w:rPr>
            </w:pPr>
            <w:r>
              <w:rPr>
                <w:rFonts w:ascii="Arial" w:cs="Arial" w:eastAsia="Arial" w:hAnsi="Arial"/>
                <w:sz w:val="18"/>
                <w:szCs w:val="18"/>
                <w:color w:val="auto"/>
              </w:rPr>
              <w:t>Fair Values of Derivative Instruments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color w:val="auto"/>
              </w:rPr>
              <w:t>Asset Derivatives</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355"/>
              <w:spacing w:after="0"/>
              <w:rPr>
                <w:sz w:val="20"/>
                <w:szCs w:val="20"/>
                <w:color w:val="auto"/>
              </w:rPr>
            </w:pPr>
            <w:r>
              <w:rPr>
                <w:rFonts w:ascii="Arial" w:cs="Arial" w:eastAsia="Arial" w:hAnsi="Arial"/>
                <w:sz w:val="18"/>
                <w:szCs w:val="18"/>
                <w:color w:val="auto"/>
              </w:rPr>
              <w:t>Liability Derivatives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2320" w:type="dxa"/>
            <w:vAlign w:val="bottom"/>
            <w:gridSpan w:val="5"/>
          </w:tcPr>
          <w:p>
            <w:pPr>
              <w:ind w:left="740"/>
              <w:spacing w:after="0" w:line="201" w:lineRule="exact"/>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17"/>
                <w:szCs w:val="17"/>
                <w:color w:val="auto"/>
              </w:rPr>
            </w:pPr>
          </w:p>
        </w:tc>
        <w:tc>
          <w:tcPr>
            <w:tcW w:w="2000" w:type="dxa"/>
            <w:vAlign w:val="bottom"/>
            <w:gridSpan w:val="4"/>
          </w:tcPr>
          <w:p>
            <w:pPr>
              <w:ind w:left="380"/>
              <w:spacing w:after="0" w:line="201"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3"/>
          </w:tcPr>
          <w:p>
            <w:pPr>
              <w:ind w:left="800"/>
              <w:spacing w:after="0" w:line="201" w:lineRule="exact"/>
              <w:rPr>
                <w:sz w:val="20"/>
                <w:szCs w:val="20"/>
                <w:color w:val="auto"/>
              </w:rPr>
            </w:pPr>
            <w:r>
              <w:rPr>
                <w:rFonts w:ascii="Arial" w:cs="Arial" w:eastAsia="Arial" w:hAnsi="Arial"/>
                <w:sz w:val="18"/>
                <w:szCs w:val="18"/>
                <w:color w:val="auto"/>
                <w:w w:val="94"/>
              </w:rPr>
              <w:t>March 31,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jc w:val="right"/>
              <w:ind w:right="59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460" w:type="dxa"/>
            <w:vAlign w:val="bottom"/>
            <w:gridSpan w:val="3"/>
          </w:tcPr>
          <w:p>
            <w:pPr>
              <w:jc w:val="right"/>
              <w:ind w:right="105"/>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ind w:left="940"/>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4"/>
          </w:tcPr>
          <w:p>
            <w:pPr>
              <w:ind w:left="1060"/>
              <w:spacing w:after="0"/>
              <w:rPr>
                <w:sz w:val="20"/>
                <w:szCs w:val="20"/>
                <w:color w:val="auto"/>
              </w:rPr>
            </w:pPr>
            <w:r>
              <w:rPr>
                <w:rFonts w:ascii="Arial" w:cs="Arial" w:eastAsia="Arial" w:hAnsi="Arial"/>
                <w:sz w:val="18"/>
                <w:szCs w:val="18"/>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5"/>
          </w:tcPr>
          <w:p>
            <w:pPr>
              <w:jc w:val="right"/>
              <w:ind w:right="125"/>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460" w:type="dxa"/>
            <w:vAlign w:val="bottom"/>
            <w:tcBorders>
              <w:top w:val="single" w:sz="8" w:color="auto"/>
            </w:tcBorders>
            <w:gridSpan w:val="3"/>
          </w:tcPr>
          <w:p>
            <w:pPr>
              <w:ind w:left="200"/>
              <w:spacing w:after="0" w:line="201" w:lineRule="exact"/>
              <w:rPr>
                <w:sz w:val="20"/>
                <w:szCs w:val="20"/>
                <w:color w:val="auto"/>
              </w:rPr>
            </w:pPr>
            <w:r>
              <w:rPr>
                <w:rFonts w:ascii="Arial" w:cs="Arial" w:eastAsia="Arial" w:hAnsi="Arial"/>
                <w:sz w:val="18"/>
                <w:szCs w:val="18"/>
                <w:color w:val="auto"/>
              </w:rPr>
              <w:t>Balance</w:t>
            </w: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Balance</w:t>
            </w: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top w:val="single" w:sz="8" w:color="auto"/>
            </w:tcBorders>
            <w:gridSpan w:val="3"/>
          </w:tcPr>
          <w:p>
            <w:pPr>
              <w:jc w:val="right"/>
              <w:ind w:right="645"/>
              <w:spacing w:after="0" w:line="201" w:lineRule="exact"/>
              <w:rPr>
                <w:sz w:val="20"/>
                <w:szCs w:val="20"/>
                <w:color w:val="auto"/>
              </w:rPr>
            </w:pPr>
            <w:r>
              <w:rPr>
                <w:rFonts w:ascii="Arial" w:cs="Arial" w:eastAsia="Arial" w:hAnsi="Arial"/>
                <w:sz w:val="18"/>
                <w:szCs w:val="18"/>
                <w:color w:val="auto"/>
              </w:rPr>
              <w:t>Balance</w:t>
            </w: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ind w:left="280"/>
              <w:spacing w:after="0" w:line="201"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color w:val="auto"/>
              </w:rPr>
              <w:t>Sheet</w:t>
            </w: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Sheet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60" w:type="dxa"/>
            <w:vAlign w:val="bottom"/>
          </w:tcPr>
          <w:p>
            <w:pPr>
              <w:spacing w:after="0"/>
              <w:rPr>
                <w:sz w:val="18"/>
                <w:szCs w:val="18"/>
                <w:color w:val="auto"/>
              </w:rPr>
            </w:pPr>
          </w:p>
        </w:tc>
        <w:tc>
          <w:tcPr>
            <w:tcW w:w="1580" w:type="dxa"/>
            <w:vAlign w:val="bottom"/>
            <w:gridSpan w:val="3"/>
          </w:tcPr>
          <w:p>
            <w:pPr>
              <w:jc w:val="center"/>
              <w:ind w:right="345"/>
              <w:spacing w:after="0"/>
              <w:rPr>
                <w:sz w:val="20"/>
                <w:szCs w:val="20"/>
                <w:color w:val="auto"/>
              </w:rPr>
            </w:pPr>
            <w:r>
              <w:rPr>
                <w:rFonts w:ascii="Arial" w:cs="Arial" w:eastAsia="Arial" w:hAnsi="Arial"/>
                <w:sz w:val="18"/>
                <w:szCs w:val="18"/>
                <w:color w:val="auto"/>
                <w:w w:val="84"/>
              </w:rPr>
              <w:t>Sheet</w:t>
            </w:r>
          </w:p>
        </w:tc>
        <w:tc>
          <w:tcPr>
            <w:tcW w:w="880" w:type="dxa"/>
            <w:vAlign w:val="bottom"/>
            <w:gridSpan w:val="4"/>
          </w:tcPr>
          <w:p>
            <w:pPr>
              <w:jc w:val="right"/>
              <w:ind w:right="520"/>
              <w:spacing w:after="0"/>
              <w:rPr>
                <w:sz w:val="20"/>
                <w:szCs w:val="20"/>
                <w:color w:val="auto"/>
              </w:rPr>
            </w:pPr>
            <w:r>
              <w:rPr>
                <w:rFonts w:ascii="Arial" w:cs="Arial" w:eastAsia="Arial" w:hAnsi="Arial"/>
                <w:sz w:val="18"/>
                <w:szCs w:val="18"/>
                <w:color w:val="auto"/>
              </w:rPr>
              <w:t>Fair</w:t>
            </w:r>
          </w:p>
        </w:tc>
        <w:tc>
          <w:tcPr>
            <w:tcW w:w="1140" w:type="dxa"/>
            <w:vAlign w:val="bottom"/>
            <w:gridSpan w:val="2"/>
          </w:tcPr>
          <w:p>
            <w:pPr>
              <w:jc w:val="right"/>
              <w:ind w:right="255"/>
              <w:spacing w:after="0"/>
              <w:rPr>
                <w:sz w:val="20"/>
                <w:szCs w:val="20"/>
                <w:color w:val="auto"/>
              </w:rPr>
            </w:pPr>
            <w:r>
              <w:rPr>
                <w:rFonts w:ascii="Arial" w:cs="Arial" w:eastAsia="Arial" w:hAnsi="Arial"/>
                <w:sz w:val="18"/>
                <w:szCs w:val="18"/>
                <w:color w:val="auto"/>
              </w:rPr>
              <w:t>Sheet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460" w:type="dxa"/>
            <w:vAlign w:val="bottom"/>
            <w:gridSpan w:val="3"/>
          </w:tcPr>
          <w:p>
            <w:pPr>
              <w:ind w:left="200"/>
              <w:spacing w:after="0"/>
              <w:rPr>
                <w:sz w:val="20"/>
                <w:szCs w:val="20"/>
                <w:color w:val="auto"/>
              </w:rPr>
            </w:pPr>
            <w:r>
              <w:rPr>
                <w:rFonts w:ascii="Arial" w:cs="Arial" w:eastAsia="Arial" w:hAnsi="Arial"/>
                <w:sz w:val="18"/>
                <w:szCs w:val="18"/>
                <w:color w:val="auto"/>
              </w:rPr>
              <w:t>Location</w:t>
            </w: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rPr>
              <w:t>Location</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Value</w:t>
            </w:r>
          </w:p>
        </w:tc>
        <w:tc>
          <w:tcPr>
            <w:tcW w:w="60" w:type="dxa"/>
            <w:vAlign w:val="bottom"/>
          </w:tcPr>
          <w:p>
            <w:pPr>
              <w:spacing w:after="0"/>
              <w:rPr>
                <w:sz w:val="20"/>
                <w:szCs w:val="20"/>
                <w:color w:val="auto"/>
              </w:rPr>
            </w:pPr>
          </w:p>
        </w:tc>
        <w:tc>
          <w:tcPr>
            <w:tcW w:w="1580" w:type="dxa"/>
            <w:vAlign w:val="bottom"/>
            <w:gridSpan w:val="3"/>
          </w:tcPr>
          <w:p>
            <w:pPr>
              <w:jc w:val="center"/>
              <w:ind w:right="345"/>
              <w:spacing w:after="0"/>
              <w:rPr>
                <w:sz w:val="20"/>
                <w:szCs w:val="20"/>
                <w:color w:val="auto"/>
              </w:rPr>
            </w:pPr>
            <w:r>
              <w:rPr>
                <w:rFonts w:ascii="Arial" w:cs="Arial" w:eastAsia="Arial" w:hAnsi="Arial"/>
                <w:sz w:val="18"/>
                <w:szCs w:val="18"/>
                <w:color w:val="auto"/>
                <w:w w:val="93"/>
              </w:rPr>
              <w:t>Location</w:t>
            </w:r>
          </w:p>
        </w:tc>
        <w:tc>
          <w:tcPr>
            <w:tcW w:w="880" w:type="dxa"/>
            <w:vAlign w:val="bottom"/>
            <w:gridSpan w:val="4"/>
          </w:tcPr>
          <w:p>
            <w:pPr>
              <w:jc w:val="right"/>
              <w:ind w:right="460"/>
              <w:spacing w:after="0"/>
              <w:rPr>
                <w:sz w:val="20"/>
                <w:szCs w:val="20"/>
                <w:color w:val="auto"/>
              </w:rPr>
            </w:pPr>
            <w:r>
              <w:rPr>
                <w:rFonts w:ascii="Arial" w:cs="Arial" w:eastAsia="Arial" w:hAnsi="Arial"/>
                <w:sz w:val="18"/>
                <w:szCs w:val="18"/>
                <w:color w:val="auto"/>
                <w:w w:val="86"/>
              </w:rPr>
              <w:t>Value</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1800" w:type="dxa"/>
            <w:vAlign w:val="bottom"/>
            <w:vMerge w:val="restart"/>
          </w:tcPr>
          <w:p>
            <w:pPr>
              <w:spacing w:after="0"/>
              <w:rPr>
                <w:sz w:val="20"/>
                <w:szCs w:val="20"/>
                <w:color w:val="auto"/>
              </w:rPr>
            </w:pPr>
            <w:r>
              <w:rPr>
                <w:rFonts w:ascii="Arial" w:cs="Arial" w:eastAsia="Arial" w:hAnsi="Arial"/>
                <w:sz w:val="18"/>
                <w:szCs w:val="18"/>
                <w:color w:val="auto"/>
              </w:rPr>
              <w:t>Derivatives not</w:t>
            </w: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(In</w:t>
            </w:r>
          </w:p>
        </w:tc>
        <w:tc>
          <w:tcPr>
            <w:tcW w:w="120" w:type="dxa"/>
            <w:vAlign w:val="bottom"/>
            <w:gridSpan w:val="2"/>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88"/>
              </w:rPr>
              <w:t>designated as hedging</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Rate-lock mortgage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loan commitments</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0"/>
                <w:szCs w:val="20"/>
                <w:color w:val="auto"/>
              </w:rPr>
            </w:pPr>
          </w:p>
        </w:tc>
        <w:tc>
          <w:tcPr>
            <w:tcW w:w="1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   $</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6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Other liabilities  $</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Other liabilities</w:t>
            </w:r>
          </w:p>
        </w:tc>
        <w:tc>
          <w:tcPr>
            <w:tcW w:w="44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0" w:type="dxa"/>
            <w:vAlign w:val="bottom"/>
          </w:tcPr>
          <w:p>
            <w:pPr>
              <w:ind w:left="180"/>
              <w:spacing w:after="0" w:line="201" w:lineRule="exact"/>
              <w:rPr>
                <w:sz w:val="20"/>
                <w:szCs w:val="20"/>
                <w:color w:val="auto"/>
              </w:rPr>
            </w:pPr>
            <w:r>
              <w:rPr>
                <w:rFonts w:ascii="Arial" w:cs="Arial" w:eastAsia="Arial" w:hAnsi="Arial"/>
                <w:sz w:val="18"/>
                <w:szCs w:val="18"/>
                <w:color w:val="auto"/>
              </w:rPr>
              <w:t>Mandatory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340"/>
              <w:spacing w:after="0"/>
              <w:rPr>
                <w:sz w:val="20"/>
                <w:szCs w:val="20"/>
                <w:color w:val="auto"/>
              </w:rPr>
            </w:pPr>
            <w:r>
              <w:rPr>
                <w:rFonts w:ascii="Arial" w:cs="Arial" w:eastAsia="Arial" w:hAnsi="Arial"/>
                <w:sz w:val="18"/>
                <w:szCs w:val="18"/>
                <w:color w:val="auto"/>
              </w:rPr>
              <w:t>commitments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4"/>
          </w:tcPr>
          <w:p>
            <w:pPr>
              <w:ind w:left="340"/>
              <w:spacing w:after="0"/>
              <w:rPr>
                <w:sz w:val="20"/>
                <w:szCs w:val="20"/>
                <w:color w:val="auto"/>
              </w:rPr>
            </w:pPr>
            <w:r>
              <w:rPr>
                <w:rFonts w:ascii="Arial" w:cs="Arial" w:eastAsia="Arial" w:hAnsi="Arial"/>
                <w:sz w:val="18"/>
                <w:szCs w:val="18"/>
                <w:color w:val="auto"/>
              </w:rPr>
              <w:t>sell mortgage loans Other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c>
          <w:tcPr>
            <w:tcW w:w="1640" w:type="dxa"/>
            <w:vAlign w:val="bottom"/>
            <w:gridSpan w:val="4"/>
          </w:tcPr>
          <w:p>
            <w:pPr>
              <w:ind w:left="60"/>
              <w:spacing w:after="0"/>
              <w:rPr>
                <w:sz w:val="20"/>
                <w:szCs w:val="20"/>
                <w:color w:val="auto"/>
              </w:rPr>
            </w:pPr>
            <w:r>
              <w:rPr>
                <w:rFonts w:ascii="Arial" w:cs="Arial" w:eastAsia="Arial" w:hAnsi="Arial"/>
                <w:sz w:val="18"/>
                <w:szCs w:val="18"/>
                <w:color w:val="auto"/>
              </w:rPr>
              <w:t>Other liabilities</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4"/>
              </w:rPr>
              <w:t>Other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Pay-fixed interest rate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swap agreements</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Other liabilities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1800" w:type="dxa"/>
            <w:vAlign w:val="bottom"/>
          </w:tcPr>
          <w:p>
            <w:pPr>
              <w:ind w:left="180"/>
              <w:spacing w:after="0" w:line="201" w:lineRule="exact"/>
              <w:rPr>
                <w:sz w:val="20"/>
                <w:szCs w:val="20"/>
                <w:color w:val="auto"/>
              </w:rPr>
            </w:pPr>
            <w:r>
              <w:rPr>
                <w:rFonts w:ascii="Arial" w:cs="Arial" w:eastAsia="Arial" w:hAnsi="Arial"/>
                <w:sz w:val="18"/>
                <w:szCs w:val="18"/>
                <w:color w:val="auto"/>
                <w:w w:val="97"/>
              </w:rPr>
              <w:t>Pay-variable interest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340"/>
              <w:spacing w:after="0"/>
              <w:rPr>
                <w:sz w:val="20"/>
                <w:szCs w:val="20"/>
                <w:color w:val="auto"/>
              </w:rPr>
            </w:pPr>
            <w:r>
              <w:rPr>
                <w:rFonts w:ascii="Arial" w:cs="Arial" w:eastAsia="Arial" w:hAnsi="Arial"/>
                <w:sz w:val="18"/>
                <w:szCs w:val="18"/>
                <w:color w:val="auto"/>
              </w:rPr>
              <w:t>rateswap</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340"/>
              <w:spacing w:after="0"/>
              <w:rPr>
                <w:sz w:val="20"/>
                <w:szCs w:val="20"/>
                <w:color w:val="auto"/>
              </w:rPr>
            </w:pPr>
            <w:r>
              <w:rPr>
                <w:rFonts w:ascii="Arial" w:cs="Arial" w:eastAsia="Arial" w:hAnsi="Arial"/>
                <w:sz w:val="18"/>
                <w:szCs w:val="18"/>
                <w:color w:val="auto"/>
              </w:rPr>
              <w:t>agreements</w:t>
            </w:r>
          </w:p>
        </w:tc>
        <w:tc>
          <w:tcPr>
            <w:tcW w:w="14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1640" w:type="dxa"/>
            <w:vAlign w:val="bottom"/>
            <w:gridSpan w:val="4"/>
          </w:tcPr>
          <w:p>
            <w:pPr>
              <w:ind w:left="60"/>
              <w:spacing w:after="0"/>
              <w:rPr>
                <w:sz w:val="20"/>
                <w:szCs w:val="20"/>
                <w:color w:val="auto"/>
              </w:rPr>
            </w:pPr>
            <w:r>
              <w:rPr>
                <w:rFonts w:ascii="Arial" w:cs="Arial" w:eastAsia="Arial" w:hAnsi="Arial"/>
                <w:sz w:val="18"/>
                <w:szCs w:val="18"/>
                <w:color w:val="auto"/>
              </w:rPr>
              <w:t>Other liabilities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4"/>
              </w:rPr>
              <w:t>Other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6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Other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4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40" w:type="dxa"/>
            <w:vAlign w:val="bottom"/>
            <w:gridSpan w:val="4"/>
          </w:tcPr>
          <w:p>
            <w:pPr>
              <w:ind w:left="60"/>
              <w:spacing w:after="0"/>
              <w:rPr>
                <w:sz w:val="20"/>
                <w:szCs w:val="20"/>
                <w:color w:val="auto"/>
              </w:rPr>
            </w:pPr>
            <w:r>
              <w:rPr>
                <w:rFonts w:ascii="Arial" w:cs="Arial" w:eastAsia="Arial" w:hAnsi="Arial"/>
                <w:sz w:val="18"/>
                <w:szCs w:val="18"/>
                <w:color w:val="auto"/>
              </w:rPr>
              <w:t>Other liabilities</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4"/>
              </w:rPr>
              <w:t>Other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1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11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940" w:type="dxa"/>
            <w:vAlign w:val="bottom"/>
            <w:gridSpan w:val="20"/>
          </w:tcPr>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right"/>
              <w:ind w:right="755"/>
              <w:spacing w:after="0"/>
              <w:rPr>
                <w:sz w:val="20"/>
                <w:szCs w:val="20"/>
                <w:color w:val="auto"/>
              </w:rPr>
            </w:pPr>
            <w:r>
              <w:rPr>
                <w:rFonts w:ascii="Arial" w:cs="Arial" w:eastAsia="Arial" w:hAnsi="Arial"/>
                <w:sz w:val="18"/>
                <w:szCs w:val="18"/>
                <w:color w:val="auto"/>
                <w:w w:val="90"/>
              </w:rPr>
              <w:t>Three Month Periods Ended March 31,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5"/>
          </w:tcPr>
          <w:p>
            <w:pPr>
              <w:jc w:val="right"/>
              <w:spacing w:after="0" w:line="201" w:lineRule="exact"/>
              <w:rPr>
                <w:sz w:val="20"/>
                <w:szCs w:val="20"/>
                <w:color w:val="auto"/>
              </w:rPr>
            </w:pPr>
            <w:r>
              <w:rPr>
                <w:rFonts w:ascii="Arial" w:cs="Arial" w:eastAsia="Arial" w:hAnsi="Arial"/>
                <w:sz w:val="18"/>
                <w:szCs w:val="18"/>
                <w:color w:val="auto"/>
              </w:rPr>
              <w:t>Gain (Loss)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jc w:val="right"/>
              <w:ind w:right="840"/>
              <w:spacing w:after="0"/>
              <w:rPr>
                <w:sz w:val="20"/>
                <w:szCs w:val="20"/>
                <w:color w:val="auto"/>
              </w:rPr>
            </w:pPr>
            <w:r>
              <w:rPr>
                <w:rFonts w:ascii="Arial" w:cs="Arial" w:eastAsia="Arial" w:hAnsi="Arial"/>
                <w:sz w:val="18"/>
                <w:szCs w:val="18"/>
                <w:color w:val="auto"/>
              </w:rPr>
              <w:t>Recognized in</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6"/>
          </w:tcPr>
          <w:p>
            <w:pPr>
              <w:ind w:left="100"/>
              <w:spacing w:after="0"/>
              <w:rPr>
                <w:sz w:val="20"/>
                <w:szCs w:val="20"/>
                <w:color w:val="auto"/>
              </w:rPr>
            </w:pPr>
            <w:r>
              <w:rPr>
                <w:rFonts w:ascii="Arial" w:cs="Arial" w:eastAsia="Arial" w:hAnsi="Arial"/>
                <w:sz w:val="18"/>
                <w:szCs w:val="18"/>
                <w:color w:val="auto"/>
              </w:rPr>
              <w:t>Location of Gain (Loss)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8"/>
                <w:szCs w:val="18"/>
                <w:color w:val="auto"/>
              </w:rPr>
              <w:t>Income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645"/>
              <w:spacing w:after="0"/>
              <w:rPr>
                <w:sz w:val="20"/>
                <w:szCs w:val="20"/>
                <w:color w:val="auto"/>
              </w:rPr>
            </w:pPr>
            <w:r>
              <w:rPr>
                <w:rFonts w:ascii="Arial" w:cs="Arial" w:eastAsia="Arial" w:hAnsi="Arial"/>
                <w:sz w:val="18"/>
                <w:szCs w:val="18"/>
                <w:color w:val="auto"/>
                <w:w w:val="98"/>
              </w:rPr>
              <w:t>Recognized in Income</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5"/>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Rate-lock mortgage loan commitments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8"/>
              </w:rPr>
              <w:t>Net gains on mortgage loans</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44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120" w:type="dxa"/>
            <w:vAlign w:val="bottom"/>
            <w:gridSpan w:val="6"/>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24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Arial" w:cs="Arial" w:eastAsia="Arial" w:hAnsi="Arial"/>
                <w:sz w:val="18"/>
                <w:szCs w:val="18"/>
                <w:color w:val="auto"/>
                <w:w w:val="88"/>
              </w:rPr>
              <w:t>Net gains on mortgage loans</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Pay-fixed interest rate</w:t>
            </w:r>
          </w:p>
        </w:tc>
        <w:tc>
          <w:tcPr>
            <w:tcW w:w="14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w w:val="88"/>
              </w:rPr>
              <w:t>swap agreements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Interest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260" w:type="dxa"/>
            <w:vAlign w:val="bottom"/>
            <w:gridSpan w:val="4"/>
          </w:tcPr>
          <w:p>
            <w:pPr>
              <w:ind w:left="180"/>
              <w:spacing w:after="0"/>
              <w:rPr>
                <w:sz w:val="20"/>
                <w:szCs w:val="20"/>
                <w:color w:val="auto"/>
              </w:rPr>
            </w:pPr>
            <w:r>
              <w:rPr>
                <w:rFonts w:ascii="Arial" w:cs="Arial" w:eastAsia="Arial" w:hAnsi="Arial"/>
                <w:sz w:val="18"/>
                <w:szCs w:val="18"/>
                <w:color w:val="auto"/>
                <w:w w:val="88"/>
              </w:rPr>
              <w:t>Pay-variable interest rate swap agreements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95"/>
              </w:rPr>
              <w:t>Interest income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Interest expense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88"/>
              </w:rPr>
              <w:t>Interest expense</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491"/>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8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4"/>
          </w:tcPr>
          <w:p>
            <w:pPr>
              <w:spacing w:after="0"/>
              <w:rPr>
                <w:sz w:val="20"/>
                <w:szCs w:val="20"/>
                <w:color w:val="auto"/>
              </w:rPr>
            </w:pPr>
            <w:r>
              <w:rPr>
                <w:rFonts w:ascii="Arial" w:cs="Arial" w:eastAsia="Arial" w:hAnsi="Arial"/>
                <w:sz w:val="18"/>
                <w:szCs w:val="18"/>
                <w:color w:val="auto"/>
              </w:rPr>
              <w:t>8. Intangible Assets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8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30"/>
              <w:spacing w:after="0"/>
              <w:rPr>
                <w:sz w:val="20"/>
                <w:szCs w:val="20"/>
                <w:color w:val="auto"/>
              </w:rPr>
            </w:pPr>
            <w:r>
              <w:rPr>
                <w:rFonts w:ascii="Arial" w:cs="Arial" w:eastAsia="Arial" w:hAnsi="Arial"/>
                <w:sz w:val="18"/>
                <w:szCs w:val="18"/>
                <w:color w:val="auto"/>
              </w:rPr>
              <w:t>March 31, 2016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6,118</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10"/>
          </w:tcPr>
          <w:p>
            <w:pPr>
              <w:spacing w:after="0"/>
              <w:rPr>
                <w:sz w:val="20"/>
                <w:szCs w:val="20"/>
                <w:color w:val="auto"/>
              </w:rPr>
            </w:pPr>
            <w:r>
              <w:rPr>
                <w:rFonts w:ascii="Arial" w:cs="Arial" w:eastAsia="Arial" w:hAnsi="Arial"/>
                <w:sz w:val="18"/>
                <w:szCs w:val="18"/>
                <w:color w:val="auto"/>
                <w:w w:val="97"/>
              </w:rPr>
              <w:t>Amortization of other intangibles has been estimated through 2021 and thereafter in the following table.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Nine months ending December 31, 2016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2017</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2019</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2021 and thereafter</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Share 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March 31, 2016. The non-employee director stock purchase plan permits the issuance of additional share based payments for up to 0.2 million shares of common stock as of March 31, 2016. Share based awards and payments are measured at fair value at the date of grant and are expensed over the requisite service period. Common shares issued upon exercise of stock options come from currently authorized but unissued shares.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each first quarter period of 2016 and 2015, pursuant to our long-term incentive plan, we granted 0.07 million shares of restricted stock and 0.03 million performance stock units (“PSU”)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0.002 million shares and 0.001 million shares to directors during the first three months of 2016 and 2015, respectively and expensed their value during those same periods.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recognized for grants pursuant to our long-term incentive plan was $0.4 million during both three month periods ended March 31, 2016 and 2015. The corresponding tax benefit relating to this expense was $0.1 million for each period. Total expense recognized for non-employee director share based payments was $0.03 million and $0.02 million during the three months ended March 31, 2016 and 2015, respectively. The corresponding tax benefit relating to this expense was $0.01 million for each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the total expected compensation cost related to non-vested stock options, restricted stock, PSUs and restricted stock unit awards not yet recognized was $2.4 million. The weighted-average period over which this amount will be recognized is 2.1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235,596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March 31, 2016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224,882</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March 31, 2016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224,631</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202,938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restricted stock units and PSUs and related transactions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4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6160" w:type="dxa"/>
            <w:vAlign w:val="bottom"/>
            <w:gridSpan w:val="3"/>
          </w:tcPr>
          <w:p>
            <w:pPr>
              <w:jc w:val="right"/>
              <w:ind w:right="140"/>
              <w:spacing w:after="0"/>
              <w:rPr>
                <w:sz w:val="20"/>
                <w:szCs w:val="20"/>
                <w:color w:val="auto"/>
              </w:rPr>
            </w:pPr>
            <w:r>
              <w:rPr>
                <w:rFonts w:ascii="Arial" w:cs="Arial" w:eastAsia="Arial" w:hAnsi="Arial"/>
                <w:sz w:val="18"/>
                <w:szCs w:val="18"/>
                <w:color w:val="auto"/>
              </w:rPr>
              <w:t>96,191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6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r>
      <w:tr>
        <w:trPr>
          <w:trHeight w:val="223"/>
        </w:trPr>
        <w:tc>
          <w:tcPr>
            <w:tcW w:w="2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6160" w:type="dxa"/>
            <w:vAlign w:val="bottom"/>
            <w:gridSpan w:val="3"/>
          </w:tcPr>
          <w:p>
            <w:pPr>
              <w:jc w:val="right"/>
              <w:ind w:right="8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488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335,549</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r>
      <w:tr>
        <w:trPr>
          <w:trHeight w:val="562"/>
        </w:trPr>
        <w:tc>
          <w:tcPr>
            <w:tcW w:w="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4880" w:type="dxa"/>
            <w:vAlign w:val="bottom"/>
            <w:tcBorders>
              <w:top w:val="single" w:sz="8" w:color="CCEEFF"/>
            </w:tcBorders>
          </w:tcPr>
          <w:p>
            <w:pPr>
              <w:jc w:val="right"/>
              <w:ind w:right="2954"/>
              <w:spacing w:after="0"/>
              <w:rPr>
                <w:sz w:val="20"/>
                <w:szCs w:val="20"/>
                <w:color w:val="auto"/>
              </w:rPr>
            </w:pPr>
            <w:r>
              <w:rPr>
                <w:rFonts w:ascii="Arial" w:cs="Arial" w:eastAsia="Arial" w:hAnsi="Arial"/>
                <w:sz w:val="14"/>
                <w:szCs w:val="14"/>
                <w:color w:val="auto"/>
              </w:rPr>
              <w:t>37</w:t>
            </w: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proceeds received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Income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$2.0 million and $1.8 million during the three months ended March 31, 2016 and 2015, respectively.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2016 and 2015, that the realization of substantially all of our deferred tax assets continues to be more likely than not.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March 31,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March 31, 2016 and December 31, 2015, we had approximately $1.0 million, of gross unrecognized tax benefits. We do not expect the total amount of unrecognized tax benefits to significantly increase or decrease during the balance of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2016, the Bank had negative undivided profits of $5.7 million. We can request regulatory approval for a return of capital from the Bank to the parent company. During the first quarters of 2016 and 2015, we requested regulatory approval for returns of capital from the Bank to the parent company of $18.0 million and $18.5 million, respectively. These return of capital requests were approved by our banking regulators on February 24, 2016 and February 13, 2015, respectively and the Bank returned these amounts to the parent company on February 25, 2016 and February 17, 2015, respectively. It is not our intent to have dividends paid in amounts that would reduce the capital of our Bank to levels below those which we consider prudent and in accordance with guidelines of regulatory authorities.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March 31, 2016 and December 31, 2015, categorized our Bank as well capitalized. Management is not aware of any conditions or events that would have changed the most recent Federal Deposit Insurance Corporation (“FDIC”) categorization.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0.625% added to the minimum ratio for adequately capitalized institutions for 2016.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 The New Capital Rules became effective for us on January 1, 2015.</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8"/>
                <w:szCs w:val="18"/>
                <w:color w:val="auto"/>
                <w:w w:val="96"/>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8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135,651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8.00%</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251,157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135,503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169,379</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101,738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229,884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101,628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135,503</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76,304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4.50%</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229,884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76,221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110,097</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95,713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4.00%</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229,884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95,647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119,559</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278,170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133,668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0"/>
              </w:rPr>
              <w:t>8.00%</w:t>
            </w:r>
          </w:p>
        </w:tc>
        <w:tc>
          <w:tcPr>
            <w:tcW w:w="26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133,514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166,893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257,050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15.38%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100,251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0"/>
              </w:rPr>
              <w:t>6.00%</w:t>
            </w:r>
          </w:p>
        </w:tc>
        <w:tc>
          <w:tcPr>
            <w:tcW w:w="26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100,136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133,514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239,271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14.32%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75,188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0"/>
              </w:rPr>
              <w:t>4.50%</w:t>
            </w:r>
          </w:p>
        </w:tc>
        <w:tc>
          <w:tcPr>
            <w:tcW w:w="26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75,102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108,480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257,050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94,217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0"/>
              </w:rPr>
              <w:t>4.00%</w:t>
            </w:r>
          </w:p>
        </w:tc>
        <w:tc>
          <w:tcPr>
            <w:tcW w:w="26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94,145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117,682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8307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7"/>
              </w:rPr>
              <w:t>March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4"/>
              </w:rPr>
              <w:t>March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239,545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247,567</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259,947</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Accumulated other comprehensive (income) loss for regulatory purposes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(18,406)</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229,884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240,867</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(16,721)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w w:val="92"/>
              </w:rPr>
              <w:t>Allowance for loan losses and allowance for unfunded lending commitments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21,120</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21,273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21,027</w:t>
            </w: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278,170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251,157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Fair Value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municipal securities, trust preferred securities and corporate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March 31, 2016 and December 31, 2015,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retail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retail properties we typically discount an appraisal to account for various factors that the appraisal excludes in its assumptions. These additional discounts generally do not result in material adjustments to the appraised value.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nonrecurring Level 3. Management evaluates the third party valuation for reasonableness each quarter as part of our financial reporting control processes.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197,379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197,379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18,375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148,345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28,016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196,056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196,056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34,028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116,904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144,984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144,984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three months ended March 31, 2016 and 2015.</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gridSpan w:val="8"/>
          </w:tcPr>
          <w:p>
            <w:pPr>
              <w:jc w:val="center"/>
              <w:spacing w:after="0"/>
              <w:rPr>
                <w:sz w:val="20"/>
                <w:szCs w:val="20"/>
                <w:color w:val="auto"/>
              </w:rPr>
            </w:pPr>
            <w:r>
              <w:rPr>
                <w:rFonts w:ascii="Arial" w:cs="Arial" w:eastAsia="Arial" w:hAnsi="Arial"/>
                <w:sz w:val="18"/>
                <w:szCs w:val="18"/>
                <w:color w:val="auto"/>
                <w:w w:val="90"/>
              </w:rPr>
              <w:t>Changes in Fair Values for the three-Month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gridSpan w:val="8"/>
          </w:tcPr>
          <w:p>
            <w:pPr>
              <w:jc w:val="center"/>
              <w:spacing w:after="0"/>
              <w:rPr>
                <w:sz w:val="20"/>
                <w:szCs w:val="20"/>
                <w:color w:val="auto"/>
              </w:rPr>
            </w:pPr>
            <w:r>
              <w:rPr>
                <w:rFonts w:ascii="Arial" w:cs="Arial" w:eastAsia="Arial" w:hAnsi="Arial"/>
                <w:sz w:val="18"/>
                <w:szCs w:val="18"/>
                <w:color w:val="auto"/>
                <w:w w:val="89"/>
              </w:rPr>
              <w:t>Periods Ended March 31 for Items Measured at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8"/>
                <w:szCs w:val="18"/>
                <w:color w:val="auto"/>
                <w:w w:val="91"/>
              </w:rPr>
              <w:t>Fair Value Pursuant to Election of the Fair Value Option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Fair</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Values</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Included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Net Gains (Losses)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 Current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Net Gains (Losses)</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Current</w:t>
            </w:r>
          </w:p>
        </w:tc>
      </w:tr>
      <w:tr>
        <w:trPr>
          <w:trHeight w:val="237"/>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8"/>
              </w:rPr>
              <w:t>on Assets</w:t>
            </w:r>
          </w:p>
        </w:tc>
        <w:tc>
          <w:tcPr>
            <w:tcW w:w="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Period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5"/>
              </w:rPr>
              <w:t>on Assets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Period</w:t>
            </w:r>
          </w:p>
        </w:tc>
      </w:tr>
      <w:tr>
        <w:trPr>
          <w:trHeight w:val="223"/>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Securities</w:t>
            </w: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3"/>
              </w:rPr>
              <w:t>Loans</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Earnings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Securities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Loans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gridSpan w:val="5"/>
          </w:tcPr>
          <w:p>
            <w:pPr>
              <w:jc w:val="right"/>
              <w:ind w:right="85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127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represent impairment charges recognized during the three periods ended March 31, 2016 and 2015 relating to assets measured at fair value on a non-recurring basis:</w:t>
      </w:r>
    </w:p>
    <w:p>
      <w:pPr>
        <w:spacing w:after="0" w:line="1" w:lineRule="exact"/>
        <w:rPr>
          <w:sz w:val="20"/>
          <w:szCs w:val="20"/>
          <w:color w:val="auto"/>
        </w:rPr>
      </w:pPr>
    </w:p>
    <w:p>
      <w:pPr>
        <w:jc w:val="both"/>
        <w:ind w:left="6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Capitalized mortgage loan servicing rights, whose individual strata are measured at fair value, had a carrying amount of $10.5 million which is net of a valuation allowance of $4.7 million at March 31, 2016 and had a carrying amount of $8.5 million which is net of a valuation allowance of $3.3 million at December 31, 2015. An additional charge relating to capitalized mortgage loan servicing rights measured at fair value of $1.5 million and $0.7 million was included in our results of operations for the three month periods ending March 31, 2016 and 2015, respectively.</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$5.3 million, with a valuation allowance of $2.7 million at March 31, 2016 and had a carrying amount of $5.1 million, with a valuation allowance of $2.5 million at December 31, 2015. The provision for loan losses included in our results of operations relating to impaired loans was an expense of $0.6 million for both three month periods ending March 31, 2016 and 2015.</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$0.7 million which is net of a valuation allowance of $1.7 million at March 31, 2016 and a carrying amount of $1.0 million which is net of a valuation allowance of $1.7 million at December 31, 2015. An additional charge relating to other real estate measured at fair value of $0.2 million was included in our results of operations during both three month periods ended March 31, 2016 and 2015, respectively.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no assets or liabilities measured at fair value on a recurring basis that used significant unobservable inputs (Level 3) during the three months ended March 31, 2016 and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2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Technique</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ind w:left="2400"/>
              <w:spacing w:after="0"/>
              <w:rPr>
                <w:sz w:val="20"/>
                <w:szCs w:val="20"/>
                <w:color w:val="auto"/>
              </w:rPr>
            </w:pPr>
            <w:r>
              <w:rPr>
                <w:rFonts w:ascii="Arial" w:cs="Arial" w:eastAsia="Arial" w:hAnsi="Arial"/>
                <w:sz w:val="18"/>
                <w:szCs w:val="18"/>
                <w:color w:val="auto"/>
              </w:rPr>
              <w:t>(In</w:t>
            </w:r>
          </w:p>
        </w:tc>
        <w:tc>
          <w:tcPr>
            <w:tcW w:w="29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Capitalized mortgage loan servicing</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10,454</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Present value of net servicing revenue</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320"/>
              <w:spacing w:after="0" w:line="201" w:lineRule="exact"/>
              <w:rPr>
                <w:sz w:val="20"/>
                <w:szCs w:val="20"/>
                <w:color w:val="auto"/>
              </w:rPr>
            </w:pPr>
            <w:r>
              <w:rPr>
                <w:rFonts w:ascii="Arial" w:cs="Arial" w:eastAsia="Arial" w:hAnsi="Arial"/>
                <w:sz w:val="18"/>
                <w:szCs w:val="18"/>
                <w:color w:val="auto"/>
              </w:rPr>
              <w:t>Commercial (1)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Other real estate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320"/>
              <w:spacing w:after="0" w:line="201" w:lineRule="exact"/>
              <w:rPr>
                <w:sz w:val="20"/>
                <w:szCs w:val="20"/>
                <w:color w:val="auto"/>
              </w:rPr>
            </w:pPr>
            <w:r>
              <w:rPr>
                <w:rFonts w:ascii="Arial" w:cs="Arial" w:eastAsia="Arial" w:hAnsi="Arial"/>
                <w:sz w:val="18"/>
                <w:szCs w:val="18"/>
                <w:color w:val="auto"/>
              </w:rPr>
              <w:t>Mortgage and installment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December 31, 2015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Capitalized mortgage loan servicing</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6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Present value of net servicing revenue</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320"/>
              <w:spacing w:after="0" w:line="201" w:lineRule="exact"/>
              <w:rPr>
                <w:sz w:val="20"/>
                <w:szCs w:val="20"/>
                <w:color w:val="auto"/>
              </w:rPr>
            </w:pPr>
            <w:r>
              <w:rPr>
                <w:rFonts w:ascii="Arial" w:cs="Arial" w:eastAsia="Arial" w:hAnsi="Arial"/>
                <w:sz w:val="18"/>
                <w:szCs w:val="18"/>
                <w:color w:val="auto"/>
              </w:rPr>
              <w:t>Commercial (1)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approach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real estate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320"/>
              <w:spacing w:after="0" w:line="201"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 and installment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83070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60" w:hanging="252"/>
        <w:spacing w:after="0" w:line="276"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March 31, 2016 and December 31, 2015, we had an impaired collateral dependent commercial relationship that totaled $0.2 million and $0.4 million, respectively that was primarily secured by collateral other than real estate. Collateral securing this relationship primarily included machinery and equipment and inventory at March 31, 2016 and December 31, 2015. Valuation techniques at March 31, 2016 and December 31, 2015, included appraisals and discounting restructuring firm valuations based on estimates of value recovery of each particular asset type. Discount rates used ranged from 0% to 100% of stated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27,175</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27,866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Trading securities are classified as Level 1 while securities available for sale are classified as Level 2 as described in Note #12.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#12. Loans held for sale are classified as Level 2 as described in Note #12.</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certificates of deposit have generally been valued based on the discounted value of contractual cash flows using a discount rate approximating current market rates for liabilities with a similar maturity resulting in a Level 2 classification.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Fair Value Using</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Quoted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7"/>
              </w:rPr>
              <w:t>Prices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3"/>
              </w:rPr>
              <w:t>Markets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4"/>
              </w:rPr>
              <w:t>for</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Identical</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Assets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102,919</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589,500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1,544,503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1,513,641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28,016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1,704,515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1,704,515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450,191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449,221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449,221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22,526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1,952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54,260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54,260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11,858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585,484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1,659,743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1,659,743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1,659,743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423,776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13,448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60" w:hanging="252"/>
        <w:spacing w:after="0" w:line="264" w:lineRule="auto"/>
        <w:tabs>
          <w:tab w:leader="none" w:pos="2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$14.2 million and $11.8 million at March 31, 2016 and December 31, 2015, respectively. Deposits with a stated maturity include reciprocal deposits with a recorded book balance of $36.1 million and $38.4 million at March 31, 2016 and December 31, 2015, respectively.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ectPr>
          <w:pgSz w:w="11900" w:h="16838" w:orient="portrait"/>
          <w:cols w:equalWidth="0" w:num="1">
            <w:col w:w="11420"/>
          </w:cols>
          <w:pgMar w:left="240" w:top="122"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7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Mepco segment conducts its payment plan business activities across the United States. Mepco acquires the payment plans from companies (which we refer to as Mepco’s “counterparties”) at a discount from the face amount of the payment plan. Each payment plan (which are classified as payment plan receivables in our Condensed Consolidated Statements of Financial Condition) permits a consumer to purchase a vehicle service contract by making installment payments, generally for a term of 12 to 24 months, to the sellers of those contracts (one of the “counterparties”). Mepco thereafter collects the payments from consumers. In acquiring the payment plan, Mepco generally funds a portion of the cost to the seller of the service contract and a portion of the cost to the administrator of the service contract. The administrator, in turn, pays the necessary contractual liability insurance policy (“CLIP”) premium to the insurer or risk retention group.</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Consumers are allowed to voluntarily cancel the service contract at any time and are generally entitled to receive a refund from the administrator of the unearned portion of the service contract at the time of cancellation. As a result, while Mepco does not owe any refund to the consumer, it also does not have any recourse against the consumer for nonpayment of a payment plan and therefore does not evaluate the creditworthiness of the individual consumer. If a consumer stops making payments on a payment plan or exercises the right to voluntarily cancel the service contract, the service contract seller and administrator are each obligated to refund to Mepco the amount necessary to make Mepco whole as a result of its funding of the service contract. In addition, the insurer or risk retention group that issued the CLIP for the service contract often guarantees all or a portion of the refund to Mepco. See Note #4 above for a breakdown of Mepco’s payment plan receivables by the level of recourse Mepco has against various counterparties.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 These amounts represent funds actually due to Mepco from its counterparties for cancelled service contracts. Mepco is currently in the process of working to recover these receivables, primarily through negotiated settlements with the counterparties. In some cases, Mepco requires collateral or guaranties by the principals of the counterparties to secure these refund obligations; however, this is generally only the case when no insurance company is involved to guarantee the repayment obligation of the seller and administrator counterparties. In most cases, there is no collateral to secure the counterparties’ refund obligations to Mepco, but Mepco has the contractual right to offset unpaid refund obligations against amounts Mepco would otherwise be obligated to fund to the counterparties. In addition, even when collateral is involved, the refund obligations of these counterparties are not fully secured. Mepco incurs losses when it is unable to fully recover funds owing to it by counterparties upon cancellation of the underlying service contracts. The sudden failure of one of Mepco’s major counterparties (an insurance company, administrator, or seller/dealer) could expose us to significant losses.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counterparties do not honor their contractual obligations to Mepco to repay funds, we recognize estimated losses. Mepco pursues collection (including commencing legal action if necessary) of funds due to it under its various contracts with counterparties.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which reduced vehicle service contract counterparty receivables, net to $3.2 million as of March 31, 2016 compared to $7.2 million as of December 31, 2015.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As a payment history is developed on this note, we will continue to evaluate the need for all or any part of a reserve. Charges related to estimated losses for vehicle service contract counterparty contingencies included in non-interest expense totaled $0.03 million for both three month periods ended March 31, 2016 and 2015. These charges are being classified in non-interest expense because they are associated with a default or potential default of a contractual obligation under our counterparty contracts as opposed to loss on the administration of the payment plan itself.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assumptions regarding the collection of vehicle service contract counterparty receivables are reasonable, and we based them on our good faith judgments using data currently available. We also believe the current amount of reserves we have established and the vehicle service contract counterparty contingencies expense that we have recorded are appropriate given our estimate of probable incurred losses at the applicable Condensed Consolidated Statement of Financial Condition date. However, because of the uncertainty surrounding the numerous and complex assumptions made, actual losses could exceed the charges we have taken to date.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 credit of $0.02 million and $0.07 million for the three months ended March 31, 2016 and 2015, respectively. The credit provision in each period is due primarily to the settlement of certain loss reimbursement claims at slightly lower amounts than what had been specifically reserved for previously. The reserve for loss reimbursements on sold mortgage loans totaled $0.5 million at both March 31, 2016 and December 31, 2015.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March 31,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Arial" w:cs="Arial" w:eastAsia="Arial" w:hAnsi="Arial"/>
                <w:sz w:val="18"/>
                <w:szCs w:val="18"/>
                <w:color w:val="auto"/>
              </w:rPr>
              <w:t>15.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Dispropor-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tionate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Tax Effects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from</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7440" w:type="dxa"/>
            <w:vAlign w:val="bottom"/>
            <w:gridSpan w:val="4"/>
          </w:tcPr>
          <w:p>
            <w:pPr>
              <w:spacing w:after="0" w:line="201" w:lineRule="exact"/>
              <w:rPr>
                <w:sz w:val="20"/>
                <w:szCs w:val="20"/>
                <w:color w:val="auto"/>
              </w:rPr>
            </w:pPr>
            <w:r>
              <w:rPr>
                <w:rFonts w:ascii="Arial" w:cs="Arial" w:eastAsia="Arial" w:hAnsi="Arial"/>
                <w:sz w:val="18"/>
                <w:szCs w:val="18"/>
                <w:color w:val="auto"/>
              </w:rPr>
              <w:t>For the three months ended March 31,</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jc w:val="right"/>
              <w:ind w:right="3530"/>
              <w:spacing w:after="0"/>
              <w:rPr>
                <w:sz w:val="20"/>
                <w:szCs w:val="20"/>
                <w:color w:val="auto"/>
              </w:rPr>
            </w:pPr>
            <w:r>
              <w:rPr>
                <w:rFonts w:ascii="Arial" w:cs="Arial" w:eastAsia="Arial" w:hAnsi="Arial"/>
                <w:sz w:val="18"/>
                <w:szCs w:val="18"/>
                <w:color w:val="auto"/>
              </w:rPr>
              <w:t>2016</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80" w:type="dxa"/>
            <w:vAlign w:val="bottom"/>
            <w:gridSpan w:val="2"/>
          </w:tcPr>
          <w:p>
            <w:pPr>
              <w:ind w:left="30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jc w:val="right"/>
              <w:ind w:right="3530"/>
              <w:spacing w:after="0"/>
              <w:rPr>
                <w:sz w:val="20"/>
                <w:szCs w:val="20"/>
                <w:color w:val="auto"/>
              </w:rPr>
            </w:pPr>
            <w:r>
              <w:rPr>
                <w:rFonts w:ascii="Arial" w:cs="Arial" w:eastAsia="Arial" w:hAnsi="Arial"/>
                <w:sz w:val="18"/>
                <w:szCs w:val="18"/>
                <w:color w:val="auto"/>
              </w:rPr>
              <w:t>2015</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March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360" w:type="dxa"/>
            <w:vAlign w:val="bottom"/>
            <w:vMerge w:val="restart"/>
          </w:tcPr>
          <w:p>
            <w:pPr>
              <w:jc w:val="right"/>
              <w:ind w:right="391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jc w:val="right"/>
              <w:ind w:right="610"/>
              <w:spacing w:after="0"/>
              <w:rPr>
                <w:sz w:val="20"/>
                <w:szCs w:val="20"/>
                <w:color w:val="auto"/>
              </w:rPr>
            </w:pPr>
            <w:r>
              <w:rPr>
                <w:rFonts w:ascii="Arial" w:cs="Arial" w:eastAsia="Arial" w:hAnsi="Arial"/>
                <w:sz w:val="18"/>
                <w:szCs w:val="18"/>
                <w:color w:val="auto"/>
                <w:w w:val="93"/>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340" w:hanging="862"/>
        <w:spacing w:after="0"/>
        <w:tabs>
          <w:tab w:leader="none" w:pos="5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174  Net gains on securities</w:t>
      </w:r>
    </w:p>
    <w:p>
      <w:pPr>
        <w:spacing w:after="0" w:line="9" w:lineRule="exact"/>
        <w:rPr>
          <w:rFonts w:ascii="Arial" w:cs="Arial" w:eastAsia="Arial" w:hAnsi="Arial"/>
          <w:sz w:val="18"/>
          <w:szCs w:val="18"/>
          <w:color w:val="auto"/>
        </w:rPr>
      </w:pPr>
    </w:p>
    <w:p>
      <w:pPr>
        <w:ind w:left="5760" w:hanging="207"/>
        <w:spacing w:after="0"/>
        <w:tabs>
          <w:tab w:leader="none" w:pos="5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5715</wp:posOffset>
            </wp:positionV>
            <wp:extent cx="7200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7200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340" w:hanging="862"/>
        <w:spacing w:after="0"/>
        <w:tabs>
          <w:tab w:leader="none" w:pos="5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securities available for sale</w:t>
      </w:r>
    </w:p>
    <w:p>
      <w:pPr>
        <w:spacing w:after="0" w:line="9" w:lineRule="exact"/>
        <w:rPr>
          <w:sz w:val="20"/>
          <w:szCs w:val="20"/>
          <w:color w:val="auto"/>
        </w:rPr>
      </w:pPr>
    </w:p>
    <w:p>
      <w:pPr>
        <w:ind w:left="5440" w:hanging="962"/>
        <w:spacing w:after="0"/>
        <w:tabs>
          <w:tab w:leader="none" w:pos="5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75  Net gains on securities</w:t>
      </w:r>
    </w:p>
    <w:p>
      <w:pPr>
        <w:spacing w:after="0" w:line="9" w:lineRule="exact"/>
        <w:rPr>
          <w:rFonts w:ascii="Arial" w:cs="Arial" w:eastAsia="Arial" w:hAnsi="Arial"/>
          <w:sz w:val="18"/>
          <w:szCs w:val="18"/>
          <w:color w:val="auto"/>
        </w:rPr>
      </w:pPr>
    </w:p>
    <w:p>
      <w:pPr>
        <w:ind w:left="5760" w:hanging="207"/>
        <w:spacing w:after="0"/>
        <w:tabs>
          <w:tab w:leader="none" w:pos="5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5715</wp:posOffset>
            </wp:positionV>
            <wp:extent cx="7200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440"/>
        <w:spacing w:after="0"/>
        <w:tabs>
          <w:tab w:leader="none" w:pos="5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7200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440" w:hanging="962"/>
        <w:spacing w:after="0"/>
        <w:tabs>
          <w:tab w:leader="none" w:pos="5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its wholly-owned bank, Independent Bank (the "Bank"), and their subsidiaries. This section should be read in conjunction with the Condensed Consolidated Financial Statements. We also encourage you to read our 2015 Annual Report on Form 10-K filed with the U.S. Securities and Exchange Commission ("SEC"). That report includes a list of risk factors that you should consider in connection with any decision to buy or sell our securities.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economic conditions in Michigan’s Lower Peninsula. At times, we have experienced a difficult economy in Michigan. Economic conditions in Michigan began to show signs of improvement during 2010. Generally, these improvements have continued into 2016,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reduced levels of new loan defaults, and reduced levels of loan net charge-offs.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Regulation</w:t>
      </w:r>
      <w:r>
        <w:rPr>
          <w:rFonts w:ascii="Arial" w:cs="Arial" w:eastAsia="Arial" w:hAnsi="Arial"/>
          <w:sz w:val="16"/>
          <w:szCs w:val="16"/>
          <w:color w:val="auto"/>
        </w:rPr>
        <w:t>. On July 2, 2013, the Federal Reserve Board (the "FRB") approved a final rule that establishes an integrated regulatory capital framework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over a four-year period beginning in 2016 with 0.625% added to the minimum ratio for adequately capitalized institutions for 2016.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We were subject to the New Capital Rules beginning on January 1, 2015, and as of March 31, 2016 and December 31, 2015 we exceeded all of the capital ratio requirements of the New Capital Rules.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It is against this backdrop that we discuss our results of operations and financial condition in the first quarter of 2016 as compared to 2015.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Summary. </w:t>
      </w:r>
      <w:r>
        <w:rPr>
          <w:rFonts w:ascii="Arial" w:cs="Arial" w:eastAsia="Arial" w:hAnsi="Arial"/>
          <w:sz w:val="16"/>
          <w:szCs w:val="16"/>
          <w:color w:val="auto"/>
        </w:rPr>
        <w:t>We recorded net income of $4.1 million during the three months ended March 31, 2016, compared to net income of $3.8 million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March 31, 2015. The increase in net income is primarily due to an increase in net interest income and a decrease in non-interest expenses that were partially offset by a decline in non-interest income and increases in the provision for loan losses (lower credit) and in income tax expense.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Key performance ratios</w:t>
            </w:r>
          </w:p>
        </w:tc>
        <w:tc>
          <w:tcPr>
            <w:tcW w:w="2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gridSpan w:val="3"/>
          </w:tcPr>
          <w:p>
            <w:pPr>
              <w:jc w:val="right"/>
              <w:ind w:right="210"/>
              <w:spacing w:after="0"/>
              <w:rPr>
                <w:sz w:val="20"/>
                <w:szCs w:val="20"/>
                <w:color w:val="auto"/>
              </w:rPr>
            </w:pPr>
            <w:r>
              <w:rPr>
                <w:rFonts w:ascii="Arial" w:cs="Arial" w:eastAsia="Arial" w:hAnsi="Arial"/>
                <w:sz w:val="18"/>
                <w:szCs w:val="18"/>
                <w:color w:val="auto"/>
              </w:rPr>
              <w:t>ended March 31,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(annualized) to</w:t>
            </w:r>
          </w:p>
        </w:tc>
        <w:tc>
          <w:tcPr>
            <w:tcW w:w="23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assets</w:t>
            </w:r>
          </w:p>
        </w:tc>
        <w:tc>
          <w:tcPr>
            <w:tcW w:w="2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0.68%</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Average common shareholders’ equity</w:t>
            </w:r>
          </w:p>
        </w:tc>
        <w:tc>
          <w:tcPr>
            <w:tcW w:w="2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6.70</w:t>
            </w:r>
          </w:p>
        </w:tc>
        <w:tc>
          <w:tcPr>
            <w:tcW w:w="86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85"/>
              </w:rPr>
              <w:t>6.05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0.19</w:t>
            </w:r>
          </w:p>
        </w:tc>
        <w:tc>
          <w:tcPr>
            <w:tcW w:w="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0.16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0.19</w:t>
            </w:r>
          </w:p>
        </w:tc>
        <w:tc>
          <w:tcPr>
            <w:tcW w:w="8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85"/>
              </w:rPr>
              <w:t>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income totaled $19.8 million during the first quarter of 2016, which represents a $1.7 million, or 9.2% increase, from the comparable quarter one year earlier. The increase in net interest income in 2016 compared to 2015 primarily reflects a four basis point increase in our tax equivalent net interest income as a percent of average interest-earning assets (the “net interest margin”) as well as an increase in average interest-earning assets.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prolonged low interest rate environment has continued to pressure loan yields, this has been offset by growth in the amount of interest-earning assets, particularly loans. Total average interest-earning assets were $2.21 billion in the first quarter of 2016 compared to $2.06 billion in the year ago quarter. Also contributing to the growth in net interest income were net recoveries of interest on loans of $0.55 million in the first quarter of 2016 compared to $0.05 million in the year ago quarter.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rates have generally been at extremely low levels since 2008 due primarily to the Federal Reserve Bank’s (“FRB”) monetary policies and its efforts to stimulate the U.S. economy. This very low interest rate environment has created challenges as we seek to grow our interest income and net interest income. The FRB did move the target federal funds rate up by 0.25% in mid-December 2015. Future changes in the target federal funds rate are uncertain, however, we anticipate that any upward movements in short-term interest rates will be very gradual. Given the repricing characteristics of our interest-earning assets and interest-bearing liabilities (and our level of non-interest bearing demand deposits), we would expect that our net interest margin will generally benefit on a long-term basis from rising interest rates.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 interest income is also adversely impacted by our level of non-accrual loans. In the first quarter of 2016 non-accrual loans averaged $10.5 million compared to $15.1 million in the first quarter of 2015.</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Arial" w:cs="Arial" w:eastAsia="Arial" w:hAnsi="Arial"/>
                <w:sz w:val="18"/>
                <w:szCs w:val="18"/>
                <w:color w:val="auto"/>
                <w:w w:val="92"/>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260" w:type="dxa"/>
            <w:vAlign w:val="bottom"/>
          </w:tcPr>
          <w:p>
            <w:pPr>
              <w:spacing w:after="0"/>
              <w:rPr>
                <w:sz w:val="17"/>
                <w:szCs w:val="17"/>
                <w:color w:val="auto"/>
              </w:rPr>
            </w:pPr>
          </w:p>
        </w:tc>
        <w:tc>
          <w:tcPr>
            <w:tcW w:w="11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30"/>
                <w:szCs w:val="30"/>
                <w:color w:val="auto"/>
                <w:vertAlign w:val="superscript"/>
              </w:rPr>
              <w:t>(1)</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3,647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521,833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41,982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33,877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75,171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19,991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2,210,586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21,506</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2,060,082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45,165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46,035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171,878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2,420,855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2,277,995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1,014,117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985,482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435,943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376,958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1,497,584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1,410,478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653,417</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590,088</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23,768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23,955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2,420,855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2,277,995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19,915</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18,231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domestic.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 credit of $0.5 million and a credit of $0.7 million in the first quarters of 2016 and 2015,</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first quarter of 2016.</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We regard net gains on mortgage loans as a core</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source of revenue but they are quite cyclical and thus can be volatile. We regard net gains (losses) on securities as a “non-operating” component of non-interest income.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totaled $7.8 million and $9.0 million during the first three months of 2016 and 2015, respectively. The components of non-interest income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20" w:type="dxa"/>
            <w:vAlign w:val="bottom"/>
          </w:tcPr>
          <w:p>
            <w:pPr>
              <w:spacing w:after="0"/>
              <w:rPr>
                <w:sz w:val="20"/>
                <w:szCs w:val="20"/>
                <w:color w:val="auto"/>
              </w:rPr>
            </w:pPr>
          </w:p>
        </w:tc>
        <w:tc>
          <w:tcPr>
            <w:tcW w:w="2400" w:type="dxa"/>
            <w:vAlign w:val="bottom"/>
            <w:gridSpan w:val="6"/>
            <w:vMerge w:val="restart"/>
          </w:tcPr>
          <w:p>
            <w:pPr>
              <w:jc w:val="right"/>
              <w:ind w:right="800"/>
              <w:spacing w:after="0"/>
              <w:rPr>
                <w:sz w:val="20"/>
                <w:szCs w:val="20"/>
                <w:color w:val="auto"/>
              </w:rPr>
            </w:pPr>
            <w:r>
              <w:rPr>
                <w:rFonts w:ascii="Arial" w:cs="Arial" w:eastAsia="Arial" w:hAnsi="Arial"/>
                <w:sz w:val="18"/>
                <w:szCs w:val="18"/>
                <w:color w:val="auto"/>
                <w:w w:val="95"/>
              </w:rPr>
              <w:t>Three months ended</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right"/>
              <w:ind w:right="65"/>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fees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 charges on deposit accounts totaled $2.85 million in the first quarter of 2016, essentially unchanged from the comparable period in 2015. Over the last few years, such service charges have been decreasing, principally due to a decline in non-sufficient funds (“NSF”) occurrences and related NSF fees. We believe the long-term decline in NSF occurrences is due to our customers managing their finances more closely and having real-time access to deposit account information through electronic channels allowing them to reduce NSF activity and avoid the associated fees.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Interchange income decreased by $0.3 million, or 12.3%, in the first quarter of 2016 compared to the year ago period. The decrease in interchange income in 2016 as compared to 2015 primarily results from lower incentives under our Debit Brand Agreement with MasterCard. In addition, although transaction volume increased 2.7% year-over-year, interchange revenue per transaction declined by 7.5%, primarily due to a higher mix of debit (PIN-based) versus credit (signature-based) transactions.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gains on mortgage loans were $1.6 million and $2.1 million in the first quarters of 2016 and 2015, respectively. Mortgage loan sales totaled $55.7 million in the first quarter of 2016 compared to $68.7 million in the first quarter of 2015. Mortgage loans originated totaled $73.5 million in the first quarter of 2016 compared to $79.8 million in the comparable quarter of 2015. The decrease in mortgage loan originations, sales and net gains in 2016 as compared to 2015 is due primarily to lower mortgage refinance volume that was only partially offset by an increase in purchase money mortgage volume.</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vMerge w:val="restart"/>
          </w:tcPr>
          <w:p>
            <w:pPr>
              <w:jc w:val="center"/>
              <w:ind w:right="44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(Dollars</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Mortgage loans sold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gains on the sale of mortgage loans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gains as a percentage of mortgage loans sold (“Loan Sales Margin”)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gains as a percentage of mortgage loans sold (our “Loan Sales Margin”) are impacted by several factors including competition and the manner in which the loan is sold (with servicing rights retained or released). Our decision to sell or retain mortgage loan servicing rights is primarily influenced by an evaluation of the price being paid for mortgage loan servicing by outside third parties compared to our calculation of the economic value of retaining such servicing. Net gains on mortgage loans are also impacted by recording fair value accounting adjustments. Excluding these fair value accounting adjustments, the Loan Sales Margin would have been 2.70% and 2.30% in the first quarters of 2016 and 2015, respectively. The increase in the Loan Sales Margin (excluding fair value adjustments) in 2016 was generally due to a widening of primary-to-secondary market pricing spreads as well as a higher content of government (FHA and VA) mortgage loan sales, which generally have higher profit margins than conventional mortgage loan sales.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recorded net gains on securities of approximately $0.2 million and $0.1 million in the first quarters of 2016 and 2015, respectively. The first quarter 2016 net gains on securities are due primarily to sales of $42.4 million. The first quarter 2015 net gains on securities are due primarily to the sales of $11.8 million.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net impairment losses in either the first quarter of 2016 or 2015, for other than temporary impairment of securities available for sale. (See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 servicing generated losses of $1.0 million and $0.4 million in the first quarters of 2016 and 2015, respectively. This quarterly comparative variance is primarily due to changes in the valuation allowance on and the amortization of capitalized mortgage loan servicing rights. The period end valuation allowance is based on the valuation of the mortgage loan servicing portfolio. Activity related to capitalized mortgage loan servicing rights is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vMerge w:val="restart"/>
          </w:tcPr>
          <w:p>
            <w:pPr>
              <w:jc w:val="right"/>
              <w:ind w:right="6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Originated servicing rights capitalized</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Change in valuation allowance</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end of period</w:t>
            </w:r>
          </w:p>
        </w:tc>
        <w:tc>
          <w:tcPr>
            <w:tcW w:w="2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2016 we were servicing approximately $1.64 billion in mortgage loans for others on which servicing rights have been capitalized. This servicing portfolio had a weighted average coupon rate of 4.30% and a weighted average service fee of approximately 25.4 basis points. Remaining capitalized mortgage loan servicing rights at March 31, 2016 totaled $11.0 million, representing approximately 67 basis points on the related amount of mortgage loans serviced for others. The capitalized mortgage loan servicing had an estimated fair market value of $11.2 million at March 31, 2016.</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and insurance commissions increased modestly (by $0.02 million) during the first quarter of 2016 as compared to the year ago period due primarily to an increase in sales.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earned $0.3 million and $0.4 million in the first quarters of 2016 and 2015, respectively, principally as a result of increases in the cash surrender value of our separate account bank owned life insurance. Our separate account is primarily invested in agency mortgage-backed securities and managed by PIMCO. The crediting rate (on which the earnings are based) reflects the performance of the separate account. The total cash surrender value of our bank owned life insurance was $54.7 million and $54.4 million at March 31, 2016 and December 31,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insurance fees totaled $0.3 million in both the first quarters of 2016 and 2015.</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non-interest income totaled $1.2 million and $1.1 million during the first quarters of 2016 and 2015, respectively. This increase is primarily due to increases in commercial loan swap fee income and merchant processing income.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 manage our cost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is focused on a number of initiatives to reduce and contain non-interest expenses.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totaled $22.0 million in the first quarter of 2016 compared to $22.2 million in the year ago period. The components of non-interest expense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8"/>
                <w:szCs w:val="18"/>
                <w:color w:val="auto"/>
              </w:rPr>
            </w:pPr>
          </w:p>
        </w:tc>
      </w:tr>
      <w:tr>
        <w:trPr>
          <w:trHeight w:val="22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11,785</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Vehicle service contract counterparty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Costs related to unfunded lending commitments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gains on other real estate and repossessed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2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66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22,045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22,151</w:t>
            </w:r>
          </w:p>
        </w:tc>
        <w:tc>
          <w:tcPr>
            <w:tcW w:w="120" w:type="dxa"/>
            <w:vAlign w:val="bottom"/>
          </w:tcPr>
          <w:p>
            <w:pPr>
              <w:spacing w:after="0"/>
              <w:rPr>
                <w:sz w:val="18"/>
                <w:szCs w:val="18"/>
                <w:color w:val="auto"/>
              </w:rPr>
            </w:pPr>
          </w:p>
        </w:tc>
      </w:tr>
      <w:tr>
        <w:trPr>
          <w:trHeight w:val="21"/>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by $0.1 million, or 0.8%, in the first quarter of 2016, due primarily to an increase in performance-based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decreased by $0.1 million, or 1.2%. Average full-time equivalent employees (“FTE’s”) were reduced by 20.9, or 2.6%, during the first quarter of 2016 compared to the year ago quarter. However, the impact of the FTE reductions was partially offset by annual pay increases that were effective January 1, 2016. The first quarter of 2015 also included $0.2 million increase of severance expenses in connection with the branch consolidation and other staffing reductions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Performance-based compensation increased by $0.2 million in 2016 due primarily to a higher accrual for anticipated incentive compensation based on our estimated 2016 performance as compared to goals.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Payroll taxes and employee benefits decreased $0.04 million in 2016 due primarily to a decrease in medical insurance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net, decreased $0.2 million, or 8.8%, in the first quarter of 2016 compared to 2015 primarily because of fewer facilities as a result of the closing or consolidation of six branch offices in the second quarter of 2015 and the sale of one branch office in the third quarter of 2015.</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Data processing expense increased $0.2 million, or 8.9%, in the first quarter of 2016 compared to the year earlier period due primarily to new services added with our core data processing vendor and increased costs for mobile banking due to growth in transaction volumes using that channel.</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Furniture, fixtures and equipment, advertising, legal and professional, FDIC deposit insurance and other non-interest expenses were all relatively unchanged in the first quarter of 2016 as compared to the year earlier period.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Communications expense increased $0.2 million, or 20.7%, in the first quarter of 2016 compared to the year earlier period due primarily to mailing costs to convert our debit card customers to a chip-enabled card and for distribution of materials related to a new checking account program.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and collection expenses primarily reflect costs related to the management and collection of non-performing loans and other problem credits. These expenses have declined in 2016, which primarily reflects the overall year-over-year decrease in non-performing loans. (See “Portfolio Loans and asset quality.”)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expense decreased modestly in the first quarter of 2016 compared to the year earlier period due primarily to the decline in debit card transaction revenue described above.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card and bank service fees decreased primarily due to a decline in the number of payment plans being serviced by Mepco in the first quarter of 2016 compared to the first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Supplies expense is lower in 2016 primarily due to a reduction in our number of branch offices as described earlier as well as our cost reduction efforts.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$2.2 million and $2.3 million at March 31, 2016 and December 31, 2015, respectively. See Note #8 to the Condensed Consolidated Financial Statements for a schedule of future amortization of intangible assets.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estimated incurred losses associated with Mepco’s vehicle service contract payment plan receivables in our provision for loan losses and establish a related allowance for loan losses. (See “Portfolio Loans and asset quality.”) We record estimated incurred losses associated with defaults by Mepco’s counterparties as “vehicle service contract counterparty contingencies expense,” which is included in non-interest expenses in our Condensed Consolidated Statements of Operations. Such expenses totaled $0.03 million in both the first quarter of 2016 and 2015.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particular, as noted in our Risk Factors included in Part I - Item 1A of our Annual Report on Form 10-K for the year ended December 31, 2015,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which reduced vehicle service contract counterparty receivables, net to $3.2 million as of March 31, 2016 compared to $7.2 million as of December 31, 2015.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As a payment history is developed on this note, we will continue to evaluate the need for all or any part of a reserve.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see Note #14 to the Condensed Consolidated Financial Statements included within this report for more information about Mepco's business, certain risks and difficulties we currently face with respect to that business, and reserves we have established (through vehicle service contract counterparty contingencies expense) for losses related to the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gains on other real estate and repossessed assets primarily represent gains and losses on the sale of and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We recorded small net gains in both the first quarters of 2016 and 2015, which reflects relative stability in real estate prices within our markets.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loss reimbursement on sold loans was a credit of $0.02 million and a credit of $0.07 million in the first quarters of 2016 and 2015, respectively, and represents our estimate of incurred losses related to mortgage loans that we have sold to investors (primarily Fannie Mae, Freddie Mac and Ginnie Mae). The small credit provisions in the first quarters of 2016 and 2015 is due primarily to the settlements of certain loss reimbursement claims at slightly lower amounts than what had been specifically reserved for at the end of the previous year. Since we sell mortgage loans without recourse, loss reimbursements only occur in those instances where we have breached a representation or warranty or other contractual requirement related to the loan sale. The reserve for loss reimbursements on sold mortgage loans totaled $0.5 million at both March 31, 2016 and December 31, 2015.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March 31,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We recorded an income tax expense of $2.0 million and $1.8 million in the first quarters of 2016 and 2015, respectively.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federal income tax rate to our income before income tax primarily due to tax-exempt interest income and tax-exempt income from the increase in the cash surrender value on life insurance.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2016 and 2015, that the realization of substantially all of our deferred tax assets continues to be more likely than not.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March 31,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Because of our net operating loss and tax credit carryforwards, we are still subject to the rules of Section 382 of the Internal Revenue Code of 1986, as amended. An ownership change, as defined by these rules, would negatively affect our ability to utilize our net operating loss carryforwards and other deferred tax assets in the future. If such an ownership change were to occur, we may suffer higher-than-anticipated tax expense, and consequently lower net income and cash flow, in those future years. Although we cannot control market purchases or sales of our common stock, we have in place a Tax Benefits Preservation Plan to dissuade any movement in our stock that would trigger an ownership change to avoid triggering any Section 382 limitations.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reportable segments are based upon legal entities. We currently have two reportable segments: Independent Bank and Mepco.</w:t>
      </w:r>
      <w:r>
        <w:rPr>
          <w:rFonts w:ascii="Arial" w:cs="Arial" w:eastAsia="Arial" w:hAnsi="Arial"/>
          <w:sz w:val="18"/>
          <w:szCs w:val="18"/>
          <w:b w:val="1"/>
          <w:bCs w:val="1"/>
          <w:color w:val="auto"/>
        </w:rPr>
        <w:t xml:space="preserve"> </w:t>
      </w:r>
      <w:r>
        <w:rPr>
          <w:rFonts w:ascii="Arial" w:cs="Arial" w:eastAsia="Arial" w:hAnsi="Arial"/>
          <w:sz w:val="18"/>
          <w:szCs w:val="18"/>
          <w:color w:val="auto"/>
        </w:rPr>
        <w:t>These business segments are also differentiated based on the products and services provided. We evaluate performance based principally on net income (loss) of the respective reportable segments.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20" w:type="dxa"/>
            <w:vAlign w:val="bottom"/>
            <w:gridSpan w:val="2"/>
          </w:tcPr>
          <w:p>
            <w:pPr>
              <w:spacing w:after="0"/>
              <w:rPr>
                <w:sz w:val="20"/>
                <w:szCs w:val="20"/>
                <w:color w:val="auto"/>
              </w:rPr>
            </w:pPr>
            <w:r>
              <w:rPr>
                <w:rFonts w:ascii="Arial" w:cs="Arial" w:eastAsia="Arial" w:hAnsi="Arial"/>
                <w:sz w:val="18"/>
                <w:szCs w:val="18"/>
                <w:color w:val="auto"/>
              </w:rPr>
              <w:t>The following table presents net income (loss) by business segment.</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Business Segments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5"/>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Bank</w:t>
            </w:r>
          </w:p>
        </w:tc>
        <w:tc>
          <w:tcPr>
            <w:tcW w:w="10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Mepco</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Elimination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Includes amounts relating to our parent company.</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income at Independent Bank in 2016 compared to 2015 is primarily due to an increase in net interest income that was partially offset by increases in the provision for loan losses (slightly lower credit) and income taxes as well as a decline in non-interest income. (See “Net interest income,” “Provision for loan losses,” “Non-interest income,” “Income tax expense,” and “Portfolio Loans and asset quality.”)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slight increase in the net loss at Mepco is principally due to a decrease in net interest income as a result of the reduction in payment plan receivables that was partially offset by a decrease in non-interest expense. All of Mepco’s funding is provided by Independent Bank through an intercompany loan (that is eliminated in consolidation). The rate on this intercompany loan is based on the Prime Rate (currently 3.50%). Mepco might not be able to obtain such favorable funding costs on its own in the open market.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$78.1 million during the first three months of 2016 due primarily to increases in cash and cash equivalents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loans. Loans, excluding loans held for sale ("Portfolio Loans"), totaled $1.54 billion at March 31, 2016, an increase of $23.9 million, or 1.6%, from December 31, 2015. (See "Portfolio Loans and asset quality.")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totaled $2.15 billion at March 31, 2016, compared to $2.09 billion at December 31, 2015. The $68.7 million increase in total deposits during the period is primarily due to growth in checking, savings and time deposit account balances.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maintain diversified securities portfolios, which include obligations of U.S. government-sponsored agencies, securities issued by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vMerge w:val="restart"/>
          </w:tcPr>
          <w:p>
            <w:pPr>
              <w:ind w:left="640"/>
              <w:spacing w:after="0"/>
              <w:rPr>
                <w:sz w:val="20"/>
                <w:szCs w:val="20"/>
                <w:color w:val="auto"/>
              </w:rPr>
            </w:pPr>
            <w:r>
              <w:rPr>
                <w:rFonts w:ascii="Arial" w:cs="Arial" w:eastAsia="Arial" w:hAnsi="Arial"/>
                <w:sz w:val="18"/>
                <w:szCs w:val="18"/>
                <w:color w:val="auto"/>
                <w:w w:val="92"/>
              </w:rPr>
              <w:t>Unrealized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vMerge w:val="restart"/>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2016</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587,963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4,262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585,851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w w:val="88"/>
              </w:rPr>
              <w:t>3,152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quarter of 2016, we initiated the use of Pacific Investment Management Company LLC (“PIMCO”) to manage an approximately $150 million segment of our securities available for sale. We anticipate achieving about $0.5 million of additional annual interest income, after management fees, on this portion of our securities available for sale, once fully invested. Although this segment of our securities available for sale is expected to have a similar risk-weighting and duration as our remaining portfolio, the additional earnings are anticipated to be generated through rebalancing into other sectors and better trade execution. These other sectors include certain structured securities (commercial and non-agency residential mortgage-backed securities and collateralized loan obligations) and non-U.S. government securities (but U.S. dollar denominated) as well as an increased allocation of corporate securities.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available for sale increased slightly during the first quarter of 2016 due primarily to increases in asset-backed securities and corporate securities. The securities were purchased to utilize a portion of the funds generated from the increase in total deposits. (See “Deposits” and “Liquidity and capital resources.”)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available-for-sale securities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or loss.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Sales of securities were as follows (See “Non-interest income.”):</w:t>
      </w:r>
    </w:p>
    <w:p>
      <w:pPr>
        <w:spacing w:after="0" w:line="200" w:lineRule="exact"/>
        <w:rPr>
          <w:sz w:val="20"/>
          <w:szCs w:val="20"/>
          <w:color w:val="auto"/>
        </w:rPr>
      </w:pPr>
    </w:p>
    <w:p>
      <w:pPr>
        <w:spacing w:after="0" w:line="29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4"/>
          </w:tcPr>
          <w:p>
            <w:pPr>
              <w:jc w:val="right"/>
              <w:ind w:right="85"/>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73"/>
              </w:rPr>
              <w:t>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Gross losses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Fair value adjustments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gains</w:t>
            </w:r>
          </w:p>
        </w:tc>
        <w:tc>
          <w:tcPr>
            <w:tcW w:w="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network, our principal lending markets also include nearby</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communities and metropolitan areas. Subject to established underwriting criteria, we also may participate in commercial lending transactions with certain non-affiliated banks and make whole loan purchases from other financial institutions. In December 2015, we purchased $32.6 million of single-family residential fixed rate jumbo mortgage loans from another Michigan-based financial institution. These mortgage loans were all on properties located in Michigan, had a weighted average interest rate (after a 0.25% servicing fee) of 3.94% and a weighted average remaining contractual maturity of 344 months. We did not have any single-family residential mortgage loan purchases during the first quarter of 2016.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mortgage loans as Portfolio Loans, while 15- and 30-year, fixed-rate obligations are generally sold to mitigate exposure to changes in interest rates. (See “Non-interest income.”)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394"/>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94"/>
              </w:rPr>
              <w:t>March 31,</w:t>
            </w:r>
          </w:p>
        </w:tc>
        <w:tc>
          <w:tcPr>
            <w:tcW w:w="60" w:type="dxa"/>
            <w:vAlign w:val="bottom"/>
          </w:tcPr>
          <w:p>
            <w:pPr>
              <w:spacing w:after="0"/>
              <w:rPr>
                <w:sz w:val="24"/>
                <w:szCs w:val="24"/>
                <w:color w:val="auto"/>
              </w:rPr>
            </w:pPr>
          </w:p>
        </w:tc>
        <w:tc>
          <w:tcPr>
            <w:tcW w:w="13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As a percent of Portfolio 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Non-performing loans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212.78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 Excludes loans classified as “troubled debt restructured” that are not past due and vehicle service contract counterparty receivables, net.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4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1"/>
              </w:rPr>
              <w:t>March 31, 2016</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Retail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(In thousands)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66,619</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80,569</w:t>
            </w:r>
          </w:p>
        </w:tc>
        <w:tc>
          <w:tcPr>
            <w:tcW w:w="12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Non-performing TDR's(1)</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3,693</w:t>
            </w:r>
            <w:r>
              <w:rPr>
                <w:rFonts w:ascii="Arial" w:cs="Arial" w:eastAsia="Arial" w:hAnsi="Arial"/>
                <w:sz w:val="25"/>
                <w:szCs w:val="25"/>
                <w:color w:val="auto"/>
                <w:vertAlign w:val="superscript"/>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Pr>
          <w:p>
            <w:pPr>
              <w:spacing w:after="0"/>
              <w:rPr>
                <w:sz w:val="19"/>
                <w:szCs w:val="19"/>
                <w:color w:val="auto"/>
              </w:rPr>
            </w:pPr>
          </w:p>
        </w:tc>
      </w:tr>
      <w:tr>
        <w:trPr>
          <w:trHeight w:val="25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33"/>
        </w:trPr>
        <w:tc>
          <w:tcPr>
            <w:tcW w:w="4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December 31, 2015</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Retail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(In thousands)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68,194</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81,512</w:t>
            </w:r>
          </w:p>
        </w:tc>
        <w:tc>
          <w:tcPr>
            <w:tcW w:w="12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Non-performing TDR's(1)</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3,777</w:t>
            </w:r>
            <w:r>
              <w:rPr>
                <w:rFonts w:ascii="Arial" w:cs="Arial" w:eastAsia="Arial" w:hAnsi="Arial"/>
                <w:sz w:val="25"/>
                <w:szCs w:val="25"/>
                <w:color w:val="auto"/>
                <w:vertAlign w:val="superscript"/>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19"/>
                <w:szCs w:val="19"/>
                <w:color w:val="auto"/>
              </w:rPr>
            </w:pPr>
          </w:p>
        </w:tc>
      </w:tr>
      <w:tr>
        <w:trPr>
          <w:trHeight w:val="25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Non-performing loans decreased by $0.2 million, or 1.4%, during the first quarter of 2016 due principally to decreases in non-performing mortgage and consumer/installment loans. These declines primarily reflect reduced levels of new loan defaults as well as loan charge-offs, pay-offs, negotiated transactions, and the migration of loans into other real estate. In general, improving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$80.6 million, or 5.2% of total Portfolio Loans, and $81.5 million, or 5.4% of total Portfolio Loans, at March 31, 2016 and December 31, 2015, respectively. The decrease in the amount of performing TDRs in the first quarter of 2016 reflects a decline in retail loan TDRs.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real estate and repossessed assets totaled $6.7 million at March 31, 2016, compared to $7.2 million at December 31, 2015. This decrease is primarily the result of sales of other real estate being in excess of the migration of non-performing loans secured by real estate into other real estate as the foreclosure process is completed.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loan net charge-offs to average Portfolio Loans was a negative 0.12% (as a result of net recoveries) on an annualized basis in the first quarter of 2016 compared to 0.19% in the first quarter of 2015. The $1.1 million decline in loan net charge-offs is primarily due to declines in commercial loan, mortgage loan and consumer/installment loan net charge-offs. The overall decrease in loan net charge-offs primarily reflects a year-over-year reduction in non-performing loans and improvement in collateral liquidation values.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Allowance for loan losses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6"/>
            <w:vMerge w:val="restart"/>
          </w:tcPr>
          <w:p>
            <w:pPr>
              <w:jc w:val="center"/>
              <w:ind w:right="480"/>
              <w:spacing w:after="0"/>
              <w:rPr>
                <w:sz w:val="20"/>
                <w:szCs w:val="20"/>
                <w:color w:val="auto"/>
              </w:rPr>
            </w:pPr>
            <w:r>
              <w:rPr>
                <w:rFonts w:ascii="Arial" w:cs="Arial" w:eastAsia="Arial" w:hAnsi="Arial"/>
                <w:sz w:val="18"/>
                <w:szCs w:val="18"/>
                <w:color w:val="auto"/>
                <w:w w:val="87"/>
              </w:rPr>
              <w:t>Three months ended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2016</w:t>
            </w:r>
          </w:p>
        </w:tc>
        <w:tc>
          <w:tcPr>
            <w:tcW w:w="1500" w:type="dxa"/>
            <w:vAlign w:val="bottom"/>
            <w:gridSpan w:val="4"/>
          </w:tcPr>
          <w:p>
            <w:pPr>
              <w:jc w:val="center"/>
              <w:ind w:left="55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2015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7"/>
              </w:rPr>
              <w:t>Loans</w:t>
            </w:r>
          </w:p>
        </w:tc>
        <w:tc>
          <w:tcPr>
            <w:tcW w:w="28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Additions (deductions)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Additions (deductions) included in non-interest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loans charged against the allowance to average Portfolio Loans (annualized)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5980" w:type="dxa"/>
            <w:vAlign w:val="bottom"/>
            <w:gridSpan w:val="2"/>
          </w:tcPr>
          <w:p>
            <w:pPr>
              <w:jc w:val="right"/>
              <w:ind w:right="110"/>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w w:val="97"/>
              </w:rPr>
              <w:t>March 31,</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adversely rated commercial loans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22,495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allowance for loan losses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and payment plan receivables when they are deemed uncollectible or reach a predetermined number of days past due based on product, industry practice and other factors. Collection efforts may continue and recoveries may occur after a loan is charged against the AFLL.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Mepco’s allowance for losses is determined in a similar manner as discussed above, and primarily takes into account historical loss experience and other subjective factors deemed relevant to Mepco’s payment plan business. Estimated incurred losses associated with Mepco’s outstanding vehicle service contract payment plans are included in the provision for loan losses. Mepco recorded a $0.004 million credit and a $0.003 million credit in the first quarters of 2016 and 2015, respectively, for its provision for loan losses. Mepco’s allowance for loan losses totaled $0.059 million and $0.063 million at March 31, 2016 and December 31, 2015, respectively. Mepco has established procedures for vehicle service contract payment plan servicing, administration and collections, including the timely cancellation of the vehicle service contract, in order to protect our position in the event of payment default or voluntary cancellation by the customer. Mepco has also established procedures to attempt to prevent and detect fraud since the payment plan origination activities and initial customer contacts are done entirely through unrelated third parties (vehicle service contract administrators and sellers or automobile dealerships). However, there can be no assurance that the aforementioned risk management policies and procedures will prevent us from the possibility of incurring significant credit or fraud related losses in this business segment. The estimated incurred losses described in this paragraph should be distinguished from the possible losses we may incur from counterparties failing to pay their obligations to Mepco. See Note #14 to the Condensed Consolidated Financial Statements included within this report.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allowance for loan losses decreased $0.1 million to $22.5 million at March 31, 2016 from $22.6 million at December 31, 2015 and was equal to 1.46% of total Portfolio Loans at March 31, 2016 compared to 1.49% at December 31, 2015. Two of the four components of the allowance for loan losses outlined above declined in the first quarter of 2016. The allowance for loan losses related to specific loans decreased $0.1 million in 2016 due primarily to a decline in the balance of individually impaired loans as well as charge-offs. The allowance for loan losses related to other adversely rated commercial loans decreased $0.2 million in 2016 primarily due to a decrease in the balance of such loans included in this component to $25.5 million at March 31, 2016 from $27.8 million at December 31, 2015. The allowance for loan losses related to historical losses increased $0.2 million during 2016 due principally to commercial loan growth. The allowance for loan losses related to subjective factors increased $0.1 million during 2016 primarily due to minor deterioration of some of the economic indicators used in computing this portion of the allowance.</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Deposits totaled $2.15 billion and $2.09 billion at March 31, 2016 and December 31, 2015, respectively. The $68.7 million increase in deposits in the first quarter of 2016 is due to growth in checking, savings and time deposit account balances. Reciprocal deposits totaled $50.3 million and $50.2 million at March 31, 2016 and December 31, 2015,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March 31, 2016, we had approximately $534.3 million of uninsured deposits. A reduction in core deposits would likely increase our need to rely on wholesale funding sources.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borrowings, comprised almost entirely of advances from the Federal Home Loan Bank (the “FHLB”), totaled $12.0 million at both March 31, 2016 and December 31, 2015.</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CDs to augment our core deposits and fund a portion of our assets. At March 31, 2016, our use of such wholesale funding sources (including reciprocal deposits) amounted to approximately $62.3 million, or 2.9%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the first quarters of 2016 and 2015, we entered into $31.6 million and 24.4 million (aggregate notional amounts), respectively, of interest rate swaps with commercial loan customers, which were offset with interest rate swaps that the Bank entered into with a broker-dealer. We recorded $0.3 million and $0.2 million of fee income related to these transactions during the first quarters of 2016 and 2015, respectively.</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 federal funds purchased borrowing facility with another commercial bank, and access to the capital markets (for Brokered CDs).</w:t>
      </w:r>
    </w:p>
    <w:p>
      <w:pPr>
        <w:spacing w:after="0" w:line="17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At March 31, 2016, we had $331.6 million of time deposits that mature in the next 12 months. Historically, a majority of these maturing time deposits are renewed by our customers. Additionally, $1.70 billion of our deposits at March 31, 2016,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$16.4 million as of March 31, 2016 provides sufficient liquidity resources at the parent company to meet operating expenses, to make interest payments on the subordinated debentures and to pay a cash dividend on our common stock for the foreseeable future.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restart"/>
          </w:tcPr>
          <w:p>
            <w:pPr>
              <w:jc w:val="right"/>
              <w:ind w:right="255"/>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239,545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274,045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2016 and December 31, 2015.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shareholders’ equity decreased to $239.5 million at March 31, 2016 from $251.1 million at December 31, 2015 due primarily to share repurchases and a dividend paid that were in excess of our net income in the first quarter of 2016 as well as a decline in our accumulated other comprehensive loss. Our tangible common equity (“TCE”) totaled $237.4 million and $248.8 million, respectively, at those same dates. Our ratio of TCE to tangible assets was 9.55% and 10.34% at March 31, 2016 and December 31, 2015, respectively.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resumed a quarterly cash dividend on our common stock of six cents per share in May 2014 and continued to pay regular quarterly dividends at that amount through August 2015. In October 2015, our Board of Directors increased the quarterly cash dividend on our common stock to eight cents per share.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Bank currently has negative “undivided profits” (i.e. a retained deficit) of $5.7 million at March 31, 2016, under Michigan banking regulations, the Bank is not currently permitted to pay a dividend. We can request regulatory approval for a return of capital from the Bank to the parent company. During the first quarter of 2016, we requested regulatory approval for an $18.0 million return of capital from the Bank to the parent company. This return of capital request was approved by our banking regulators on February 24, 2016 and the Bank returned $18.0 million of capital to the parent company on February 25, 2016. Also see Note #11 to the Condensed Consolidated Financial Statements included within this report.</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21, 2016, our Board of Directors authorized a share repurchase plan. Under the terms of the 2016 share repurchase plan, we are authorized to buy back up to 5% of our outstanding common stock. The repurchase plan is authorized to last through December 31, 2016. We intend and expect to accomplish the repurchases through open market transactions, though we could effect repurchases through other means, such as privately negotiated transactions. The timing and amount of any share repurchases will depend on a variety of factors, including, among others, securities law restrictions, the trading price of our common stock, other regulatory requirements, potential alternative uses for capital, and our financial performance. The repurchase program does not obligate us to acquire any particular amount of common stock, and it may be modified or suspended at any time at our discretion. During the first quarter of 2016 we repurchased 1,059,865 shares of our common stock pursuant to this plan at an average price of $14.63 per share leaving 52,703 shares to be repurchased under this repurchase plan. On April 26, 2016 our Board of Directors authorized a $5.0 million expansion of this repurchase plan.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2016 and December 31, 2015, our Bank (and holding company) continued to meet the requirements to be considered “well-capitalized” under federal regulatory standards (also see Note #11 to the Condensed Consolidated Financial Statements included within this report).</w:t>
      </w:r>
    </w:p>
    <w:p>
      <w:pPr>
        <w:spacing w:after="0" w:line="14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Market Value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Of Portfolio</w:t>
            </w:r>
          </w:p>
        </w:tc>
        <w:tc>
          <w:tcPr>
            <w:tcW w:w="1420" w:type="dxa"/>
            <w:vAlign w:val="bottom"/>
            <w:gridSpan w:val="2"/>
          </w:tcPr>
          <w:p>
            <w:pPr>
              <w:jc w:val="right"/>
              <w:ind w:right="49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Net Interest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Change in Interest Rates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Equity(1)</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Income(2)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71"/>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March 31,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402,600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388,500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79,700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331,900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71,900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419,600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407,300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78,700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356,500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72,000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147066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available-for-sale, loans held for sale, and derivatives are financial instruments recorded at fair value on a recurring basis. Additionally, from time to time, we may be required to record at fair value other financial assets on a nonrecurring basis, such as loans held for investment, capitalized mortgage loan servicing rights and certain other assets. These nonrecurring fair value adjustments typically involve application of lower of cost or market accounting or write-downs of individual assets. See Note #12 to the Condensed Consolidated Financial Statements included within this report for a complete discussion on our use of fair valuation of financial instruments and the related measurement techniques.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capitalized mortgage loan servicing rights, vehicle service contract payment plan counterparty contingencies,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During the first quarter of 2016, we dropped the assessment of other than temporary impairment of securities available for sale as a critical accounting policy as we do not believe that this assessment will have a material impact on our consolidated financial position or results of operations. There have been no other material changes to our critical accounting policies as disclosed in our Annual Report on Form 10-K for the year ended December 31,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2016, have concluded that, as of such date, our disclosure controls and procedures were effective.</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March 31, 2016,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2015.</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2016, the Company issued 621 shares of common stock to non-employee directors on a current basis and 1,263 shares of common stock to the trust for distribution to directors on a deferred basis. The shares were issued on January 1, 2016, at a price of $15.23 per share, representing aggregate fees of $0.03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March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2016</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1,112,568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February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907,930</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859,665</w:t>
            </w:r>
          </w:p>
        </w:tc>
        <w:tc>
          <w:tcPr>
            <w:tcW w:w="1440" w:type="dxa"/>
            <w:vAlign w:val="bottom"/>
          </w:tcPr>
          <w:p>
            <w:pPr>
              <w:jc w:val="right"/>
              <w:spacing w:after="0"/>
              <w:rPr>
                <w:sz w:val="20"/>
                <w:szCs w:val="20"/>
                <w:color w:val="auto"/>
              </w:rPr>
            </w:pPr>
            <w:r>
              <w:rPr>
                <w:rFonts w:ascii="Arial" w:cs="Arial" w:eastAsia="Arial" w:hAnsi="Arial"/>
                <w:sz w:val="18"/>
                <w:szCs w:val="18"/>
                <w:color w:val="auto"/>
              </w:rPr>
              <w:t>252,903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2016</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200,200</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1,108,130</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14.63</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1,059,865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(i) 43,705 shares of our common stock purchased in the open market by the Independent Bank Corporation Employee Stock Ownership Trust as part of our employee stock ownership plan, (ii) 4,560 shares withheld from the shares that would otherwise have been issued to certain officers in order to satisfy tax withholding obligations resulting from vesting of restricted stock and (iii) 1,059,865 shares purchased in the open market pursuant to a publicly announced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920" w:hanging="561"/>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sz w:val="20"/>
          <w:szCs w:val="20"/>
          <w:color w:val="auto"/>
        </w:rPr>
      </w:pPr>
    </w:p>
    <w:p>
      <w:pPr>
        <w:ind w:left="920" w:hanging="566"/>
        <w:spacing w:after="0" w:line="250" w:lineRule="auto"/>
        <w:tabs>
          <w:tab w:leader="none" w:pos="900" w:val="left"/>
        </w:tabs>
        <w:rPr>
          <w:rFonts w:ascii="Arial" w:cs="Arial" w:eastAsia="Arial" w:hAnsi="Arial"/>
          <w:sz w:val="18"/>
          <w:szCs w:val="18"/>
          <w:color w:val="0000EE"/>
        </w:rPr>
      </w:pPr>
      <w:hyperlink w:anchor="page85">
        <w:r>
          <w:rPr>
            <w:rFonts w:ascii="Arial" w:cs="Arial" w:eastAsia="Arial" w:hAnsi="Arial"/>
            <w:sz w:val="18"/>
            <w:szCs w:val="18"/>
            <w:u w:val="single" w:color="auto"/>
            <w:color w:val="0000EE"/>
          </w:rPr>
          <w:t>31.1</w:t>
        </w:r>
      </w:hyperlink>
      <w:r>
        <w:rPr>
          <w:rFonts w:ascii="Arial" w:cs="Arial" w:eastAsia="Arial" w:hAnsi="Arial"/>
          <w:sz w:val="18"/>
          <w:szCs w:val="18"/>
          <w:color w:val="0000EE"/>
        </w:rPr>
        <w:tab/>
        <w:t>Certificate of the Chief Executive Officer of Independent Bank Corporation pursuant to Section 302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20" w:hanging="566"/>
        <w:spacing w:after="0" w:line="250" w:lineRule="auto"/>
        <w:tabs>
          <w:tab w:leader="none" w:pos="900" w:val="left"/>
        </w:tabs>
        <w:rPr>
          <w:rFonts w:ascii="Arial" w:cs="Arial" w:eastAsia="Arial" w:hAnsi="Arial"/>
          <w:sz w:val="18"/>
          <w:szCs w:val="18"/>
          <w:color w:val="0000EE"/>
        </w:rPr>
      </w:pPr>
      <w:hyperlink w:anchor="page86">
        <w:r>
          <w:rPr>
            <w:rFonts w:ascii="Arial" w:cs="Arial" w:eastAsia="Arial" w:hAnsi="Arial"/>
            <w:sz w:val="18"/>
            <w:szCs w:val="18"/>
            <w:u w:val="single" w:color="auto"/>
            <w:color w:val="0000EE"/>
          </w:rPr>
          <w:t>31.2</w:t>
        </w:r>
      </w:hyperlink>
      <w:r>
        <w:rPr>
          <w:rFonts w:ascii="Arial" w:cs="Arial" w:eastAsia="Arial" w:hAnsi="Arial"/>
          <w:sz w:val="18"/>
          <w:szCs w:val="18"/>
          <w:color w:val="0000EE"/>
        </w:rPr>
        <w:tab/>
        <w:t>Certificate of the Chief Financial Officer of Independent Bank Corporation pursuant to Section 302 of the Sarbanes-Oxley Act of 2002 (18 U.S.C. 1350).</w:t>
      </w:r>
    </w:p>
    <w:p>
      <w:pPr>
        <w:spacing w:after="0" w:line="1" w:lineRule="exact"/>
        <w:rPr>
          <w:sz w:val="20"/>
          <w:szCs w:val="20"/>
          <w:color w:val="auto"/>
        </w:rPr>
      </w:pPr>
    </w:p>
    <w:p>
      <w:pPr>
        <w:ind w:left="920" w:hanging="566"/>
        <w:spacing w:after="0" w:line="250" w:lineRule="auto"/>
        <w:tabs>
          <w:tab w:leader="none" w:pos="900" w:val="left"/>
        </w:tabs>
        <w:rPr>
          <w:rFonts w:ascii="Arial" w:cs="Arial" w:eastAsia="Arial" w:hAnsi="Arial"/>
          <w:sz w:val="18"/>
          <w:szCs w:val="18"/>
          <w:color w:val="0000EE"/>
        </w:rPr>
      </w:pPr>
      <w:hyperlink w:anchor="page87">
        <w:r>
          <w:rPr>
            <w:rFonts w:ascii="Arial" w:cs="Arial" w:eastAsia="Arial" w:hAnsi="Arial"/>
            <w:sz w:val="18"/>
            <w:szCs w:val="18"/>
            <w:u w:val="single" w:color="auto"/>
            <w:color w:val="0000EE"/>
          </w:rPr>
          <w:t>32.1</w:t>
        </w:r>
      </w:hyperlink>
      <w:r>
        <w:rPr>
          <w:rFonts w:ascii="Arial" w:cs="Arial" w:eastAsia="Arial" w:hAnsi="Arial"/>
          <w:sz w:val="18"/>
          <w:szCs w:val="18"/>
          <w:color w:val="0000EE"/>
        </w:rPr>
        <w:tab/>
        <w:t>Certificate of the Chief Executive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20" w:hanging="566"/>
        <w:spacing w:after="0" w:line="250" w:lineRule="auto"/>
        <w:tabs>
          <w:tab w:leader="none" w:pos="900" w:val="left"/>
        </w:tabs>
        <w:rPr>
          <w:rFonts w:ascii="Arial" w:cs="Arial" w:eastAsia="Arial" w:hAnsi="Arial"/>
          <w:sz w:val="18"/>
          <w:szCs w:val="18"/>
          <w:color w:val="0000EE"/>
        </w:rPr>
      </w:pPr>
      <w:hyperlink w:anchor="page88">
        <w:r>
          <w:rPr>
            <w:rFonts w:ascii="Arial" w:cs="Arial" w:eastAsia="Arial" w:hAnsi="Arial"/>
            <w:sz w:val="18"/>
            <w:szCs w:val="18"/>
            <w:u w:val="single" w:color="auto"/>
            <w:color w:val="0000EE"/>
          </w:rPr>
          <w:t>32.2</w:t>
        </w:r>
      </w:hyperlink>
      <w:r>
        <w:rPr>
          <w:rFonts w:ascii="Arial" w:cs="Arial" w:eastAsia="Arial" w:hAnsi="Arial"/>
          <w:sz w:val="18"/>
          <w:szCs w:val="18"/>
          <w:color w:val="0000EE"/>
        </w:rPr>
        <w:tab/>
        <w:t>Certificate of the Chief Financial Officer of Independent Bank Corporation pursuant to Section 906 of the Sarbanes-Oxley Act of 2002 (18 U.S.C. 1350).</w:t>
      </w:r>
    </w:p>
    <w:p>
      <w:pPr>
        <w:spacing w:after="0" w:line="1" w:lineRule="exact"/>
        <w:rPr>
          <w:sz w:val="20"/>
          <w:szCs w:val="20"/>
          <w:color w:val="auto"/>
        </w:rPr>
      </w:pPr>
    </w:p>
    <w:p>
      <w:pPr>
        <w:ind w:left="920" w:hanging="56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20" w:hanging="561"/>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SCH XBRL Taxonomy Extension Schema Document</w:t>
      </w:r>
    </w:p>
    <w:p>
      <w:pPr>
        <w:spacing w:after="0" w:line="9" w:lineRule="exact"/>
        <w:rPr>
          <w:sz w:val="20"/>
          <w:szCs w:val="20"/>
          <w:color w:val="auto"/>
        </w:rPr>
      </w:pPr>
    </w:p>
    <w:p>
      <w:pPr>
        <w:ind w:left="920" w:hanging="561"/>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20" w:hanging="561"/>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9" w:lineRule="exact"/>
        <w:rPr>
          <w:sz w:val="20"/>
          <w:szCs w:val="20"/>
          <w:color w:val="auto"/>
        </w:rPr>
      </w:pPr>
    </w:p>
    <w:p>
      <w:pPr>
        <w:ind w:left="920" w:hanging="561"/>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20" w:hanging="561"/>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 XBRL Taxonomy Extension Presentation Linkbase Document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1140" w:val="left"/>
          <w:tab w:leader="none" w:pos="6280" w:val="left"/>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3593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4579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Robert N. Shuster, Principal Financial Officer</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 w:leader="none" w:pos="6280" w:val="left"/>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3593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4579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Date: May 4, 2016</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William B. Kessel</w:t>
            </w:r>
          </w:p>
        </w:tc>
        <w:tc>
          <w:tcPr>
            <w:tcW w:w="4160" w:type="dxa"/>
            <w:vAlign w:val="bottom"/>
            <w:gridSpan w:val="2"/>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5700" w:type="dxa"/>
            <w:vAlign w:val="bottom"/>
            <w:gridSpan w:val="3"/>
          </w:tcPr>
          <w:p>
            <w:pPr>
              <w:ind w:left="260"/>
              <w:spacing w:after="0"/>
              <w:rPr>
                <w:sz w:val="20"/>
                <w:szCs w:val="20"/>
                <w:color w:val="auto"/>
              </w:rPr>
            </w:pPr>
            <w:r>
              <w:rPr>
                <w:rFonts w:ascii="Arial" w:cs="Arial" w:eastAsia="Arial" w:hAnsi="Arial"/>
                <w:sz w:val="18"/>
                <w:szCs w:val="18"/>
                <w:color w:val="auto"/>
              </w:rPr>
              <w:t>William B. Kessel</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41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Date: May 4, 2016</w:t>
            </w: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/s/ Robert N. Shuster</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5700" w:type="dxa"/>
            <w:vAlign w:val="bottom"/>
            <w:gridSpan w:val="3"/>
          </w:tcPr>
          <w:p>
            <w:pPr>
              <w:ind w:left="460"/>
              <w:spacing w:after="0"/>
              <w:rPr>
                <w:sz w:val="20"/>
                <w:szCs w:val="20"/>
                <w:color w:val="auto"/>
              </w:rPr>
            </w:pPr>
            <w:r>
              <w:rPr>
                <w:rFonts w:ascii="Arial" w:cs="Arial" w:eastAsia="Arial" w:hAnsi="Arial"/>
                <w:sz w:val="18"/>
                <w:szCs w:val="18"/>
                <w:color w:val="auto"/>
              </w:rPr>
              <w:t>Robert N. Shuster</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1640" w:type="dxa"/>
            <w:vAlign w:val="bottom"/>
            <w:tcBorders>
              <w:top w:val="single" w:sz="8" w:color="auto"/>
            </w:tcBorders>
            <w:shd w:val="clear" w:color="auto" w:fill="808080"/>
          </w:tcPr>
          <w:p>
            <w:pPr>
              <w:spacing w:after="0" w:line="20" w:lineRule="exact"/>
              <w:rPr>
                <w:sz w:val="1"/>
                <w:szCs w:val="1"/>
                <w:color w:val="auto"/>
              </w:rPr>
            </w:pPr>
          </w:p>
        </w:tc>
        <w:tc>
          <w:tcPr>
            <w:tcW w:w="40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3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2016,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5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2016,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2016</w:t>
            </w:r>
          </w:p>
        </w:tc>
        <w:tc>
          <w:tcPr>
            <w:tcW w:w="3120" w:type="dxa"/>
            <w:vAlign w:val="bottom"/>
            <w:gridSpan w:val="2"/>
          </w:tcPr>
          <w:p>
            <w:pPr>
              <w:jc w:val="right"/>
              <w:ind w:right="1500"/>
              <w:spacing w:after="0"/>
              <w:rPr>
                <w:sz w:val="20"/>
                <w:szCs w:val="20"/>
                <w:color w:val="auto"/>
              </w:rPr>
            </w:pPr>
            <w:r>
              <w:rPr>
                <w:rFonts w:ascii="Arial" w:cs="Arial" w:eastAsia="Arial" w:hAnsi="Arial"/>
                <w:sz w:val="18"/>
                <w:szCs w:val="18"/>
                <w:color w:val="auto"/>
                <w:w w:val="98"/>
              </w:rPr>
              <w:t>/s/ William B. Kessel</w:t>
            </w:r>
          </w:p>
        </w:tc>
      </w:tr>
      <w:tr>
        <w:trPr>
          <w:trHeight w:val="20"/>
        </w:trPr>
        <w:tc>
          <w:tcPr>
            <w:tcW w:w="5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jc w:val="right"/>
              <w:ind w:right="138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right="20" w:firstLine="656"/>
        <w:spacing w:after="0" w:line="277" w:lineRule="auto"/>
        <w:tabs>
          <w:tab w:leader="none" w:pos="13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2016,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4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2016,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2016</w:t>
            </w: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/s/ Robert N. Shuster</w:t>
            </w:r>
          </w:p>
        </w:tc>
      </w:tr>
      <w:tr>
        <w:trPr>
          <w:trHeight w:val="20"/>
        </w:trPr>
        <w:tc>
          <w:tcPr>
            <w:tcW w:w="57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42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3"/>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4"/>
    </w:lvl>
  </w:abstractNum>
  <w:abstractNum w:abstractNumId="17">
    <w:nsid w:val="71F32454"/>
    <w:multiLevelType w:val="hybridMultilevel"/>
    <w:lvl w:ilvl="0">
      <w:lvlJc w:val="left"/>
      <w:lvlText w:val="$"/>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101"/>
    </w:lvl>
  </w:abstractNum>
  <w:abstractNum w:abstractNumId="28">
    <w:nsid w:val="4516DDE9"/>
    <w:multiLevelType w:val="hybridMultilevel"/>
    <w:lvl w:ilvl="0">
      <w:lvlJc w:val="left"/>
      <w:lvlText w:val="%1."/>
      <w:numFmt w:val="decimal"/>
      <w:start w:val="101"/>
    </w:lvl>
  </w:abstractNum>
  <w:abstractNum w:abstractNumId="29">
    <w:nsid w:val="3006C83E"/>
    <w:multiLevelType w:val="hybridMultilevel"/>
    <w:lvl w:ilvl="0">
      <w:lvlJc w:val="left"/>
      <w:lvlText w:val="%1."/>
      <w:numFmt w:val="decimal"/>
      <w:start w:val="10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2020-01-20T10:41:47Z</dcterms:created>
  <dcterms:modified xsi:type="dcterms:W3CDTF">2020-01-20T10:41:47Z</dcterms:modified>
</cp:coreProperties>
</file>