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April 23, 2026</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INDEPENDENT BANK CORPORATION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3" w:lineRule="exact"/>
        <w:rPr>
          <w:sz w:val="24"/>
          <w:szCs w:val="24"/>
          <w:color w:val="auto"/>
        </w:rPr>
      </w:pPr>
    </w:p>
    <w:tbl>
      <w:tblPr>
        <w:tblLayout w:type="fixed"/>
        <w:tblInd w:w="1020" w:type="dxa"/>
        <w:tblCellMar>
          <w:top w:w="0" w:type="dxa"/>
          <w:left w:w="0" w:type="dxa"/>
          <w:bottom w:w="0" w:type="dxa"/>
          <w:right w:w="0" w:type="dxa"/>
        </w:tblCellMar>
      </w:tblPr>
      <w:tr>
        <w:trPr>
          <w:trHeight w:val="157"/>
        </w:trPr>
        <w:tc>
          <w:tcPr>
            <w:tcW w:w="330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8"/>
              </w:rPr>
              <w:t>Michigan</w:t>
            </w:r>
          </w:p>
        </w:tc>
        <w:tc>
          <w:tcPr>
            <w:tcW w:w="298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0-7818</w:t>
            </w:r>
          </w:p>
        </w:tc>
        <w:tc>
          <w:tcPr>
            <w:tcW w:w="274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38-2032782</w:t>
            </w:r>
          </w:p>
        </w:tc>
        <w:tc>
          <w:tcPr>
            <w:tcW w:w="0" w:type="dxa"/>
            <w:vAlign w:val="bottom"/>
          </w:tcPr>
          <w:p>
            <w:pPr>
              <w:spacing w:after="0"/>
              <w:rPr>
                <w:sz w:val="1"/>
                <w:szCs w:val="1"/>
                <w:color w:val="auto"/>
              </w:rPr>
            </w:pPr>
          </w:p>
        </w:tc>
      </w:tr>
      <w:tr>
        <w:trPr>
          <w:trHeight w:val="155"/>
        </w:trPr>
        <w:tc>
          <w:tcPr>
            <w:tcW w:w="330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298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rPr>
              <w:t>(Commission File Number)</w:t>
            </w:r>
          </w:p>
        </w:tc>
        <w:tc>
          <w:tcPr>
            <w:tcW w:w="2740" w:type="dxa"/>
            <w:vAlign w:val="bottom"/>
          </w:tcPr>
          <w:p>
            <w:pPr>
              <w:jc w:val="center"/>
              <w:ind w:left="104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0" w:type="dxa"/>
            <w:vAlign w:val="bottom"/>
          </w:tcPr>
          <w:p>
            <w:pPr>
              <w:spacing w:after="0"/>
              <w:rPr>
                <w:sz w:val="1"/>
                <w:szCs w:val="1"/>
                <w:color w:val="auto"/>
              </w:rPr>
            </w:pPr>
          </w:p>
        </w:tc>
      </w:tr>
      <w:tr>
        <w:trPr>
          <w:trHeight w:val="315"/>
        </w:trPr>
        <w:tc>
          <w:tcPr>
            <w:tcW w:w="330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9"/>
              </w:rPr>
              <w:t>4200 East Beltline</w:t>
            </w:r>
          </w:p>
        </w:tc>
        <w:tc>
          <w:tcPr>
            <w:tcW w:w="2980" w:type="dxa"/>
            <w:vAlign w:val="bottom"/>
          </w:tcPr>
          <w:p>
            <w:pPr>
              <w:spacing w:after="0"/>
              <w:rPr>
                <w:sz w:val="24"/>
                <w:szCs w:val="24"/>
                <w:color w:val="auto"/>
              </w:rPr>
            </w:pPr>
          </w:p>
        </w:tc>
        <w:tc>
          <w:tcPr>
            <w:tcW w:w="2740" w:type="dxa"/>
            <w:vAlign w:val="bottom"/>
            <w:vMerge w:val="restart"/>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rPr>
              <w:t>49525</w:t>
            </w:r>
          </w:p>
        </w:tc>
        <w:tc>
          <w:tcPr>
            <w:tcW w:w="0" w:type="dxa"/>
            <w:vAlign w:val="bottom"/>
          </w:tcPr>
          <w:p>
            <w:pPr>
              <w:spacing w:after="0"/>
              <w:rPr>
                <w:sz w:val="1"/>
                <w:szCs w:val="1"/>
                <w:color w:val="auto"/>
              </w:rPr>
            </w:pPr>
          </w:p>
        </w:tc>
      </w:tr>
      <w:tr>
        <w:trPr>
          <w:trHeight w:val="160"/>
        </w:trPr>
        <w:tc>
          <w:tcPr>
            <w:tcW w:w="330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rPr>
              <w:t>Grand Rapids, Michigan</w:t>
            </w:r>
          </w:p>
        </w:tc>
        <w:tc>
          <w:tcPr>
            <w:tcW w:w="2980" w:type="dxa"/>
            <w:vAlign w:val="bottom"/>
          </w:tcPr>
          <w:p>
            <w:pPr>
              <w:spacing w:after="0"/>
              <w:rPr>
                <w:sz w:val="13"/>
                <w:szCs w:val="13"/>
                <w:color w:val="auto"/>
              </w:rPr>
            </w:pPr>
          </w:p>
        </w:tc>
        <w:tc>
          <w:tcPr>
            <w:tcW w:w="2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0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(Address of principal executive office)</w:t>
            </w:r>
          </w:p>
        </w:tc>
        <w:tc>
          <w:tcPr>
            <w:tcW w:w="2980" w:type="dxa"/>
            <w:vAlign w:val="bottom"/>
          </w:tcPr>
          <w:p>
            <w:pPr>
              <w:spacing w:after="0"/>
              <w:rPr>
                <w:sz w:val="13"/>
                <w:szCs w:val="13"/>
                <w:color w:val="auto"/>
              </w:rPr>
            </w:pPr>
          </w:p>
        </w:tc>
        <w:tc>
          <w:tcPr>
            <w:tcW w:w="274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313"/>
        </w:trPr>
        <w:tc>
          <w:tcPr>
            <w:tcW w:w="3300" w:type="dxa"/>
            <w:vAlign w:val="bottom"/>
          </w:tcPr>
          <w:p>
            <w:pPr>
              <w:spacing w:after="0"/>
              <w:rPr>
                <w:sz w:val="24"/>
                <w:szCs w:val="24"/>
                <w:color w:val="auto"/>
              </w:rPr>
            </w:pPr>
          </w:p>
        </w:tc>
        <w:tc>
          <w:tcPr>
            <w:tcW w:w="298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8"/>
              </w:rPr>
              <w:t>Registrant’s telephone number,</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298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rPr>
              <w:t>including area code:</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298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(616) 527-5820</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77" w:lineRule="exact"/>
        <w:rPr>
          <w:sz w:val="24"/>
          <w:szCs w:val="24"/>
          <w:color w:val="auto"/>
        </w:rPr>
      </w:pPr>
    </w:p>
    <w:p>
      <w:pPr>
        <w:ind w:left="360" w:right="6600" w:hanging="356"/>
        <w:spacing w:after="0" w:line="295" w:lineRule="auto"/>
        <w:tabs>
          <w:tab w:leader="none" w:pos="36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 Subject Company: HCB Financial Corp. (Commission File No. N/A)</w:t>
      </w:r>
    </w:p>
    <w:p>
      <w:pPr>
        <w:spacing w:after="0" w:line="75" w:lineRule="exact"/>
        <w:rPr>
          <w:sz w:val="24"/>
          <w:szCs w:val="24"/>
          <w:color w:val="auto"/>
        </w:rPr>
      </w:pPr>
    </w:p>
    <w:p>
      <w:pPr>
        <w:ind w:left="360" w:hanging="356"/>
        <w:spacing w:after="0"/>
        <w:tabs>
          <w:tab w:leader="none" w:pos="36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23" w:lineRule="exact"/>
        <w:rPr>
          <w:rFonts w:ascii="Wingdings" w:cs="Wingdings" w:eastAsia="Wingdings" w:hAnsi="Wingdings"/>
          <w:sz w:val="12"/>
          <w:szCs w:val="12"/>
          <w:b w:val="1"/>
          <w:bCs w:val="1"/>
          <w:color w:val="auto"/>
        </w:rPr>
      </w:pPr>
    </w:p>
    <w:p>
      <w:pPr>
        <w:ind w:left="360" w:hanging="356"/>
        <w:spacing w:after="0"/>
        <w:tabs>
          <w:tab w:leader="none" w:pos="36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23" w:lineRule="exact"/>
        <w:rPr>
          <w:rFonts w:ascii="Wingdings" w:cs="Wingdings" w:eastAsia="Wingdings" w:hAnsi="Wingdings"/>
          <w:sz w:val="12"/>
          <w:szCs w:val="12"/>
          <w:b w:val="1"/>
          <w:bCs w:val="1"/>
          <w:color w:val="auto"/>
        </w:rPr>
      </w:pPr>
    </w:p>
    <w:p>
      <w:pPr>
        <w:ind w:left="360" w:hanging="356"/>
        <w:spacing w:after="0"/>
        <w:tabs>
          <w:tab w:leader="none" w:pos="36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no par value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IBCP</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96"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50"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521970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u w:val="single" w:color="auto"/>
          <w:color w:val="auto"/>
        </w:rPr>
        <w:t>Results of Operations and Financial Condition</w:t>
      </w:r>
    </w:p>
    <w:p>
      <w:pPr>
        <w:spacing w:after="0" w:line="15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On April 23, 2026, Independent Bank Corporation issued a press release announcing its financial results for the quarter ended March 31, 2026. A copy of the press release is attached as Exhibit 99.1. Attached Exhibit 99.2 contains supplemental data to that press release and attached Exhibit 99.3 contains a slide presentation for our earnings conference call.</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in this Form 8-K and the attached Exhibits shall not be deemed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u w:val="single" w:color="auto"/>
          <w:color w:val="auto"/>
        </w:rPr>
        <w:t>Financial Statements and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Exhibits</w:t>
            </w:r>
            <w:r>
              <w:rPr>
                <w:rFonts w:ascii="Times New Roman" w:cs="Times New Roman" w:eastAsia="Times New Roman" w:hAnsi="Times New Roman"/>
                <w:sz w:val="12"/>
                <w:szCs w:val="12"/>
                <w:color w:val="auto"/>
                <w:highlight w:val="white"/>
              </w:rPr>
              <w:t>.</w:t>
            </w:r>
          </w:p>
        </w:tc>
        <w:tc>
          <w:tcPr>
            <w:tcW w:w="3680" w:type="dxa"/>
            <w:vAlign w:val="bottom"/>
          </w:tcPr>
          <w:p>
            <w:pPr>
              <w:spacing w:after="0"/>
              <w:rPr>
                <w:sz w:val="12"/>
                <w:szCs w:val="12"/>
                <w:color w:val="auto"/>
              </w:rPr>
            </w:pPr>
          </w:p>
        </w:tc>
      </w:tr>
      <w:tr>
        <w:trPr>
          <w:trHeight w:val="304"/>
        </w:trPr>
        <w:tc>
          <w:tcPr>
            <w:tcW w:w="2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Press release dated April 23, 2026.</w:t>
            </w:r>
          </w:p>
        </w:tc>
      </w:tr>
      <w:tr>
        <w:trPr>
          <w:trHeight w:val="268"/>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Supplemental data to the Registrant’s press release dated April 23, 2026.</w:t>
            </w:r>
          </w:p>
        </w:tc>
      </w:tr>
      <w:tr>
        <w:trPr>
          <w:trHeight w:val="268"/>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Earnings conference call presentation.</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color w:val="auto"/>
        </w:rPr>
        <w:t>INDEPENDENT BANK CORPORATION</w:t>
      </w:r>
    </w:p>
    <w:p>
      <w:pPr>
        <w:spacing w:after="0" w:line="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color w:val="auto"/>
        </w:rPr>
        <w:t>(Registrant)</w:t>
      </w:r>
    </w:p>
    <w:p>
      <w:pPr>
        <w:spacing w:after="0" w:line="213" w:lineRule="exact"/>
        <w:rPr>
          <w:sz w:val="20"/>
          <w:szCs w:val="20"/>
          <w:color w:val="auto"/>
        </w:rPr>
      </w:pPr>
    </w:p>
    <w:p>
      <w:pPr>
        <w:spacing w:after="0"/>
        <w:tabs>
          <w:tab w:leader="none" w:pos="1300" w:val="left"/>
          <w:tab w:leader="none" w:pos="6440" w:val="left"/>
          <w:tab w:leader="none" w:pos="71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4/23/2026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27940</wp:posOffset>
            </wp:positionV>
            <wp:extent cx="27832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3205" cy="571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27940</wp:posOffset>
            </wp:positionV>
            <wp:extent cx="12801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0160" cy="5715"/>
                    </a:xfrm>
                    <a:prstGeom prst="rect">
                      <a:avLst/>
                    </a:prstGeom>
                    <a:noFill/>
                  </pic:spPr>
                </pic:pic>
              </a:graphicData>
            </a:graphic>
          </wp:anchor>
        </w:drawing>
      </w:r>
    </w:p>
    <w:p>
      <w:pPr>
        <w:spacing w:after="0" w:line="3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color w:val="auto"/>
        </w:rPr>
        <w:t>Gavin A. Mohr, Principal Financial Officer</w:t>
      </w:r>
    </w:p>
    <w:p>
      <w:pPr>
        <w:spacing w:after="0" w:line="200" w:lineRule="exact"/>
        <w:rPr>
          <w:sz w:val="20"/>
          <w:szCs w:val="20"/>
          <w:color w:val="auto"/>
        </w:rPr>
      </w:pP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809" w:right="1440" w:bottom="1440" w:gutter="0" w:footer="0" w:header="0"/>
        </w:sectPr>
      </w:pPr>
    </w:p>
    <w:bookmarkStart w:id="3" w:name="page4"/>
    <w:bookmarkEnd w:id="3"/>
    <w:p>
      <w:pPr>
        <w:ind w:left="1070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05727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72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8"/>
          <w:szCs w:val="8"/>
          <w:b w:val="1"/>
          <w:bCs w:val="1"/>
          <w:color w:val="auto"/>
        </w:rPr>
        <w:t>EWS</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ELEASE</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Independent Bank Corporation</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4200 East Beltline</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Grand Rapids, MI 49525</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616.527.5820</w:t>
      </w:r>
    </w:p>
    <w:p>
      <w:pPr>
        <w:sectPr>
          <w:pgSz w:w="11900" w:h="16838" w:orient="portrait"/>
          <w:cols w:equalWidth="0" w:num="1">
            <w:col w:w="11300"/>
          </w:cols>
          <w:pgMar w:left="300" w:top="813" w:right="29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 Release: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Immediately</w:t>
      </w:r>
    </w:p>
    <w:p>
      <w:pPr>
        <w:spacing w:after="0" w:line="41" w:lineRule="exact"/>
        <w:rPr>
          <w:sz w:val="20"/>
          <w:szCs w:val="20"/>
          <w:color w:val="auto"/>
        </w:rPr>
      </w:pPr>
    </w:p>
    <w:p>
      <w:pPr>
        <w:sectPr>
          <w:pgSz w:w="11900" w:h="16838" w:orient="portrait"/>
          <w:cols w:equalWidth="0" w:num="2">
            <w:col w:w="640" w:space="720"/>
            <w:col w:w="9940"/>
          </w:cols>
          <w:pgMar w:left="300" w:top="813"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William B. Kessel, President and CEO, 616.447.3933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Gavin A. Mohr, Chief Financial Officer, 616.447.3929</w:t>
      </w:r>
    </w:p>
    <w:p>
      <w:pPr>
        <w:spacing w:after="0" w:line="200" w:lineRule="exact"/>
        <w:rPr>
          <w:sz w:val="20"/>
          <w:szCs w:val="20"/>
          <w:color w:val="auto"/>
        </w:rPr>
      </w:pPr>
    </w:p>
    <w:p>
      <w:pPr>
        <w:sectPr>
          <w:pgSz w:w="11900" w:h="16838" w:orient="portrait"/>
          <w:cols w:equalWidth="0" w:num="2">
            <w:col w:w="640" w:space="720"/>
            <w:col w:w="9940"/>
          </w:cols>
          <w:pgMar w:left="300" w:top="813" w:right="29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INDEPENDENT BANK CORPORATION REPORTS 2026 FIRST QUARTER EARNINGS OF $0.81 PER DILUTED SHARE</w:t>
      </w:r>
    </w:p>
    <w:p>
      <w:pPr>
        <w:sectPr>
          <w:pgSz w:w="11900" w:h="16838" w:orient="portrait"/>
          <w:cols w:equalWidth="0" w:num="1">
            <w:col w:w="11300"/>
          </w:cols>
          <w:pgMar w:left="300" w:top="813" w:right="299" w:bottom="1440" w:gutter="0" w:footer="0" w:header="0"/>
          <w:type w:val="continuous"/>
        </w:sectPr>
      </w:pP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GRAND RAPIDS, Mich., April 23, 2026 - </w:t>
      </w:r>
      <w:r>
        <w:rPr>
          <w:rFonts w:ascii="Times New Roman" w:cs="Times New Roman" w:eastAsia="Times New Roman" w:hAnsi="Times New Roman"/>
          <w:sz w:val="12"/>
          <w:szCs w:val="12"/>
          <w:color w:val="auto"/>
        </w:rPr>
        <w:t>Independent Bank Corporation (NASDAQ: IBCP) reported first quarter 2026 net income of $16.9 million, or $0.81 per diluted share, versus net income of $15.6 million, or $0.74 per diluted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in the prior-year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Highlights for the first quarter of 2026 include:</w:t>
      </w:r>
    </w:p>
    <w:p>
      <w:pPr>
        <w:spacing w:after="0" w:line="78" w:lineRule="exact"/>
        <w:rPr>
          <w:sz w:val="20"/>
          <w:szCs w:val="20"/>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net interest margin of 3.65% (three basis point increase from the linked quarter);</w:t>
      </w:r>
    </w:p>
    <w:p>
      <w:pPr>
        <w:spacing w:after="0" w:line="8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color w:val="auto"/>
        </w:rPr>
        <w:t>Increase in net interest income of $0.5 million (or 1.1% ) over the fourth quarter of 2025;</w:t>
      </w:r>
    </w:p>
    <w:p>
      <w:pPr>
        <w:spacing w:after="0" w:line="70" w:lineRule="exact"/>
        <w:rPr>
          <w:rFonts w:ascii="Arial" w:cs="Arial" w:eastAsia="Arial" w:hAnsi="Arial"/>
          <w:sz w:val="14"/>
          <w:szCs w:val="14"/>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in tangible common equity per share of common stock of $0.33 (or 5.9% annualized) from December 31, 2025;</w:t>
      </w:r>
    </w:p>
    <w:p>
      <w:pPr>
        <w:spacing w:after="0" w:line="6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return on average assets and a return on average equity of 1.24% and 13.43%, respectively;</w:t>
      </w:r>
    </w:p>
    <w:p>
      <w:pPr>
        <w:spacing w:after="0" w:line="6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growth in total deposits, less brokered time deposits, of $80.4 million (or 6.9% annualized) from December 31, 2025;</w:t>
      </w:r>
    </w:p>
    <w:p>
      <w:pPr>
        <w:spacing w:after="0" w:line="6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growth in loans of $31.8 million (or 3.0% annualized) from December 31, 2025;</w:t>
      </w:r>
    </w:p>
    <w:p>
      <w:pPr>
        <w:spacing w:after="0" w:line="6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the tangible common equity ratio to 8.7%; and</w:t>
      </w:r>
    </w:p>
    <w:p>
      <w:pPr>
        <w:spacing w:after="0" w:line="6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a $0.28 per share quarterly dividend on common stock on February 13, 2026.</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William B. (“Brad”) Kessel, the President and Chief Executive Officer of Independent Bank Corporation, commented: “Our first quarter results reflect the strength of our core fundamentals, including growth in net interest income, expansion in our net interest margin to 3.65%, and continued growth in both loans and core deposits. Balance sheet growth remained disciplined, with $80.4 million in core deposit growth and $31.8 million in total loan growth, including $53.8 million, or 9.9% annualized, in commercial loans, reflecting continued execution of our strategic plan. Credit quality remains sound, and while geopolitical uncertainty has increased, we have not seen a direct impact on our customers and continue to monitor conditions closely. Profitability remained strong, with a return on average assets of 1.24% and a return on average equity of 13.43%. We remain encouraged by our momentum, optimistic about our opportunities, and confident in the benefits our recently announced merger with HCB Financial Corp. will provide to enhancing shareholder value.”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Significant items impacting comparable first quarter 2026 and 2025 results include the following:</w:t>
      </w:r>
    </w:p>
    <w:p>
      <w:pPr>
        <w:spacing w:after="0" w:line="78" w:lineRule="exact"/>
        <w:rPr>
          <w:sz w:val="20"/>
          <w:szCs w:val="20"/>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fair value due to price of capitalized mortgage loan servicing rights (the “MSR Changes”) of $0.9 million ($0.04 per diluted share, after taxes) for the three-month period ended March 31, 2026, as</w:t>
      </w:r>
    </w:p>
    <w:p>
      <w:pPr>
        <w:spacing w:after="0" w:line="200" w:lineRule="exact"/>
        <w:rPr>
          <w:rFonts w:ascii="Times New Roman" w:cs="Times New Roman" w:eastAsia="Times New Roman" w:hAnsi="Times New Roman"/>
          <w:sz w:val="12"/>
          <w:szCs w:val="12"/>
          <w:color w:val="auto"/>
        </w:rPr>
      </w:pPr>
    </w:p>
    <w:p>
      <w:pPr>
        <w:spacing w:after="0" w:line="202" w:lineRule="exact"/>
        <w:rPr>
          <w:rFonts w:ascii="Times New Roman" w:cs="Times New Roman" w:eastAsia="Times New Roman" w:hAnsi="Times New Roman"/>
          <w:sz w:val="12"/>
          <w:szCs w:val="12"/>
          <w:color w:val="auto"/>
        </w:rPr>
      </w:pPr>
    </w:p>
    <w:p>
      <w:pPr>
        <w:ind w:left="5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813" w:right="299" w:bottom="1440" w:gutter="0" w:footer="0" w:header="0"/>
          <w:type w:val="continuous"/>
        </w:sectPr>
      </w:pPr>
    </w:p>
    <w:bookmarkStart w:id="4" w:name="page5"/>
    <w:bookmarkEnd w:id="4"/>
    <w:p>
      <w:pPr>
        <w:ind w:left="640"/>
        <w:spacing w:after="0"/>
        <w:rPr>
          <w:sz w:val="20"/>
          <w:szCs w:val="20"/>
          <w:color w:val="auto"/>
        </w:rPr>
      </w:pPr>
      <w:r>
        <w:rPr>
          <w:rFonts w:ascii="Times New Roman" w:cs="Times New Roman" w:eastAsia="Times New Roman" w:hAnsi="Times New Roman"/>
          <w:sz w:val="12"/>
          <w:szCs w:val="12"/>
          <w:color w:val="auto"/>
        </w:rPr>
        <w:t>compared to $(1.5) million ($(0.06) per diluted share, after taxes) for the three-month period ended March 31, 2025.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Operating Results</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The Company’s net interest income totaled $46.9 million during the first quarter of 2026, an increase of $3.2 million, or 7.3% from the year-ago period, and an increase of $0.5 million, or 1.1%, from the fourth quarter of 2025 which had two additional days of earnings. The Company’s tax equivalent net interest income as a percent of average interest-earning assets (the “net interest margin”) was 3.65% during the first quarter of 2026, compared to 3.49% in the year-ago period, and 3.62% in the fourth quarter of 2025. The increase in the net interest margin from the prior quarter was supported by a 16 basis point decrease in the cost of deposits. The year-over-year quarter and linked quarter increases in net interest income were due to both an increase in average interest-earning assets and the higher net interest margin. Average interest-earning assets were $5.21 billion in the first quarter of 2026, compared to $5.08 billion in the year-ago quarter and $5.16 billion in the fourth quarter of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Non-interest income totaled $12.0 million for the first quarter of 2026, compared to $10.4 million in the comparable prior year period. This change was primarily due to variances in mortgage banking related revenues.</w:t>
      </w:r>
    </w:p>
    <w:p>
      <w:pPr>
        <w:spacing w:after="0" w:line="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Net gains on mortgage loans in the first quarters of 2026 and 2025 were approximately $1.3 million and $2.3 million, respectively. The comparative quarterly decrease in net gains on mortgage loans was due to a decrease in the gain on sale margin that was partially offset by an increase in the volume of mortgage loans sold.</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Mortgage loan servicing, net, generated income (expense) of $1.6 million and $(0.6) million in the first quarters of 2026 and 2025, respectively. The significant variance in mortgage loan servicing, net is primarily due to changes in the fair value of capitalized mortgage loan servicing rights associated with changes in interest rates and the associated expected future prepayment levels and expected float rates partially offset by a decline in servicing revenue. The decline in servicing revenue is attributed to the sale of approximately $931 million of mortgage servicing rights on January 31, 2025. Capitalized mortgage loan servicing rights totaled $32.2 million and $31.5 million at March 31, 2026 and December 31, 2025,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Mortgage loan servicing, net activity is summarized in the following table:</w:t>
            </w: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52"/>
        </w:trPr>
        <w:tc>
          <w:tcPr>
            <w:tcW w:w="7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400" w:type="dxa"/>
            <w:vAlign w:val="bottom"/>
            <w:gridSpan w:val="4"/>
          </w:tcPr>
          <w:p>
            <w:pPr>
              <w:jc w:val="right"/>
              <w:ind w:right="440"/>
              <w:spacing w:after="0"/>
              <w:rPr>
                <w:sz w:val="20"/>
                <w:szCs w:val="20"/>
                <w:color w:val="auto"/>
              </w:rPr>
            </w:pPr>
            <w:r>
              <w:rPr>
                <w:rFonts w:ascii="Times New Roman" w:cs="Times New Roman" w:eastAsia="Times New Roman" w:hAnsi="Times New Roman"/>
                <w:sz w:val="12"/>
                <w:szCs w:val="12"/>
                <w:color w:val="auto"/>
              </w:rPr>
              <w:t>Three months ended</w:t>
            </w:r>
          </w:p>
        </w:tc>
        <w:tc>
          <w:tcPr>
            <w:tcW w:w="420" w:type="dxa"/>
            <w:vAlign w:val="bottom"/>
          </w:tcPr>
          <w:p>
            <w:pPr>
              <w:spacing w:after="0"/>
              <w:rPr>
                <w:sz w:val="21"/>
                <w:szCs w:val="21"/>
                <w:color w:val="auto"/>
              </w:rPr>
            </w:pPr>
          </w:p>
        </w:tc>
      </w:tr>
      <w:tr>
        <w:trPr>
          <w:trHeight w:val="189"/>
        </w:trPr>
        <w:tc>
          <w:tcPr>
            <w:tcW w:w="76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3/31/2026</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3/31/2025</w:t>
            </w:r>
          </w:p>
        </w:tc>
        <w:tc>
          <w:tcPr>
            <w:tcW w:w="420" w:type="dxa"/>
            <w:vAlign w:val="bottom"/>
            <w:tcBorders>
              <w:bottom w:val="single" w:sz="8" w:color="auto"/>
            </w:tcBorders>
          </w:tcPr>
          <w:p>
            <w:pPr>
              <w:spacing w:after="0"/>
              <w:rPr>
                <w:sz w:val="16"/>
                <w:szCs w:val="16"/>
                <w:color w:val="auto"/>
              </w:rPr>
            </w:pPr>
          </w:p>
        </w:tc>
      </w:tr>
      <w:tr>
        <w:trPr>
          <w:trHeight w:val="160"/>
        </w:trPr>
        <w:tc>
          <w:tcPr>
            <w:tcW w:w="7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(In thousands)</w:t>
            </w:r>
          </w:p>
        </w:tc>
        <w:tc>
          <w:tcPr>
            <w:tcW w:w="420" w:type="dxa"/>
            <w:vAlign w:val="bottom"/>
          </w:tcPr>
          <w:p>
            <w:pPr>
              <w:spacing w:after="0"/>
              <w:rPr>
                <w:sz w:val="13"/>
                <w:szCs w:val="13"/>
                <w:color w:val="auto"/>
              </w:rPr>
            </w:pPr>
          </w:p>
        </w:tc>
      </w:tr>
      <w:tr>
        <w:trPr>
          <w:trHeight w:val="189"/>
        </w:trPr>
        <w:tc>
          <w:tcPr>
            <w:tcW w:w="76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Mortgage loan servicing, net:</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Revenue, net</w:t>
            </w: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w:t>
            </w:r>
          </w:p>
        </w:tc>
      </w:tr>
      <w:tr>
        <w:trPr>
          <w:trHeight w:val="171"/>
        </w:trPr>
        <w:tc>
          <w:tcPr>
            <w:tcW w:w="760" w:type="dxa"/>
            <w:vAlign w:val="bottom"/>
          </w:tcPr>
          <w:p>
            <w:pPr>
              <w:spacing w:after="0"/>
              <w:rPr>
                <w:sz w:val="14"/>
                <w:szCs w:val="14"/>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Fair value change due to price</w:t>
            </w: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(1,533)</w:t>
            </w:r>
          </w:p>
        </w:tc>
      </w:tr>
      <w:tr>
        <w:trPr>
          <w:trHeight w:val="189"/>
        </w:trPr>
        <w:tc>
          <w:tcPr>
            <w:tcW w:w="760" w:type="dxa"/>
            <w:vAlign w:val="bottom"/>
          </w:tcPr>
          <w:p>
            <w:pPr>
              <w:spacing w:after="0"/>
              <w:rPr>
                <w:sz w:val="16"/>
                <w:szCs w:val="16"/>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Fair value change due to pay-downs</w:t>
            </w: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w:t>
            </w:r>
          </w:p>
        </w:tc>
      </w:tr>
      <w:tr>
        <w:trPr>
          <w:trHeight w:val="171"/>
        </w:trPr>
        <w:tc>
          <w:tcPr>
            <w:tcW w:w="760" w:type="dxa"/>
            <w:vAlign w:val="bottom"/>
          </w:tcPr>
          <w:p>
            <w:pPr>
              <w:spacing w:after="0"/>
              <w:rPr>
                <w:sz w:val="14"/>
                <w:szCs w:val="14"/>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on sale of originated servicing rights</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94"/>
        </w:trPr>
        <w:tc>
          <w:tcPr>
            <w:tcW w:w="760" w:type="dxa"/>
            <w:vAlign w:val="bottom"/>
          </w:tcPr>
          <w:p>
            <w:pPr>
              <w:spacing w:after="0"/>
              <w:rPr>
                <w:sz w:val="16"/>
                <w:szCs w:val="16"/>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r>
    </w:tbl>
    <w:p>
      <w:pPr>
        <w:spacing w:after="0" w:line="11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Non-interest expenses totaled $38.3 million in the first quarter of 2026, compared to $34.3 million in the year-ago period. The increase in non-interest expense is primarily due to increases in compensation and employee benefits, advertising and merger related expenses as well as a $1.5 million litigation expense recorded during the quarter.</w:t>
      </w:r>
    </w:p>
    <w:p>
      <w:pPr>
        <w:spacing w:after="0" w:line="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recorded income tax expense of $3.4 million in the first quarter of 2026. This compares to an income tax expense of $3.5 million in the first quarter of 2025. The 2026 first quarter income tax expense includes a $0.2 million benefit from transferable energy tax credits.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41"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 Quality</w:t>
            </w: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breakdown of non-performing loans by loan type is as follows (1):</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1"/>
        </w:trPr>
        <w:tc>
          <w:tcPr>
            <w:tcW w:w="68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3/31/2026</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12/31/2025</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3/31/2025</w:t>
            </w:r>
          </w:p>
        </w:tc>
      </w:tr>
      <w:tr>
        <w:trPr>
          <w:trHeight w:val="169"/>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Type</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(Dollars in thousands)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Commercial</w:t>
            </w: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27,077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23,531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127</w:t>
            </w:r>
          </w:p>
        </w:tc>
      </w:tr>
      <w:tr>
        <w:trPr>
          <w:trHeight w:val="171"/>
        </w:trPr>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Mortgage</w:t>
            </w:r>
          </w:p>
        </w:tc>
        <w:tc>
          <w:tcPr>
            <w:tcW w:w="96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8,683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8,080</w:t>
            </w:r>
          </w:p>
        </w:tc>
      </w:tr>
      <w:tr>
        <w:trPr>
          <w:trHeight w:val="180"/>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Installment</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860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819</w:t>
            </w:r>
          </w:p>
        </w:tc>
      </w:tr>
      <w:tr>
        <w:trPr>
          <w:trHeight w:val="169"/>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Sub total</w:t>
            </w:r>
          </w:p>
        </w:tc>
        <w:tc>
          <w:tcPr>
            <w:tcW w:w="96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6"/>
              </w:rPr>
              <w:t>37,775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33,074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9,026</w:t>
            </w:r>
          </w:p>
        </w:tc>
      </w:tr>
      <w:tr>
        <w:trPr>
          <w:trHeight w:val="180"/>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Less - government guaranteed loans</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10,202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9,947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1,940</w:t>
            </w:r>
          </w:p>
        </w:tc>
      </w:tr>
      <w:tr>
        <w:trPr>
          <w:trHeight w:val="194"/>
        </w:trPr>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2"/>
                <w:szCs w:val="12"/>
                <w:color w:val="auto"/>
              </w:rPr>
              <w:t>Total non-performing loans</w:t>
            </w: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6"/>
              </w:rPr>
              <w:t>27,573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23,127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7,086</w:t>
            </w:r>
          </w:p>
        </w:tc>
      </w:tr>
      <w:tr>
        <w:trPr>
          <w:trHeight w:val="18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Ratio of non-performing loans to total portfolio loans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0.64 %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0.17 %</w:t>
            </w:r>
          </w:p>
        </w:tc>
      </w:tr>
      <w:tr>
        <w:trPr>
          <w:trHeight w:val="171"/>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Ratio of non-performing assets to total assets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0.51 %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0.44 %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0.14 %</w:t>
            </w:r>
          </w:p>
        </w:tc>
      </w:tr>
      <w:tr>
        <w:trPr>
          <w:trHeight w:val="189"/>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Ratio of allowance for credit losses to total non-performing loans</w:t>
            </w: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231.09 %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274.33 %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847.23 %</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Non performing loans include non-accrual loans and loans 90 days or more past due and still accruing interest.</w:t>
      </w:r>
    </w:p>
    <w:p>
      <w:pPr>
        <w:spacing w:after="0" w:line="15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provision for credit losses was an expense of $0.36 million and $0.72 million in the first quarters of 2026 and 2025, respectively. The Company recorded loan net charge offs of $0.27 million and $0.07 million in the first quarters of 2026 and 2025, respectively. At March 31, 2026, the allowance for credit losses for loans totaled $63.7 million, or 1.48% of total portfolio loans compared to $63.4 million, or 1.48% of total portfolio loans at December 31,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Balance Sheet, Capital and Liquidity</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Total assets were $5.56 billion at March 31, 2026, an increase of $51.8 million from December 31, 2025. Loans, excluding loans held for sale, were $4.31 billion at March 31, 2026, compared to $4.28 billion at December 31, 2025. Deposits totaled $4.88 billion at March 31, 2026, an increase of $119.0 million from December 31, 2025. This increase is primarily due to increases in savings and interest-bearing checking, reciprocal, and brokered time deposits that were partially offset by a decrease in time deposits.</w:t>
      </w:r>
    </w:p>
    <w:p>
      <w:pPr>
        <w:spacing w:after="0" w:line="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Cash and cash equivalents totaled $174.9 million at March 31, 2026, versus $138.4 million at December 31, 2025. Securities available for sale (“AFS”) totaled $482.3 million at March 31, 2026, versus $495.9 million at December 31, 2025.</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Total shareholders’ equity was $510.6 million at March 31, 2026, or 9.19% of total assets compared to $503.0 million or 9.14% at December 31, 2025. Tangible common equity totaled $481.4 million at March 31, 2026, or $23.38 per share compared to $473.7 million or $23.05 per share at December 31, 2025. The increases in shareholders’ equity as well as tangible common equity are primarily the result of earnings retention that was partially offset by an increase in the accumulated other comprehensive loss.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wholly owned subsidiary, Independent Bank, remains significantly above “well capitalized” for regulatory purposes with the following ratios: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Well</w:t>
            </w:r>
          </w:p>
        </w:tc>
      </w:tr>
      <w:tr>
        <w:trPr>
          <w:trHeight w:val="144"/>
        </w:trPr>
        <w:tc>
          <w:tcPr>
            <w:tcW w:w="6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Capitalized</w:t>
            </w:r>
          </w:p>
        </w:tc>
      </w:tr>
      <w:tr>
        <w:trPr>
          <w:trHeight w:val="164"/>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Regulatory Capital Ratios</w:t>
            </w:r>
          </w:p>
        </w:tc>
        <w:tc>
          <w:tcPr>
            <w:tcW w:w="14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3/31/2026</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12/31/2025</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Minimum</w:t>
            </w:r>
          </w:p>
        </w:tc>
      </w:tr>
      <w:tr>
        <w:trPr>
          <w:trHeight w:val="169"/>
        </w:trPr>
        <w:tc>
          <w:tcPr>
            <w:tcW w:w="6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Tier 1 capital to average total assets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9.43 %</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9.36 %</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5.00 %</w:t>
            </w:r>
          </w:p>
        </w:tc>
      </w:tr>
      <w:tr>
        <w:trPr>
          <w:trHeight w:val="171"/>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Common equity tier 1 capital to risk-weighted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11.43 %</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11.24 %</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6.50 %</w:t>
            </w:r>
          </w:p>
        </w:tc>
      </w:tr>
      <w:tr>
        <w:trPr>
          <w:trHeight w:val="18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Tier 1 capital to risk-weighted assets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11.43 %</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11.24 %</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8.00 %</w:t>
            </w:r>
          </w:p>
        </w:tc>
      </w:tr>
      <w:tr>
        <w:trPr>
          <w:trHeight w:val="162"/>
        </w:trPr>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Total capital to risk-weighted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12.68 %</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12.49 %</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10.00 %</w:t>
            </w:r>
          </w:p>
        </w:tc>
      </w:tr>
    </w:tbl>
    <w:p>
      <w:pPr>
        <w:spacing w:after="0" w:line="2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March 31, 2026, in addition to liquidity available from our normal operating, funding, and investing activities, we had unused credit lines with the FHLB and FRB of approximately $785.5 million and $1.36 billion, respectively. We also had approximately $440.7 million in fair value of unpledged securities AFS and HTM at March 31, 2026 which could be pledged for an estimated additional borrowing capacity at the FHLB and FRB of approximately $414.0 million.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3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auto"/>
        </w:rPr>
        <w:t>Share Repurchase Plan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December 16, 2025, the Board of Directors of the Company authorized the 2026 share repurchase plan. Under the terms of the 2026 share repurchase plan, the Company is authorized to purchase up to 1,100,000 shares, or approximately 5% of its then outstanding common stock. The repurchase plan is authorized to last through December 31, 2026. During the three month period ended March 31, 2026, there were no shares of common stock repurchased.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Earnings Conference Call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Brad Kessel, President and CEO, Gavin Mohr, CFO and Joel Rahn, EVP – Commercial Banking will review the quarterly results in a conference call for investors and analysts beginning at 11:00 am ET on Thursday, April 23,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access via phone, participants will need to register using the following link where they will be provided a phone number and access code: https://register-conf.media-server.com/register/BId259863bf9e8463883aeddb939de1580.</w:t>
      </w:r>
    </w:p>
    <w:p>
      <w:pPr>
        <w:spacing w:after="0" w:line="168" w:lineRule="exact"/>
        <w:rPr>
          <w:sz w:val="20"/>
          <w:szCs w:val="20"/>
          <w:color w:val="auto"/>
        </w:rPr>
      </w:pPr>
    </w:p>
    <w:p>
      <w:pPr>
        <w:ind w:right="1560"/>
        <w:spacing w:after="0" w:line="375" w:lineRule="auto"/>
        <w:rPr>
          <w:sz w:val="20"/>
          <w:szCs w:val="20"/>
          <w:color w:val="auto"/>
        </w:rPr>
      </w:pPr>
      <w:r>
        <w:rPr>
          <w:rFonts w:ascii="Times New Roman" w:cs="Times New Roman" w:eastAsia="Times New Roman" w:hAnsi="Times New Roman"/>
          <w:sz w:val="12"/>
          <w:szCs w:val="12"/>
          <w:color w:val="auto"/>
        </w:rPr>
        <w:t xml:space="preserve">In order to view the webcast and presentation slides, please go to https://edge.media-server.com/mmc/p/989vrdc9 during the time of the call. A replay of the webcast will be available until April 23, 2027. </w:t>
      </w:r>
      <w:r>
        <w:rPr>
          <w:rFonts w:ascii="Times New Roman" w:cs="Times New Roman" w:eastAsia="Times New Roman" w:hAnsi="Times New Roman"/>
          <w:sz w:val="12"/>
          <w:szCs w:val="12"/>
          <w:b w:val="1"/>
          <w:bCs w:val="1"/>
          <w:u w:val="single" w:color="auto"/>
          <w:color w:val="auto"/>
        </w:rPr>
        <w:t>About Independent Bank Corporation</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Independent Bank Corporation (NASDAQ: IBCP) is a Michigan-based bank holding company with total assets of approximately $5.6 billion. Founded as First National Bank of Ionia in 1864, Independent Bank Corporation operates a branch network across Michigan's Lower Peninsula through one state-chartered bank subsidiary. This subsidiary (Independent Bank) provides a full range of financial services, including commercial banking, mortgage lending, consumer banking, investments and insurance. Independent Bank Corporation is committed to providing exceptional personal service and value to its customers, stockholders and the communities it serves.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more information, please visit our Web site at: </w:t>
      </w:r>
      <w:r>
        <w:rPr>
          <w:rFonts w:ascii="Times New Roman" w:cs="Times New Roman" w:eastAsia="Times New Roman" w:hAnsi="Times New Roman"/>
          <w:sz w:val="12"/>
          <w:szCs w:val="12"/>
          <w:u w:val="single" w:color="auto"/>
          <w:color w:val="auto"/>
        </w:rPr>
        <w:t>IndependentBank.com</w:t>
      </w:r>
      <w:r>
        <w:rPr>
          <w:rFonts w:ascii="Times New Roman" w:cs="Times New Roman" w:eastAsia="Times New Roman" w:hAnsi="Times New Roman"/>
          <w:sz w:val="12"/>
          <w:szCs w:val="12"/>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Forward-Looking Statements</w:t>
      </w:r>
    </w:p>
    <w:p>
      <w:pPr>
        <w:spacing w:after="0" w:line="1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2"/>
          <w:szCs w:val="12"/>
          <w:i w:val="1"/>
          <w:iCs w:val="1"/>
          <w:color w:val="auto"/>
        </w:rPr>
        <w:t>This presentation contains forward-looking statements, which are any statements or information that are not historical facts. These forward-looking statements include statements about our anticipated future revenue and expenses and our future plans and prospects.</w:t>
      </w:r>
    </w:p>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i w:val="1"/>
          <w:iCs w:val="1"/>
          <w:color w:val="auto"/>
        </w:rPr>
        <w:t>Forward-looking statements involve inherent risks and uncertainties, and important factors could cause actual results to differ materially from those anticipated. For example, deterioration in general business and economic conditions or turbulence in domestic or global financial markets could adversely affect our revenues and the values of our assets and liabilities, reduce the availability of funding to us, lead to a tightening of credit, and increase stock price volatility. Our results could also be adversely affected by changes in interest rates; increases in unemployment rates; deterioration in the credit quality of our loan portfolios or in the value of the collateral securing those loans; deterioration in the value of our investment securities; the outcome of pending litigation; legal and regulatory developments; changes in customer behavior and preferences; breaches in data security; and management’s ability to effectively manage the multitude of risks facing our business. Key risk factors that could affect our future results are described in more detail in our Annual Report on Form 10-K for the year ended December 31, 2025 and the other reports we file with the SEC, including under the heading “Risk Factors.” Investors should not place undue reliance on forward-looking statements as a prediction of our future results.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i w:val="1"/>
          <w:iCs w:val="1"/>
          <w:color w:val="auto"/>
        </w:rPr>
        <w:t>In addition, this release contains forward-looking statements regarding the proposed merger with HCB Financial Corp. ("HCB"). Important factors that could cause actual results to differ materially from those anticipated include: the risk that the merger may not be completed in a timely manner or at all; the failure to satisfy the conditions to the completion of the merger, including the receipt of all required regulatory and shareholder approvals; the occurrence of any event, change, or other circumstance that could give rise to the right of one or both parties to terminate the merger agreement; the risk that the anticipated benefits and cost savings of the merger may not be fully realized or may take longer to realize than expected; the risk of business disruption during the pendency of the merger; diversion of management's attention from ongoing business operations; the risk that the integration of HCB's operations with ours will be materially delayed or will be more costly or difficult than expected; and the potential for reputational risk related to the merger and integration.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Any forward-looking statement speaks only as of the date on which it is made, and we undertake no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80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i w:val="1"/>
          <w:iCs w:val="1"/>
          <w:color w:val="auto"/>
        </w:rPr>
        <w:t>Additional Information and Where to Find It</w:t>
      </w:r>
    </w:p>
    <w:p>
      <w:pPr>
        <w:spacing w:after="0" w:line="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i w:val="1"/>
          <w:iCs w:val="1"/>
          <w:color w:val="auto"/>
        </w:rPr>
        <w:t>In connection with the proposed acquisition of HCB, we expect to file with the SEC a registration statement on Form S-4 that will include a preliminary proxy statement of HCB and a preliminary prospectus of Independent Bank Corporation. Shareholders are urged to read the proxy statement/prospectus when it becomes available because it will contain important information about the proposed transaction. Free copies of these documents, when available, may be obtained at the SEC’s website (www.sec.gov) or upon written request to Independent Bank Corporation, 4200 East Beltline, Grand Rapids, MI 49525, Attention: Investor Relations, or HCB Financial Corp., 150 West Court Street, Hastings, MI 49058, Attention: Amanda Belcher-Currier, CFO. A final proxy statement/prospectus will be mailed to the shareholders of HCB.</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 Offer or Solicitation</w:t>
      </w:r>
    </w:p>
    <w:p>
      <w:pPr>
        <w:spacing w:after="0" w:line="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i w:val="1"/>
          <w:iCs w:val="1"/>
          <w:color w:val="auto"/>
        </w:rPr>
        <w:t>This communication is not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such jurisdiction.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67"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color w:val="auto"/>
        </w:rPr>
        <w:t>INDEPENDENT BANK CORPORATION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Consolidated Statements of Financial Condition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color w:val="auto"/>
              </w:rPr>
              <w:t>March 31, 2026</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97"/>
              </w:rPr>
              <w:t>December 31, 2025</w:t>
            </w:r>
          </w:p>
        </w:tc>
      </w:tr>
      <w:tr>
        <w:trPr>
          <w:trHeight w:val="133"/>
        </w:trPr>
        <w:tc>
          <w:tcPr>
            <w:tcW w:w="8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center"/>
              <w:ind w:left="826"/>
              <w:spacing w:after="0"/>
              <w:rPr>
                <w:sz w:val="20"/>
                <w:szCs w:val="20"/>
                <w:color w:val="auto"/>
              </w:rPr>
            </w:pPr>
            <w:r>
              <w:rPr>
                <w:rFonts w:ascii="Times New Roman" w:cs="Times New Roman" w:eastAsia="Times New Roman" w:hAnsi="Times New Roman"/>
                <w:sz w:val="11"/>
                <w:szCs w:val="11"/>
                <w:color w:val="auto"/>
                <w:w w:val="97"/>
              </w:rPr>
              <w:t>(Unaudited)</w:t>
            </w:r>
          </w:p>
        </w:tc>
        <w:tc>
          <w:tcPr>
            <w:tcW w:w="1080" w:type="dxa"/>
            <w:vAlign w:val="bottom"/>
            <w:tcBorders>
              <w:bottom w:val="single" w:sz="8" w:color="auto"/>
            </w:tcBorders>
          </w:tcPr>
          <w:p>
            <w:pPr>
              <w:spacing w:after="0"/>
              <w:rPr>
                <w:sz w:val="11"/>
                <w:szCs w:val="11"/>
                <w:color w:val="auto"/>
              </w:rPr>
            </w:pPr>
          </w:p>
        </w:tc>
      </w:tr>
      <w:tr>
        <w:trPr>
          <w:trHeight w:val="99"/>
        </w:trPr>
        <w:tc>
          <w:tcPr>
            <w:tcW w:w="8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80" w:type="dxa"/>
            <w:vAlign w:val="bottom"/>
            <w:gridSpan w:val="4"/>
          </w:tcPr>
          <w:p>
            <w:pPr>
              <w:jc w:val="center"/>
              <w:ind w:right="146"/>
              <w:spacing w:after="0" w:line="99" w:lineRule="exact"/>
              <w:rPr>
                <w:sz w:val="20"/>
                <w:szCs w:val="20"/>
                <w:color w:val="auto"/>
              </w:rPr>
            </w:pPr>
            <w:r>
              <w:rPr>
                <w:rFonts w:ascii="Times New Roman" w:cs="Times New Roman" w:eastAsia="Times New Roman" w:hAnsi="Times New Roman"/>
                <w:sz w:val="11"/>
                <w:szCs w:val="11"/>
                <w:color w:val="auto"/>
                <w:w w:val="96"/>
              </w:rPr>
              <w:t>(In thousands, except share</w:t>
            </w:r>
          </w:p>
        </w:tc>
      </w:tr>
      <w:tr>
        <w:trPr>
          <w:trHeight w:val="140"/>
        </w:trPr>
        <w:tc>
          <w:tcPr>
            <w:tcW w:w="8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tcPr>
          <w:p>
            <w:pPr>
              <w:jc w:val="center"/>
              <w:ind w:left="826"/>
              <w:spacing w:after="0"/>
              <w:rPr>
                <w:sz w:val="20"/>
                <w:szCs w:val="20"/>
                <w:color w:val="auto"/>
              </w:rPr>
            </w:pPr>
            <w:r>
              <w:rPr>
                <w:rFonts w:ascii="Times New Roman" w:cs="Times New Roman" w:eastAsia="Times New Roman" w:hAnsi="Times New Roman"/>
                <w:sz w:val="11"/>
                <w:szCs w:val="11"/>
                <w:color w:val="auto"/>
                <w:w w:val="97"/>
              </w:rPr>
              <w:t>amounts)</w:t>
            </w:r>
          </w:p>
        </w:tc>
        <w:tc>
          <w:tcPr>
            <w:tcW w:w="1080" w:type="dxa"/>
            <w:vAlign w:val="bottom"/>
          </w:tcPr>
          <w:p>
            <w:pPr>
              <w:spacing w:after="0"/>
              <w:rPr>
                <w:sz w:val="12"/>
                <w:szCs w:val="12"/>
                <w:color w:val="auto"/>
              </w:rPr>
            </w:pPr>
          </w:p>
        </w:tc>
      </w:tr>
      <w:tr>
        <w:trPr>
          <w:trHeight w:val="159"/>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due from banks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52,235</w:t>
            </w:r>
          </w:p>
        </w:tc>
      </w:tr>
      <w:tr>
        <w:trPr>
          <w:trHeight w:val="15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 bearing deposits</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126,440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86,152</w:t>
            </w:r>
          </w:p>
        </w:tc>
      </w:tr>
      <w:tr>
        <w:trPr>
          <w:trHeight w:val="158"/>
        </w:trPr>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174,915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138,387</w:t>
            </w:r>
          </w:p>
        </w:tc>
      </w:tr>
      <w:tr>
        <w:trPr>
          <w:trHeight w:val="155"/>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482,295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495,909</w:t>
            </w:r>
          </w:p>
        </w:tc>
      </w:tr>
      <w:tr>
        <w:trPr>
          <w:trHeight w:val="16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Securities held to maturity (fair value of $271,452 at March 31, 2026 and $282,830 at December 31, 2025)</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301,007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309,523</w:t>
            </w:r>
          </w:p>
        </w:tc>
      </w:tr>
      <w:tr>
        <w:trPr>
          <w:trHeight w:val="156"/>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Federal Home Loan Bank and Federal Reserve Bank stock, at cost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18,102</w:t>
            </w:r>
          </w:p>
        </w:tc>
      </w:tr>
      <w:tr>
        <w:trPr>
          <w:trHeight w:val="16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 held for sale, carried at fair value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9,031</w:t>
            </w:r>
          </w:p>
        </w:tc>
      </w:tr>
      <w:tr>
        <w:trPr>
          <w:trHeight w:val="156"/>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2,267,369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2,213,557</w:t>
            </w:r>
          </w:p>
        </w:tc>
      </w:tr>
      <w:tr>
        <w:trPr>
          <w:trHeight w:val="155"/>
        </w:trPr>
        <w:tc>
          <w:tcPr>
            <w:tcW w:w="86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Mortgage</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1,520,358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1,524,821</w:t>
            </w:r>
          </w:p>
        </w:tc>
      </w:tr>
      <w:tr>
        <w:trPr>
          <w:trHeight w:val="162"/>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Installment</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520,372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537,907</w:t>
            </w:r>
          </w:p>
        </w:tc>
      </w:tr>
      <w:tr>
        <w:trPr>
          <w:trHeight w:val="151"/>
        </w:trPr>
        <w:tc>
          <w:tcPr>
            <w:tcW w:w="8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Loans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4,308,099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4,276,285</w:t>
            </w:r>
          </w:p>
        </w:tc>
      </w:tr>
      <w:tr>
        <w:trPr>
          <w:trHeight w:val="162"/>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(63,719)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(63,445)</w:t>
            </w:r>
          </w:p>
        </w:tc>
      </w:tr>
      <w:tr>
        <w:trPr>
          <w:trHeight w:val="151"/>
        </w:trPr>
        <w:tc>
          <w:tcPr>
            <w:tcW w:w="86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Loans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4,244,380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4,212,840</w:t>
            </w:r>
          </w:p>
        </w:tc>
      </w:tr>
      <w:tr>
        <w:trPr>
          <w:trHeight w:val="16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real estate and repossessed assets, net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w:t>
            </w:r>
          </w:p>
        </w:tc>
      </w:tr>
      <w:tr>
        <w:trPr>
          <w:trHeight w:val="155"/>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38,972</w:t>
            </w:r>
          </w:p>
        </w:tc>
      </w:tr>
      <w:tr>
        <w:trPr>
          <w:trHeight w:val="16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Bank-owned life insurance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53,750</w:t>
            </w:r>
          </w:p>
        </w:tc>
      </w:tr>
      <w:tr>
        <w:trPr>
          <w:trHeight w:val="155"/>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Capitalized mortgage loan servicing rights, carried at fair value</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31,493</w:t>
            </w:r>
          </w:p>
        </w:tc>
      </w:tr>
      <w:tr>
        <w:trPr>
          <w:trHeight w:val="16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intangibles, net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w:t>
            </w:r>
          </w:p>
        </w:tc>
      </w:tr>
      <w:tr>
        <w:trPr>
          <w:trHeight w:val="155"/>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28,300</w:t>
            </w:r>
          </w:p>
        </w:tc>
      </w:tr>
      <w:tr>
        <w:trPr>
          <w:trHeight w:val="16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income and other assets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158,519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167,516</w:t>
            </w:r>
          </w:p>
        </w:tc>
      </w:tr>
      <w:tr>
        <w:trPr>
          <w:trHeight w:val="174"/>
        </w:trPr>
        <w:tc>
          <w:tcPr>
            <w:tcW w:w="8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5,557,509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5,505,720</w:t>
            </w:r>
          </w:p>
        </w:tc>
      </w:tr>
      <w:tr>
        <w:trPr>
          <w:trHeight w:val="162"/>
        </w:trPr>
        <w:tc>
          <w:tcPr>
            <w:tcW w:w="8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5"/>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 and Shareholders' Equity</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5"/>
        </w:trPr>
        <w:tc>
          <w:tcPr>
            <w:tcW w:w="86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Non-interest bearing</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991,140</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991,984</w:t>
            </w:r>
          </w:p>
        </w:tc>
      </w:tr>
      <w:tr>
        <w:trPr>
          <w:trHeight w:val="16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Savings and interest-bearing checking</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2,146,403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2,113,260</w:t>
            </w:r>
          </w:p>
        </w:tc>
      </w:tr>
      <w:tr>
        <w:trPr>
          <w:trHeight w:val="155"/>
        </w:trPr>
        <w:tc>
          <w:tcPr>
            <w:tcW w:w="86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Reciprocal</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1,028,874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974,921</w:t>
            </w:r>
          </w:p>
        </w:tc>
      </w:tr>
      <w:tr>
        <w:trPr>
          <w:trHeight w:val="16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Time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657,043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662,858</w:t>
            </w:r>
          </w:p>
        </w:tc>
      </w:tr>
      <w:tr>
        <w:trPr>
          <w:trHeight w:val="155"/>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Brokered time</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57,220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18,659</w:t>
            </w:r>
          </w:p>
        </w:tc>
      </w:tr>
      <w:tr>
        <w:trPr>
          <w:trHeight w:val="158"/>
        </w:trPr>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4,880,680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4,761,682</w:t>
            </w:r>
          </w:p>
        </w:tc>
      </w:tr>
      <w:tr>
        <w:trPr>
          <w:trHeight w:val="156"/>
        </w:trPr>
        <w:tc>
          <w:tcPr>
            <w:tcW w:w="8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borrowings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77,003</w:t>
            </w:r>
          </w:p>
        </w:tc>
      </w:tr>
      <w:tr>
        <w:trPr>
          <w:trHeight w:val="16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Subordinated debentures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39,864</w:t>
            </w:r>
          </w:p>
        </w:tc>
      </w:tr>
      <w:tr>
        <w:trPr>
          <w:trHeight w:val="155"/>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99,385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124,220</w:t>
            </w:r>
          </w:p>
        </w:tc>
      </w:tr>
      <w:tr>
        <w:trPr>
          <w:trHeight w:val="151"/>
        </w:trPr>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5,046,956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5,002,769</w:t>
            </w:r>
          </w:p>
        </w:tc>
      </w:tr>
      <w:tr>
        <w:trPr>
          <w:trHeight w:val="166"/>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5"/>
        </w:trPr>
        <w:tc>
          <w:tcPr>
            <w:tcW w:w="86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stock, no par value, 200,000 shares authorized; none issued or outstanding</w:t>
            </w:r>
          </w:p>
        </w:tc>
        <w:tc>
          <w:tcPr>
            <w:tcW w:w="2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no par value, 500,000,000 shares authorized; issued and outstanding: 20,585,805 shares at March 31, 2026 and 20,548,893 shares at December 31, 2025</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307,679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307,845</w:t>
            </w:r>
          </w:p>
        </w:tc>
      </w:tr>
      <w:tr>
        <w:trPr>
          <w:trHeight w:val="155"/>
        </w:trPr>
        <w:tc>
          <w:tcPr>
            <w:tcW w:w="86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263,898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252,794</w:t>
            </w:r>
          </w:p>
        </w:tc>
      </w:tr>
      <w:tr>
        <w:trPr>
          <w:trHeight w:val="162"/>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(61,024)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(57,688)</w:t>
            </w:r>
          </w:p>
        </w:tc>
      </w:tr>
      <w:tr>
        <w:trPr>
          <w:trHeight w:val="151"/>
        </w:trPr>
        <w:tc>
          <w:tcPr>
            <w:tcW w:w="8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510,553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502,951</w:t>
            </w:r>
          </w:p>
        </w:tc>
      </w:tr>
      <w:tr>
        <w:trPr>
          <w:trHeight w:val="173"/>
        </w:trPr>
        <w:tc>
          <w:tcPr>
            <w:tcW w:w="8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5,557,509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5,505,720</w:t>
            </w: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0"/>
          </w:cols>
          <w:pgMar w:left="300" w:top="65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color w:val="auto"/>
        </w:rPr>
        <w:t>INDEPENDENT BANK CORPORATION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Consolidated Statements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Three Months Ended</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March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w w:val="97"/>
              </w:rPr>
              <w:t>December 31, 2025</w:t>
            </w:r>
          </w:p>
        </w:tc>
        <w:tc>
          <w:tcPr>
            <w:tcW w:w="280" w:type="dxa"/>
            <w:vAlign w:val="bottom"/>
          </w:tcPr>
          <w:p>
            <w:pPr>
              <w:spacing w:after="0"/>
              <w:rPr>
                <w:sz w:val="12"/>
                <w:szCs w:val="12"/>
                <w:color w:val="auto"/>
              </w:rPr>
            </w:pPr>
          </w:p>
        </w:tc>
        <w:tc>
          <w:tcPr>
            <w:tcW w:w="10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March 31,</w:t>
            </w:r>
          </w:p>
        </w:tc>
        <w:tc>
          <w:tcPr>
            <w:tcW w:w="0" w:type="dxa"/>
            <w:vAlign w:val="bottom"/>
          </w:tcPr>
          <w:p>
            <w:pPr>
              <w:spacing w:after="0"/>
              <w:rPr>
                <w:sz w:val="1"/>
                <w:szCs w:val="1"/>
                <w:color w:val="auto"/>
              </w:rPr>
            </w:pPr>
          </w:p>
        </w:tc>
      </w:tr>
      <w:tr>
        <w:trPr>
          <w:trHeight w:val="140"/>
        </w:trPr>
        <w:tc>
          <w:tcPr>
            <w:tcW w:w="7280" w:type="dxa"/>
            <w:vAlign w:val="bottom"/>
          </w:tcPr>
          <w:p>
            <w:pPr>
              <w:spacing w:after="0"/>
              <w:rPr>
                <w:sz w:val="12"/>
                <w:szCs w:val="12"/>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2026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28"/>
        </w:trPr>
        <w:tc>
          <w:tcPr>
            <w:tcW w:w="72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color w:val="auto"/>
                <w:w w:val="97"/>
              </w:rPr>
              <w:t>(Unaudited)</w:t>
            </w:r>
          </w:p>
        </w:tc>
        <w:tc>
          <w:tcPr>
            <w:tcW w:w="80" w:type="dxa"/>
            <w:vAlign w:val="bottom"/>
            <w:tcBorders>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900" w:type="dxa"/>
            <w:vAlign w:val="bottom"/>
          </w:tcPr>
          <w:p>
            <w:pPr>
              <w:spacing w:after="0"/>
              <w:rPr>
                <w:sz w:val="11"/>
                <w:szCs w:val="11"/>
                <w:color w:val="auto"/>
              </w:rPr>
            </w:pPr>
          </w:p>
        </w:tc>
        <w:tc>
          <w:tcPr>
            <w:tcW w:w="2100" w:type="dxa"/>
            <w:vAlign w:val="bottom"/>
            <w:gridSpan w:val="6"/>
          </w:tcPr>
          <w:p>
            <w:pPr>
              <w:jc w:val="center"/>
              <w:ind w:left="46"/>
              <w:spacing w:after="0"/>
              <w:rPr>
                <w:sz w:val="20"/>
                <w:szCs w:val="20"/>
                <w:color w:val="auto"/>
              </w:rPr>
            </w:pPr>
            <w:r>
              <w:rPr>
                <w:rFonts w:ascii="Times New Roman" w:cs="Times New Roman" w:eastAsia="Times New Roman" w:hAnsi="Times New Roman"/>
                <w:sz w:val="11"/>
                <w:szCs w:val="11"/>
                <w:color w:val="auto"/>
                <w:w w:val="97"/>
              </w:rPr>
              <w:t>(In thousands, except per share amounts)</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and fees on loans</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60,205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57,768</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on securities</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Taxable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4,036</w:t>
            </w:r>
          </w:p>
        </w:tc>
        <w:tc>
          <w:tcPr>
            <w:tcW w:w="0" w:type="dxa"/>
            <w:vAlign w:val="bottom"/>
          </w:tcPr>
          <w:p>
            <w:pPr>
              <w:spacing w:after="0"/>
              <w:rPr>
                <w:sz w:val="1"/>
                <w:szCs w:val="1"/>
                <w:color w:val="auto"/>
              </w:rPr>
            </w:pPr>
          </w:p>
        </w:tc>
      </w:tr>
      <w:tr>
        <w:trPr>
          <w:trHeight w:val="142"/>
        </w:trPr>
        <w:tc>
          <w:tcPr>
            <w:tcW w:w="7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Tax-exempt</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2,633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investments</w:t>
            </w:r>
          </w:p>
        </w:tc>
        <w:tc>
          <w:tcPr>
            <w:tcW w:w="9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1,074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1,570</w:t>
            </w:r>
          </w:p>
        </w:tc>
        <w:tc>
          <w:tcPr>
            <w:tcW w:w="0" w:type="dxa"/>
            <w:vAlign w:val="bottom"/>
          </w:tcPr>
          <w:p>
            <w:pPr>
              <w:spacing w:after="0"/>
              <w:rPr>
                <w:sz w:val="1"/>
                <w:szCs w:val="1"/>
                <w:color w:val="auto"/>
              </w:rPr>
            </w:pPr>
          </w:p>
        </w:tc>
      </w:tr>
      <w:tr>
        <w:trPr>
          <w:trHeight w:val="131"/>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 Interest Income</w:t>
            </w: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66,169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67,425</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66,144</w:t>
            </w:r>
          </w:p>
        </w:tc>
        <w:tc>
          <w:tcPr>
            <w:tcW w:w="0" w:type="dxa"/>
            <w:vAlign w:val="bottom"/>
          </w:tcPr>
          <w:p>
            <w:pPr>
              <w:spacing w:after="0"/>
              <w:rPr>
                <w:sz w:val="1"/>
                <w:szCs w:val="1"/>
                <w:color w:val="auto"/>
              </w:rPr>
            </w:pPr>
          </w:p>
        </w:tc>
      </w:tr>
      <w:tr>
        <w:trPr>
          <w:trHeight w:val="126"/>
        </w:trPr>
        <w:tc>
          <w:tcPr>
            <w:tcW w:w="72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Deposits</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20,109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20,955</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borrowings and subordinated debt and debentures</w:t>
            </w:r>
          </w:p>
        </w:tc>
        <w:tc>
          <w:tcPr>
            <w:tcW w:w="9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0" w:type="dxa"/>
            <w:vAlign w:val="bottom"/>
          </w:tcPr>
          <w:p>
            <w:pPr>
              <w:spacing w:after="0"/>
              <w:rPr>
                <w:sz w:val="1"/>
                <w:szCs w:val="1"/>
                <w:color w:val="auto"/>
              </w:rPr>
            </w:pPr>
          </w:p>
        </w:tc>
      </w:tr>
      <w:tr>
        <w:trPr>
          <w:trHeight w:val="131"/>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 Interest Expense</w:t>
            </w: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19,314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21,071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22,459</w:t>
            </w:r>
          </w:p>
        </w:tc>
        <w:tc>
          <w:tcPr>
            <w:tcW w:w="0" w:type="dxa"/>
            <w:vAlign w:val="bottom"/>
          </w:tcPr>
          <w:p>
            <w:pPr>
              <w:spacing w:after="0"/>
              <w:rPr>
                <w:sz w:val="1"/>
                <w:szCs w:val="1"/>
                <w:color w:val="auto"/>
              </w:rPr>
            </w:pPr>
          </w:p>
        </w:tc>
      </w:tr>
      <w:tr>
        <w:trPr>
          <w:trHeight w:val="135"/>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Net Interest Income</w:t>
            </w: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46,354</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43,685</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9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1,923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0" w:type="dxa"/>
            <w:vAlign w:val="bottom"/>
          </w:tcPr>
          <w:p>
            <w:pPr>
              <w:spacing w:after="0"/>
              <w:rPr>
                <w:sz w:val="1"/>
                <w:szCs w:val="1"/>
                <w:color w:val="auto"/>
              </w:rPr>
            </w:pPr>
          </w:p>
        </w:tc>
      </w:tr>
      <w:tr>
        <w:trPr>
          <w:trHeight w:val="135"/>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9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46,493</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44,431</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42,964</w:t>
            </w:r>
          </w:p>
        </w:tc>
        <w:tc>
          <w:tcPr>
            <w:tcW w:w="0" w:type="dxa"/>
            <w:vAlign w:val="bottom"/>
          </w:tcPr>
          <w:p>
            <w:pPr>
              <w:spacing w:after="0"/>
              <w:rPr>
                <w:sz w:val="1"/>
                <w:szCs w:val="1"/>
                <w:color w:val="auto"/>
              </w:rPr>
            </w:pPr>
          </w:p>
        </w:tc>
      </w:tr>
      <w:tr>
        <w:trPr>
          <w:trHeight w:val="122"/>
        </w:trPr>
        <w:tc>
          <w:tcPr>
            <w:tcW w:w="7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Non-interest Income</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Interchange income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3,186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Service charges on deposit accounts</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2,814</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gains (losses) on assets</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Mortgage loans</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2,303</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Mortgage loan servicing, net</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9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3,420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3,146</w:t>
            </w:r>
          </w:p>
        </w:tc>
        <w:tc>
          <w:tcPr>
            <w:tcW w:w="0" w:type="dxa"/>
            <w:vAlign w:val="bottom"/>
          </w:tcPr>
          <w:p>
            <w:pPr>
              <w:spacing w:after="0"/>
              <w:rPr>
                <w:sz w:val="1"/>
                <w:szCs w:val="1"/>
                <w:color w:val="auto"/>
              </w:rPr>
            </w:pPr>
          </w:p>
        </w:tc>
      </w:tr>
      <w:tr>
        <w:trPr>
          <w:trHeight w:val="131"/>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 Non-interest Income</w:t>
            </w:r>
          </w:p>
        </w:tc>
        <w:tc>
          <w:tcPr>
            <w:tcW w:w="9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12,048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11,958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10,424</w:t>
            </w:r>
          </w:p>
        </w:tc>
        <w:tc>
          <w:tcPr>
            <w:tcW w:w="0" w:type="dxa"/>
            <w:vAlign w:val="bottom"/>
          </w:tcPr>
          <w:p>
            <w:pPr>
              <w:spacing w:after="0"/>
              <w:rPr>
                <w:sz w:val="1"/>
                <w:szCs w:val="1"/>
                <w:color w:val="auto"/>
              </w:rPr>
            </w:pPr>
          </w:p>
        </w:tc>
      </w:tr>
      <w:tr>
        <w:trPr>
          <w:trHeight w:val="126"/>
        </w:trPr>
        <w:tc>
          <w:tcPr>
            <w:tcW w:w="72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Non-interest Expense</w:t>
            </w:r>
          </w:p>
        </w:tc>
        <w:tc>
          <w:tcPr>
            <w:tcW w:w="9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 and employee benefits</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22,563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Data processing</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3,428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3,729</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Occupancy, net</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2,171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2,223</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Litigation expense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Advertising</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Interchange expense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Furniture, fixtures and equipment</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FDIC deposit insurance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 and collection</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Communications</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w:t>
            </w:r>
          </w:p>
        </w:tc>
        <w:tc>
          <w:tcPr>
            <w:tcW w:w="0" w:type="dxa"/>
            <w:vAlign w:val="bottom"/>
          </w:tcPr>
          <w:p>
            <w:pPr>
              <w:spacing w:after="0"/>
              <w:rPr>
                <w:sz w:val="1"/>
                <w:szCs w:val="1"/>
                <w:color w:val="auto"/>
              </w:rPr>
            </w:pPr>
          </w:p>
        </w:tc>
      </w:tr>
      <w:tr>
        <w:trPr>
          <w:trHeight w:val="142"/>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Legal and professional</w:t>
            </w:r>
          </w:p>
        </w:tc>
        <w:tc>
          <w:tcPr>
            <w:tcW w:w="9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0" w:type="dxa"/>
            <w:vAlign w:val="bottom"/>
          </w:tcPr>
          <w:p>
            <w:pPr>
              <w:spacing w:after="0"/>
              <w:rPr>
                <w:sz w:val="1"/>
                <w:szCs w:val="1"/>
                <w:color w:val="auto"/>
              </w:rPr>
            </w:pPr>
          </w:p>
        </w:tc>
      </w:tr>
      <w:tr>
        <w:trPr>
          <w:trHeight w:val="146"/>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Merger related expense</w:t>
            </w: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9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2,155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0" w:type="dxa"/>
            <w:vAlign w:val="bottom"/>
          </w:tcPr>
          <w:p>
            <w:pPr>
              <w:spacing w:after="0"/>
              <w:rPr>
                <w:sz w:val="1"/>
                <w:szCs w:val="1"/>
                <w:color w:val="auto"/>
              </w:rPr>
            </w:pPr>
          </w:p>
        </w:tc>
      </w:tr>
      <w:tr>
        <w:trPr>
          <w:trHeight w:val="135"/>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9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38,311</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36,078</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34,262</w:t>
            </w:r>
          </w:p>
        </w:tc>
        <w:tc>
          <w:tcPr>
            <w:tcW w:w="0" w:type="dxa"/>
            <w:vAlign w:val="bottom"/>
          </w:tcPr>
          <w:p>
            <w:pPr>
              <w:spacing w:after="0"/>
              <w:rPr>
                <w:sz w:val="1"/>
                <w:szCs w:val="1"/>
                <w:color w:val="auto"/>
              </w:rPr>
            </w:pPr>
          </w:p>
        </w:tc>
      </w:tr>
      <w:tr>
        <w:trPr>
          <w:trHeight w:val="131"/>
        </w:trPr>
        <w:tc>
          <w:tcPr>
            <w:tcW w:w="72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Before Income Tax</w:t>
            </w:r>
          </w:p>
        </w:tc>
        <w:tc>
          <w:tcPr>
            <w:tcW w:w="9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20,311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19,126</w:t>
            </w:r>
          </w:p>
        </w:tc>
        <w:tc>
          <w:tcPr>
            <w:tcW w:w="0" w:type="dxa"/>
            <w:vAlign w:val="bottom"/>
          </w:tcPr>
          <w:p>
            <w:pPr>
              <w:spacing w:after="0"/>
              <w:rPr>
                <w:sz w:val="1"/>
                <w:szCs w:val="1"/>
                <w:color w:val="auto"/>
              </w:rPr>
            </w:pPr>
          </w:p>
        </w:tc>
      </w:tr>
      <w:tr>
        <w:trPr>
          <w:trHeight w:val="14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9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1,739</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3,536</w:t>
            </w:r>
          </w:p>
        </w:tc>
        <w:tc>
          <w:tcPr>
            <w:tcW w:w="0" w:type="dxa"/>
            <w:vAlign w:val="bottom"/>
          </w:tcPr>
          <w:p>
            <w:pPr>
              <w:spacing w:after="0"/>
              <w:rPr>
                <w:sz w:val="1"/>
                <w:szCs w:val="1"/>
                <w:color w:val="auto"/>
              </w:rPr>
            </w:pPr>
          </w:p>
        </w:tc>
      </w:tr>
      <w:tr>
        <w:trPr>
          <w:trHeight w:val="151"/>
        </w:trPr>
        <w:tc>
          <w:tcPr>
            <w:tcW w:w="7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16,875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18,572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15,590</w:t>
            </w:r>
          </w:p>
        </w:tc>
        <w:tc>
          <w:tcPr>
            <w:tcW w:w="0" w:type="dxa"/>
            <w:vAlign w:val="bottom"/>
          </w:tcPr>
          <w:p>
            <w:pPr>
              <w:spacing w:after="0"/>
              <w:rPr>
                <w:sz w:val="1"/>
                <w:szCs w:val="1"/>
                <w:color w:val="auto"/>
              </w:rPr>
            </w:pPr>
          </w:p>
        </w:tc>
      </w:tr>
      <w:tr>
        <w:trPr>
          <w:trHeight w:val="126"/>
        </w:trPr>
        <w:tc>
          <w:tcPr>
            <w:tcW w:w="72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Income Per Common Share</w:t>
            </w:r>
          </w:p>
        </w:tc>
        <w:tc>
          <w:tcPr>
            <w:tcW w:w="9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Basic</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0.90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0.74</w:t>
            </w:r>
          </w:p>
        </w:tc>
        <w:tc>
          <w:tcPr>
            <w:tcW w:w="0" w:type="dxa"/>
            <w:vAlign w:val="bottom"/>
          </w:tcPr>
          <w:p>
            <w:pPr>
              <w:spacing w:after="0"/>
              <w:rPr>
                <w:sz w:val="1"/>
                <w:szCs w:val="1"/>
                <w:color w:val="auto"/>
              </w:rPr>
            </w:pPr>
          </w:p>
        </w:tc>
      </w:tr>
      <w:tr>
        <w:trPr>
          <w:trHeight w:val="160"/>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Diluted</w:t>
            </w: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0.89</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0.74</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80"/>
          </w:cols>
          <w:pgMar w:left="300" w:top="651" w:right="31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2"/>
          <w:szCs w:val="12"/>
          <w:color w:val="auto"/>
        </w:rPr>
        <w:t>INDEPENDENT BANK CORPORATION AND SUBSIDIARIES</w:t>
      </w:r>
    </w:p>
    <w:p>
      <w:pPr>
        <w:spacing w:after="0" w:line="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u w:val="single" w:color="auto"/>
          <w:color w:val="auto"/>
        </w:rPr>
        <w:t>Selected Financial Data</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March 31,</w:t>
            </w:r>
          </w:p>
        </w:tc>
        <w:tc>
          <w:tcPr>
            <w:tcW w:w="200" w:type="dxa"/>
            <w:vAlign w:val="bottom"/>
          </w:tcPr>
          <w:p>
            <w:pPr>
              <w:spacing w:after="0"/>
              <w:rPr>
                <w:sz w:val="11"/>
                <w:szCs w:val="11"/>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December 31,</w:t>
            </w:r>
          </w:p>
        </w:tc>
        <w:tc>
          <w:tcPr>
            <w:tcW w:w="200" w:type="dxa"/>
            <w:vAlign w:val="bottom"/>
          </w:tcPr>
          <w:p>
            <w:pPr>
              <w:spacing w:after="0"/>
              <w:rPr>
                <w:sz w:val="11"/>
                <w:szCs w:val="1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September 30,</w:t>
            </w:r>
          </w:p>
        </w:tc>
        <w:tc>
          <w:tcPr>
            <w:tcW w:w="3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June 30,</w:t>
            </w:r>
          </w:p>
        </w:tc>
        <w:tc>
          <w:tcPr>
            <w:tcW w:w="240" w:type="dxa"/>
            <w:vAlign w:val="bottom"/>
          </w:tcPr>
          <w:p>
            <w:pPr>
              <w:spacing w:after="0"/>
              <w:rPr>
                <w:sz w:val="11"/>
                <w:szCs w:val="11"/>
                <w:color w:val="auto"/>
              </w:rPr>
            </w:pP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March 31,</w:t>
            </w:r>
          </w:p>
        </w:tc>
      </w:tr>
      <w:tr>
        <w:trPr>
          <w:trHeight w:val="142"/>
        </w:trPr>
        <w:tc>
          <w:tcPr>
            <w:tcW w:w="4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0"/>
              </w:rPr>
              <w:t>2025</w:t>
            </w: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rPr>
              <w:t>2025</w:t>
            </w:r>
          </w:p>
        </w:tc>
      </w:tr>
      <w:tr>
        <w:trPr>
          <w:trHeight w:val="133"/>
        </w:trPr>
        <w:tc>
          <w:tcPr>
            <w:tcW w:w="40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4"/>
              </w:rPr>
              <w:t>(unaudited)</w:t>
            </w:r>
          </w:p>
        </w:tc>
        <w:tc>
          <w:tcPr>
            <w:tcW w:w="3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31"/>
        </w:trPr>
        <w:tc>
          <w:tcPr>
            <w:tcW w:w="4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gridSpan w:val="6"/>
          </w:tcPr>
          <w:p>
            <w:pPr>
              <w:jc w:val="center"/>
              <w:ind w:left="706"/>
              <w:spacing w:after="0"/>
              <w:rPr>
                <w:sz w:val="20"/>
                <w:szCs w:val="20"/>
                <w:color w:val="auto"/>
              </w:rPr>
            </w:pPr>
            <w:r>
              <w:rPr>
                <w:rFonts w:ascii="Times New Roman" w:cs="Times New Roman" w:eastAsia="Times New Roman" w:hAnsi="Times New Roman"/>
                <w:sz w:val="11"/>
                <w:szCs w:val="11"/>
                <w:color w:val="auto"/>
                <w:w w:val="97"/>
              </w:rPr>
              <w:t>(Dollars in thousands except per share data)</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6"/>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interest income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46,855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46,354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45,361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44,615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43,685</w:t>
            </w:r>
          </w:p>
        </w:tc>
      </w:tr>
      <w:tr>
        <w:trPr>
          <w:trHeight w:val="142"/>
        </w:trPr>
        <w:tc>
          <w:tcPr>
            <w:tcW w:w="4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1,923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1,991</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721</w:t>
            </w:r>
          </w:p>
        </w:tc>
      </w:tr>
      <w:tr>
        <w:trPr>
          <w:trHeight w:val="14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Non-interest income</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12,048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11,958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11,937</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11,325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10,424</w:t>
            </w:r>
          </w:p>
        </w:tc>
      </w:tr>
      <w:tr>
        <w:trPr>
          <w:trHeight w:val="142"/>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Non-interest expense</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38,311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36,078</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34,131</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33,762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34,262</w:t>
            </w:r>
          </w:p>
        </w:tc>
      </w:tr>
      <w:tr>
        <w:trPr>
          <w:trHeight w:val="13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Income before income tax</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20,230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20,311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21,176</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20,678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19,126</w:t>
            </w:r>
          </w:p>
        </w:tc>
      </w:tr>
      <w:tr>
        <w:trPr>
          <w:trHeight w:val="142"/>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Income tax expense</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3,355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1,739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3,674</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3,801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3,536</w:t>
            </w:r>
          </w:p>
        </w:tc>
      </w:tr>
      <w:tr>
        <w:trPr>
          <w:trHeight w:val="151"/>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16,875</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18,572</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17,502</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16,877</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15,590</w:t>
            </w:r>
          </w:p>
        </w:tc>
      </w:tr>
      <w:tr>
        <w:trPr>
          <w:trHeight w:val="126"/>
        </w:trPr>
        <w:tc>
          <w:tcPr>
            <w:tcW w:w="4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44"/>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Basic net income per common share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0.90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0.85</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0.81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0.74</w:t>
            </w:r>
          </w:p>
        </w:tc>
      </w:tr>
      <w:tr>
        <w:trPr>
          <w:trHeight w:val="142"/>
        </w:trPr>
        <w:tc>
          <w:tcPr>
            <w:tcW w:w="4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Diluted net income per common share</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0.81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0.89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0.84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0.81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0.74</w:t>
            </w:r>
          </w:p>
        </w:tc>
      </w:tr>
      <w:tr>
        <w:trPr>
          <w:trHeight w:val="14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dividend per share</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0.28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0.26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0.26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0.26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0.26</w:t>
            </w:r>
          </w:p>
        </w:tc>
      </w:tr>
      <w:tr>
        <w:trPr>
          <w:trHeight w:val="144"/>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Average shares outstanding</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20,574,506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20,639,758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20,702,235</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20,749,925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20,943,094</w:t>
            </w:r>
          </w:p>
        </w:tc>
      </w:tr>
      <w:tr>
        <w:trPr>
          <w:trHeight w:val="142"/>
        </w:trPr>
        <w:tc>
          <w:tcPr>
            <w:tcW w:w="4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Average diluted shares outstanding</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20,780,188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20,848,634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20,904,857</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20,945,522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21,150,550</w:t>
            </w:r>
          </w:p>
        </w:tc>
      </w:tr>
      <w:tr>
        <w:trPr>
          <w:trHeight w:val="146"/>
        </w:trPr>
        <w:tc>
          <w:tcPr>
            <w:tcW w:w="4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4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Performance Ratios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Return on average assets</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1.27 %</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1.18 %</w:t>
            </w:r>
          </w:p>
        </w:tc>
      </w:tr>
      <w:tr>
        <w:trPr>
          <w:trHeight w:val="142"/>
        </w:trPr>
        <w:tc>
          <w:tcPr>
            <w:tcW w:w="4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Return on average equity</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14.75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14.57</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13.71</w:t>
            </w: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Efficiency ratio (1)</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61.18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58.86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59.67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62.20</w:t>
            </w:r>
          </w:p>
        </w:tc>
      </w:tr>
      <w:tr>
        <w:trPr>
          <w:trHeight w:val="144"/>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As a Percent of Average Interest-Earning Assets (1)</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4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 income</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5.38 %</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5.28 %</w:t>
            </w: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1.84</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1.79</w:t>
            </w:r>
          </w:p>
        </w:tc>
      </w:tr>
      <w:tr>
        <w:trPr>
          <w:trHeight w:val="142"/>
        </w:trPr>
        <w:tc>
          <w:tcPr>
            <w:tcW w:w="4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interest income</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3.49</w:t>
            </w:r>
          </w:p>
        </w:tc>
      </w:tr>
      <w:tr>
        <w:trPr>
          <w:trHeight w:val="146"/>
        </w:trPr>
        <w:tc>
          <w:tcPr>
            <w:tcW w:w="4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4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Average Balances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Loans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4,315,371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4,249,389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4,201,557</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4,128,771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4,060,941</w:t>
            </w:r>
          </w:p>
        </w:tc>
      </w:tr>
      <w:tr>
        <w:trPr>
          <w:trHeight w:val="142"/>
        </w:trPr>
        <w:tc>
          <w:tcPr>
            <w:tcW w:w="4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Securities</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796,251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815,269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826,362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846,052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883,676</w:t>
            </w: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earning assets</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5,209,360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5,162,381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5,159,681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5,036,090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5,078,596</w:t>
            </w:r>
          </w:p>
        </w:tc>
      </w:tr>
      <w:tr>
        <w:trPr>
          <w:trHeight w:val="142"/>
        </w:trPr>
        <w:tc>
          <w:tcPr>
            <w:tcW w:w="4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5,522,244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5,449,518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5,451,922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5,324,959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5,378,022</w:t>
            </w: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Deposits</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4,832,089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4,774,179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4,786,408</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4,646,639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4,715,331</w:t>
            </w:r>
          </w:p>
        </w:tc>
      </w:tr>
      <w:tr>
        <w:trPr>
          <w:trHeight w:val="142"/>
        </w:trPr>
        <w:tc>
          <w:tcPr>
            <w:tcW w:w="40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 bearing liabilities</w:t>
            </w: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3,892,702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3,846,367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3,862,024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3,763,477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3,799,852</w:t>
            </w:r>
          </w:p>
        </w:tc>
      </w:tr>
      <w:tr>
        <w:trPr>
          <w:trHeight w:val="14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Shareholders' equity</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509,523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499,445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476,422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461,720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461,291</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Presented on a fully tax equivalent basis assuming a marginal tax rate of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INDEPENDENT BANK CORPORATION AND SUBSIDIARIES</w:t>
      </w:r>
    </w:p>
    <w:p>
      <w:pPr>
        <w:spacing w:after="0" w:line="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u w:val="single" w:color="auto"/>
          <w:color w:val="auto"/>
        </w:rPr>
        <w:t>Selected Financial Data (continued)</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0"/>
                <w:szCs w:val="10"/>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10"/>
                <w:szCs w:val="10"/>
                <w:color w:val="auto"/>
              </w:rPr>
            </w:pPr>
          </w:p>
        </w:tc>
        <w:tc>
          <w:tcPr>
            <w:tcW w:w="118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spacing w:after="0"/>
              <w:rPr>
                <w:sz w:val="10"/>
                <w:szCs w:val="10"/>
                <w:color w:val="auto"/>
              </w:rPr>
            </w:pPr>
          </w:p>
        </w:tc>
        <w:tc>
          <w:tcPr>
            <w:tcW w:w="980" w:type="dxa"/>
            <w:vAlign w:val="bottom"/>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80" w:type="dxa"/>
            <w:vAlign w:val="bottom"/>
          </w:tcPr>
          <w:p>
            <w:pPr>
              <w:spacing w:after="0"/>
              <w:rPr>
                <w:sz w:val="10"/>
                <w:szCs w:val="10"/>
                <w:color w:val="auto"/>
              </w:rPr>
            </w:pP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43"/>
        </w:trPr>
        <w:tc>
          <w:tcPr>
            <w:tcW w:w="3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3"/>
        </w:trPr>
        <w:tc>
          <w:tcPr>
            <w:tcW w:w="38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32"/>
        </w:trPr>
        <w:tc>
          <w:tcPr>
            <w:tcW w:w="3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6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(Dollars in thousands except per share data)</w:t>
            </w: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4"/>
        </w:trPr>
        <w:tc>
          <w:tcPr>
            <w:tcW w:w="3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End of Period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Capital</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Tangible common equity ratio</w:t>
            </w: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8.71 %</w:t>
            </w:r>
          </w:p>
        </w:tc>
        <w:tc>
          <w:tcPr>
            <w:tcW w:w="24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8.65 %</w:t>
            </w: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8.44 %</w:t>
            </w:r>
          </w:p>
        </w:tc>
        <w:tc>
          <w:tcPr>
            <w:tcW w:w="44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8.16 %</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8.26 %</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Tangible common equity ratio excluding accumulated other comprehensive loss</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9.61</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9.51</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9.35</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9.24</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9.31</w:t>
            </w: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Average equity to average assets</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9.23</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9.16</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8.74</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8.67</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8.58</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 capital to risk-weighted assets (2)</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13.79</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13.59</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13.67</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14.20</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14.51</w:t>
            </w: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Tier 1 capital to risk-weighted assets (2)</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12.54</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12.33</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12.42</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12.23</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12.34</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Common equity tier 1 capital to risk-weighted assets (2)</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11.70</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11.49</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11.55</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11.36</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11.45</w:t>
            </w: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Tier 1 capital to average assets (2)</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10.34</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10.27</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10.07</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10.07</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9.89</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Common shareholders' equity per share of common stock</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24.80</w:t>
            </w: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24.48</w:t>
            </w:r>
          </w:p>
        </w:tc>
        <w:tc>
          <w:tcPr>
            <w:tcW w:w="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23.72</w:t>
            </w:r>
          </w:p>
        </w:tc>
        <w:tc>
          <w:tcPr>
            <w:tcW w:w="44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22.65</w:t>
            </w:r>
          </w:p>
        </w:tc>
        <w:tc>
          <w:tcPr>
            <w:tcW w:w="2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22.28</w:t>
            </w: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Tangible common equity per share of common stock</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23.38</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23.05</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22.29</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21.23</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20.87</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 shares outstanding</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20,585,805</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20,548,893</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20,691,604</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20,715,650</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20,970,115</w:t>
            </w:r>
          </w:p>
        </w:tc>
      </w:tr>
      <w:tr>
        <w:trPr>
          <w:trHeight w:val="180"/>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4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Selected Balances</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Loans</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4,308,099</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4,276,285</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4,198,283</w:t>
            </w:r>
          </w:p>
        </w:tc>
        <w:tc>
          <w:tcPr>
            <w:tcW w:w="4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4,164,367</w:t>
            </w: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4,072,691</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Securities</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783,302</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805,432</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824,033</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838,813</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866,604</w:t>
            </w: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 earning assets</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5,255,657</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5,195,002</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5,204,380</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5,105,579</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5,031,975</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 assets</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5,557,509</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5,505,720</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5,493,113</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5,418,519</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5,328,428</w:t>
            </w:r>
          </w:p>
        </w:tc>
      </w:tr>
      <w:tr>
        <w:trPr>
          <w:trHeight w:val="142"/>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Deposits</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4,880,680</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4,761,682</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4,859,155</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4,659,359</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4,633,931</w:t>
            </w:r>
          </w:p>
        </w:tc>
      </w:tr>
      <w:tr>
        <w:trPr>
          <w:trHeight w:val="146"/>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Interest bearing liabilities</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3,956,431</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3,886,565</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3,897,487</w:t>
            </w: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3,832,845</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3,768,435</w:t>
            </w:r>
          </w:p>
        </w:tc>
      </w:tr>
      <w:tr>
        <w:trPr>
          <w:trHeight w:val="140"/>
        </w:trPr>
        <w:tc>
          <w:tcPr>
            <w:tcW w:w="3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Shareholders' equity</w:t>
            </w:r>
          </w:p>
        </w:tc>
        <w:tc>
          <w:tcPr>
            <w:tcW w:w="260" w:type="dxa"/>
            <w:vAlign w:val="bottom"/>
          </w:tcPr>
          <w:p>
            <w:pPr>
              <w:spacing w:after="0"/>
              <w:rPr>
                <w:sz w:val="12"/>
                <w:szCs w:val="12"/>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510,553</w:t>
            </w:r>
          </w:p>
        </w:tc>
        <w:tc>
          <w:tcPr>
            <w:tcW w:w="240" w:type="dxa"/>
            <w:vAlign w:val="bottom"/>
          </w:tcPr>
          <w:p>
            <w:pPr>
              <w:spacing w:after="0"/>
              <w:rPr>
                <w:sz w:val="12"/>
                <w:szCs w:val="12"/>
                <w:color w:val="auto"/>
              </w:rPr>
            </w:pPr>
          </w:p>
        </w:tc>
        <w:tc>
          <w:tcPr>
            <w:tcW w:w="11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502,951</w:t>
            </w:r>
          </w:p>
        </w:tc>
        <w:tc>
          <w:tcPr>
            <w:tcW w:w="220" w:type="dxa"/>
            <w:vAlign w:val="bottom"/>
          </w:tcPr>
          <w:p>
            <w:pPr>
              <w:spacing w:after="0"/>
              <w:rPr>
                <w:sz w:val="12"/>
                <w:szCs w:val="12"/>
                <w:color w:val="auto"/>
              </w:rPr>
            </w:pPr>
          </w:p>
        </w:tc>
        <w:tc>
          <w:tcPr>
            <w:tcW w:w="11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490,742</w:t>
            </w:r>
          </w:p>
        </w:tc>
        <w:tc>
          <w:tcPr>
            <w:tcW w:w="440" w:type="dxa"/>
            <w:vAlign w:val="bottom"/>
          </w:tcPr>
          <w:p>
            <w:pPr>
              <w:spacing w:after="0"/>
              <w:rPr>
                <w:sz w:val="12"/>
                <w:szCs w:val="12"/>
                <w:color w:val="auto"/>
              </w:rPr>
            </w:pP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469,250</w:t>
            </w:r>
          </w:p>
        </w:tc>
        <w:tc>
          <w:tcPr>
            <w:tcW w:w="28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467,277</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 March 31, 2026 are Preliminary.</w:t>
      </w:r>
    </w:p>
    <w:p>
      <w:pPr>
        <w:sectPr>
          <w:pgSz w:w="11900" w:h="16838" w:orient="portrait"/>
          <w:cols w:equalWidth="0" w:num="1">
            <w:col w:w="11080"/>
          </w:cols>
          <w:pgMar w:left="300" w:top="651" w:right="519" w:bottom="1440" w:gutter="0" w:footer="0" w:header="0"/>
        </w:sectPr>
      </w:pP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080"/>
          </w:cols>
          <w:pgMar w:left="300" w:top="651" w:right="5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Independent Bank Corporation</w:t>
      </w:r>
    </w:p>
    <w:p>
      <w:pPr>
        <w:spacing w:after="0" w:line="1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Independent Bank Corporation believes non-GAAP measures are meaningful because they reflect adjustments commonly made by management, investors, regulators and analysts to evaluate the adequacy of common equity and performance trends. Tangible common equity is used by the Company to measure the quality of capital.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15"/>
        </w:trPr>
        <w:tc>
          <w:tcPr>
            <w:tcW w:w="836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520" w:type="dxa"/>
            <w:vAlign w:val="bottom"/>
            <w:tcBorders>
              <w:bottom w:val="single" w:sz="8" w:color="auto"/>
            </w:tcBorders>
          </w:tcPr>
          <w:p>
            <w:pPr>
              <w:spacing w:after="0"/>
              <w:rPr>
                <w:sz w:val="24"/>
                <w:szCs w:val="24"/>
                <w:color w:val="auto"/>
              </w:rPr>
            </w:pPr>
          </w:p>
        </w:tc>
      </w:tr>
      <w:tr>
        <w:trPr>
          <w:trHeight w:val="142"/>
        </w:trPr>
        <w:tc>
          <w:tcPr>
            <w:tcW w:w="83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2026</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520" w:type="dxa"/>
            <w:vAlign w:val="bottom"/>
            <w:tcBorders>
              <w:bottom w:val="single" w:sz="8" w:color="auto"/>
            </w:tcBorders>
          </w:tcPr>
          <w:p>
            <w:pPr>
              <w:spacing w:after="0"/>
              <w:rPr>
                <w:sz w:val="12"/>
                <w:szCs w:val="12"/>
                <w:color w:val="auto"/>
              </w:rPr>
            </w:pPr>
          </w:p>
        </w:tc>
      </w:tr>
      <w:tr>
        <w:trPr>
          <w:trHeight w:val="144"/>
        </w:trPr>
        <w:tc>
          <w:tcPr>
            <w:tcW w:w="8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3"/>
          </w:tcPr>
          <w:p>
            <w:pPr>
              <w:jc w:val="right"/>
              <w:ind w:right="284"/>
              <w:spacing w:after="0"/>
              <w:rPr>
                <w:sz w:val="20"/>
                <w:szCs w:val="20"/>
                <w:color w:val="auto"/>
              </w:rPr>
            </w:pPr>
            <w:r>
              <w:rPr>
                <w:rFonts w:ascii="Times New Roman" w:cs="Times New Roman" w:eastAsia="Times New Roman" w:hAnsi="Times New Roman"/>
                <w:sz w:val="12"/>
                <w:szCs w:val="12"/>
                <w:color w:val="auto"/>
              </w:rPr>
              <w:t>(Dollars in thousands)</w:t>
            </w:r>
          </w:p>
        </w:tc>
        <w:tc>
          <w:tcPr>
            <w:tcW w:w="520" w:type="dxa"/>
            <w:vAlign w:val="bottom"/>
          </w:tcPr>
          <w:p>
            <w:pPr>
              <w:spacing w:after="0"/>
              <w:rPr>
                <w:sz w:val="12"/>
                <w:szCs w:val="12"/>
                <w:color w:val="auto"/>
              </w:rPr>
            </w:pPr>
          </w:p>
        </w:tc>
      </w:tr>
      <w:tr>
        <w:trPr>
          <w:trHeight w:val="160"/>
        </w:trPr>
        <w:tc>
          <w:tcPr>
            <w:tcW w:w="8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Interest Margin, Fully Taxable Equivalent ("FTE")</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9"/>
        </w:trPr>
        <w:tc>
          <w:tcPr>
            <w:tcW w:w="8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interest income</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46,855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43,685</w:t>
            </w:r>
          </w:p>
        </w:tc>
      </w:tr>
      <w:tr>
        <w:trPr>
          <w:trHeight w:val="180"/>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Add: taxable equivalent adjustment</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445</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452</w:t>
            </w:r>
          </w:p>
        </w:tc>
      </w:tr>
      <w:tr>
        <w:trPr>
          <w:trHeight w:val="162"/>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interest income - taxable equivalent</w:t>
            </w:r>
          </w:p>
        </w:tc>
        <w:tc>
          <w:tcPr>
            <w:tcW w:w="84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47,300</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44,137</w:t>
            </w:r>
          </w:p>
        </w:tc>
      </w:tr>
      <w:tr>
        <w:trPr>
          <w:trHeight w:val="165"/>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interest margin (GAAP) (1)</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3.61 %</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3.46 %</w:t>
            </w:r>
          </w:p>
        </w:tc>
      </w:tr>
      <w:tr>
        <w:trPr>
          <w:trHeight w:val="169"/>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interest margin (Non-GAAP FTE) (1)</w:t>
            </w: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3.65 %</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Annualized.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80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Tangible Common Equity Ratio</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March 31,</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December 31, 2025</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September 30, 2025</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June 30, 2025</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March 31, 2025</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shareholders' equity</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510,553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502,951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490,742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469,250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467,277</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intangibles, net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886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1,001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1,123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1,244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1,366</w:t>
            </w:r>
          </w:p>
        </w:tc>
        <w:tc>
          <w:tcPr>
            <w:tcW w:w="0" w:type="dxa"/>
            <w:vAlign w:val="bottom"/>
          </w:tcPr>
          <w:p>
            <w:pPr>
              <w:spacing w:after="0"/>
              <w:rPr>
                <w:sz w:val="1"/>
                <w:szCs w:val="1"/>
                <w:color w:val="auto"/>
              </w:rPr>
            </w:pPr>
          </w:p>
        </w:tc>
      </w:tr>
      <w:tr>
        <w:trPr>
          <w:trHeight w:val="17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Tangible common equity</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481,367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473,650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461,319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439,706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437,611</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Addition:</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 for regulatory purposes</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55,226</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51,891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54,833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64,089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61,285</w:t>
            </w:r>
          </w:p>
        </w:tc>
        <w:tc>
          <w:tcPr>
            <w:tcW w:w="0" w:type="dxa"/>
            <w:vAlign w:val="bottom"/>
          </w:tcPr>
          <w:p>
            <w:pPr>
              <w:spacing w:after="0"/>
              <w:rPr>
                <w:sz w:val="1"/>
                <w:szCs w:val="1"/>
                <w:color w:val="auto"/>
              </w:rPr>
            </w:pPr>
          </w:p>
        </w:tc>
      </w:tr>
      <w:tr>
        <w:trPr>
          <w:trHeight w:val="131"/>
        </w:trPr>
        <w:tc>
          <w:tcPr>
            <w:tcW w:w="35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Tangible common equity excluding accumulated other comprehensive</w:t>
            </w:r>
          </w:p>
        </w:tc>
        <w:tc>
          <w:tcPr>
            <w:tcW w:w="2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536,593</w:t>
            </w:r>
          </w:p>
        </w:tc>
        <w:tc>
          <w:tcPr>
            <w:tcW w:w="80" w:type="dxa"/>
            <w:vAlign w:val="bottom"/>
          </w:tcPr>
          <w:p>
            <w:pPr>
              <w:spacing w:after="0"/>
              <w:rPr>
                <w:sz w:val="11"/>
                <w:szCs w:val="11"/>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525,541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516,152</w:t>
            </w:r>
          </w:p>
        </w:tc>
        <w:tc>
          <w:tcPr>
            <w:tcW w:w="80" w:type="dxa"/>
            <w:vAlign w:val="bottom"/>
          </w:tcPr>
          <w:p>
            <w:pPr>
              <w:spacing w:after="0"/>
              <w:rPr>
                <w:sz w:val="11"/>
                <w:szCs w:val="11"/>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503,795</w:t>
            </w:r>
          </w:p>
        </w:tc>
        <w:tc>
          <w:tcPr>
            <w:tcW w:w="80" w:type="dxa"/>
            <w:vAlign w:val="bottom"/>
          </w:tcPr>
          <w:p>
            <w:pPr>
              <w:spacing w:after="0"/>
              <w:rPr>
                <w:sz w:val="11"/>
                <w:szCs w:val="11"/>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498,896</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loss adjustments</w:t>
            </w:r>
          </w:p>
        </w:tc>
        <w:tc>
          <w:tcPr>
            <w:tcW w:w="2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5,557,509</w:t>
            </w:r>
          </w:p>
        </w:tc>
        <w:tc>
          <w:tcPr>
            <w:tcW w:w="8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5,505,720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5,493,113</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5,418,519</w:t>
            </w:r>
          </w:p>
        </w:tc>
        <w:tc>
          <w:tcPr>
            <w:tcW w:w="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5,328,428</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28,300</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intangibles, net</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886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1,123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1,244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1,366</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Tangible assets</w:t>
            </w:r>
          </w:p>
        </w:tc>
        <w:tc>
          <w:tcPr>
            <w:tcW w:w="28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5,528,323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5,476,419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5,463,690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5,388,975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5,298,762</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unrealized losses on available for sale securities and derivatives,</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net of tax</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55,226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51,891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54,833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64,089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61,285</w:t>
            </w:r>
          </w:p>
        </w:tc>
        <w:tc>
          <w:tcPr>
            <w:tcW w:w="0" w:type="dxa"/>
            <w:vAlign w:val="bottom"/>
          </w:tcPr>
          <w:p>
            <w:pPr>
              <w:spacing w:after="0"/>
              <w:rPr>
                <w:sz w:val="1"/>
                <w:szCs w:val="1"/>
                <w:color w:val="auto"/>
              </w:rPr>
            </w:pPr>
          </w:p>
        </w:tc>
      </w:tr>
      <w:tr>
        <w:trPr>
          <w:trHeight w:val="14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Tangible assets excluding accumulated other comprehensive loss</w:t>
            </w:r>
          </w:p>
        </w:tc>
        <w:tc>
          <w:tcPr>
            <w:tcW w:w="280" w:type="dxa"/>
            <w:vAlign w:val="bottom"/>
            <w:vMerge w:val="restart"/>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5,583,549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5,528,310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5,518,523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5,453,064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5,360,047</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w:t>
            </w: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equity ratio</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8.77 %</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Tangible common equity ratio</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8.71 %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8.65 %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8.44 %</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8.26 %</w:t>
            </w:r>
          </w:p>
        </w:tc>
        <w:tc>
          <w:tcPr>
            <w:tcW w:w="0" w:type="dxa"/>
            <w:vAlign w:val="bottom"/>
          </w:tcPr>
          <w:p>
            <w:pPr>
              <w:spacing w:after="0"/>
              <w:rPr>
                <w:sz w:val="1"/>
                <w:szCs w:val="1"/>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Tangible common equity ratio excluding accumulated other</w:t>
            </w:r>
          </w:p>
        </w:tc>
        <w:tc>
          <w:tcPr>
            <w:tcW w:w="2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9.31 %</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comprehensive loss</w:t>
            </w: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Tangible Common Equity per Share of Common Stock:</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shareholders' equity</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510,553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502,951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490,742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469,250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467,277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Tangible common equity</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481,367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473,650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461,319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439,706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437,611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of common stock outstanding (in thousands)</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20,549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20,692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20,716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20,970</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shareholders' equity per share of common stock</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24.80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24.48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23.72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22.65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22.28</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Tangible common equity per share of common stock</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23.38</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23.05</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22.29</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21.23</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20.87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tangible common equity ratio removes the effect of goodwill and other intangible assets from capital and total assets. Tangible common equity per share of common stock removes the effect of goodwill and other intangible assets from common shareholders’ equity per share of common stock.</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80"/>
          </w:cols>
          <w:pgMar w:left="300" w:top="809"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40" w:type="dxa"/>
            <w:vAlign w:val="bottom"/>
            <w:gridSpan w:val="9"/>
            <w:vMerge w:val="restart"/>
          </w:tcPr>
          <w:p>
            <w:pPr>
              <w:jc w:val="center"/>
              <w:ind w:right="940"/>
              <w:spacing w:after="0"/>
              <w:rPr>
                <w:sz w:val="20"/>
                <w:szCs w:val="20"/>
                <w:color w:val="auto"/>
              </w:rPr>
            </w:pPr>
            <w:r>
              <w:rPr>
                <w:rFonts w:ascii="Times New Roman" w:cs="Times New Roman" w:eastAsia="Times New Roman" w:hAnsi="Times New Roman"/>
                <w:sz w:val="12"/>
                <w:szCs w:val="12"/>
                <w:color w:val="auto"/>
                <w:w w:val="99"/>
              </w:rPr>
              <w:t>INDEPENDENT BANK CORPORATION AND SUBSIDIARIES</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97"/>
              </w:rPr>
              <w:t>Exhibit 99.2</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34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5"/>
          </w:tcPr>
          <w:p>
            <w:pPr>
              <w:jc w:val="center"/>
              <w:ind w:right="660"/>
              <w:spacing w:after="0"/>
              <w:rPr>
                <w:sz w:val="20"/>
                <w:szCs w:val="20"/>
                <w:color w:val="auto"/>
              </w:rPr>
            </w:pPr>
            <w:r>
              <w:rPr>
                <w:rFonts w:ascii="Times New Roman" w:cs="Times New Roman" w:eastAsia="Times New Roman" w:hAnsi="Times New Roman"/>
                <w:sz w:val="12"/>
                <w:szCs w:val="12"/>
                <w:color w:val="auto"/>
              </w:rPr>
              <w:t>Supplemental Data</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Non-performing 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March 31, 2026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2025</w:t>
            </w: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September 30, 2025</w:t>
            </w:r>
          </w:p>
        </w:tc>
        <w:tc>
          <w:tcPr>
            <w:tcW w:w="20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June 30, 2025</w:t>
            </w:r>
          </w:p>
        </w:tc>
        <w:tc>
          <w:tcPr>
            <w:tcW w:w="20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March 31, 2025</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Non-accrual loans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37,775</w:t>
            </w:r>
          </w:p>
        </w:tc>
        <w:tc>
          <w:tcPr>
            <w:tcW w:w="26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33,074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22,598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10,453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Loans 90 days or more past due and still accruing interest</w:t>
            </w:r>
          </w:p>
        </w:tc>
        <w:tc>
          <w:tcPr>
            <w:tcW w:w="160" w:type="dxa"/>
            <w:vAlign w:val="bottom"/>
          </w:tcPr>
          <w:p>
            <w:pPr>
              <w:spacing w:after="0"/>
              <w:rPr>
                <w:sz w:val="13"/>
                <w:szCs w:val="13"/>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Subtotal</w:t>
            </w: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37,775</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33,074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22,598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10,453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Less: Government guaranteed loans</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10,202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9,947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2,243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2,249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1,940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non-performing loans</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27,573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23,127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20,355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8,204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7,086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real estate and repossessed assets</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767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896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589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3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non-performing assets</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28,340</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24,023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20,944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8,630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7,499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 a percent of Portfolio Loans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Non-performing loans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0.64 %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0.54 %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0.48 %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0.20 %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0.17 %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Non-performing assets to total assets</w:t>
            </w:r>
          </w:p>
        </w:tc>
        <w:tc>
          <w:tcPr>
            <w:tcW w:w="160" w:type="dxa"/>
            <w:vAlign w:val="bottom"/>
          </w:tcPr>
          <w:p>
            <w:pPr>
              <w:spacing w:after="0"/>
              <w:rPr>
                <w:sz w:val="13"/>
                <w:szCs w:val="13"/>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0.51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Allowance for credit losses as a percent of non-performing loans</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231.09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274.33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306.85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745.45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847.23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1042670</wp:posOffset>
            </wp:positionH>
            <wp:positionV relativeFrom="page">
              <wp:posOffset>523240</wp:posOffset>
            </wp:positionV>
            <wp:extent cx="632079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2079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Allowance for credit losses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87"/>
        </w:trPr>
        <w:tc>
          <w:tcPr>
            <w:tcW w:w="3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3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06"/>
        </w:trPr>
        <w:tc>
          <w:tcPr>
            <w:tcW w:w="3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jc w:val="right"/>
              <w:ind w:right="102"/>
              <w:spacing w:after="0" w:line="106" w:lineRule="exact"/>
              <w:rPr>
                <w:sz w:val="20"/>
                <w:szCs w:val="20"/>
                <w:color w:val="auto"/>
              </w:rPr>
            </w:pPr>
            <w:r>
              <w:rPr>
                <w:rFonts w:ascii="Times New Roman" w:cs="Times New Roman" w:eastAsia="Times New Roman" w:hAnsi="Times New Roman"/>
                <w:sz w:val="12"/>
                <w:szCs w:val="12"/>
                <w:color w:val="auto"/>
              </w:rPr>
              <w:t>Unfunded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jc w:val="right"/>
              <w:ind w:right="400"/>
              <w:spacing w:after="0" w:line="106" w:lineRule="exact"/>
              <w:rPr>
                <w:sz w:val="20"/>
                <w:szCs w:val="20"/>
                <w:color w:val="auto"/>
              </w:rPr>
            </w:pPr>
            <w:r>
              <w:rPr>
                <w:rFonts w:ascii="Times New Roman" w:cs="Times New Roman" w:eastAsia="Times New Roman" w:hAnsi="Times New Roman"/>
                <w:sz w:val="12"/>
                <w:szCs w:val="12"/>
                <w:color w:val="auto"/>
              </w:rPr>
              <w:t>Unfunded</w:t>
            </w:r>
          </w:p>
        </w:tc>
      </w:tr>
      <w:tr>
        <w:trPr>
          <w:trHeight w:val="162"/>
        </w:trPr>
        <w:tc>
          <w:tcPr>
            <w:tcW w:w="3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Loans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Securities HTM</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Commitments(1)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2"/>
                <w:szCs w:val="12"/>
                <w:color w:val="auto"/>
              </w:rPr>
              <w:t>Loans</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Securities HTM</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Commitments</w:t>
            </w:r>
          </w:p>
        </w:tc>
      </w:tr>
      <w:tr>
        <w:trPr>
          <w:trHeight w:val="142"/>
        </w:trPr>
        <w:tc>
          <w:tcPr>
            <w:tcW w:w="3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(Dollars 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63,445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6"/>
              </w:rPr>
              <w:t>5,440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59,379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5,131</w:t>
            </w: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Additions (deductions)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(178)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Recoveries credited to allowance</w:t>
            </w:r>
          </w:p>
        </w:tc>
        <w:tc>
          <w:tcPr>
            <w:tcW w:w="24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Assets charged against the allowance</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Additions included in non-interest expense</w:t>
            </w:r>
          </w:p>
        </w:tc>
        <w:tc>
          <w:tcPr>
            <w:tcW w:w="2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196</w:t>
            </w:r>
          </w:p>
        </w:tc>
      </w:tr>
      <w:tr>
        <w:trPr>
          <w:trHeight w:val="158"/>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63,719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ind w:right="106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6"/>
              </w:rPr>
              <w:t>5,262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60,035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5,327</w:t>
            </w:r>
          </w:p>
        </w:tc>
      </w:tr>
      <w:tr>
        <w:trPr>
          <w:trHeight w:val="162"/>
        </w:trPr>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loans charged against the allowance to average Portfolio Loans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bl>
    <w:p>
      <w:pPr>
        <w:spacing w:after="0" w:line="115" w:lineRule="exact"/>
        <w:rPr>
          <w:sz w:val="20"/>
          <w:szCs w:val="20"/>
          <w:color w:val="auto"/>
        </w:rPr>
      </w:pPr>
    </w:p>
    <w:p>
      <w:pPr>
        <w:ind w:left="380" w:hanging="273"/>
        <w:spacing w:after="0"/>
        <w:tabs>
          <w:tab w:leader="none" w:pos="3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the fourth quarter of 2025, we classified the provision for unfunded lending commitments in the provision for credit losses in the Consolidated Statements of Operations.</w:t>
      </w:r>
    </w:p>
    <w:p>
      <w:pPr>
        <w:spacing w:after="0" w:line="200" w:lineRule="exact"/>
        <w:rPr>
          <w:sz w:val="20"/>
          <w:szCs w:val="20"/>
          <w:color w:val="auto"/>
        </w:rPr>
      </w:pPr>
    </w:p>
    <w:p>
      <w:pPr>
        <w:spacing w:after="0" w:line="3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3207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20790" cy="5715"/>
                    </a:xfrm>
                    <a:prstGeom prst="rect">
                      <a:avLst/>
                    </a:prstGeom>
                    <a:noFill/>
                  </pic:spPr>
                </pic:pic>
              </a:graphicData>
            </a:graphic>
          </wp:anchor>
        </w:drawing>
      </w:r>
    </w:p>
    <w:p>
      <w:pPr>
        <w:sectPr>
          <w:pgSz w:w="11900" w:h="16838" w:orient="portrait"/>
          <w:cols w:equalWidth="0" w:num="1">
            <w:col w:w="11300"/>
          </w:cols>
          <w:pgMar w:left="300" w:top="903" w:right="299"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59"/>
        </w:trPr>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Capitalization</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87"/>
        </w:trPr>
        <w:tc>
          <w:tcPr>
            <w:tcW w:w="5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March 31, 2026</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December 31, 2025</w:t>
            </w:r>
          </w:p>
        </w:tc>
      </w:tr>
      <w:tr>
        <w:trPr>
          <w:trHeight w:val="142"/>
        </w:trPr>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4"/>
          </w:tcPr>
          <w:p>
            <w:pPr>
              <w:jc w:val="right"/>
              <w:ind w:right="1020"/>
              <w:spacing w:after="0"/>
              <w:rPr>
                <w:sz w:val="20"/>
                <w:szCs w:val="20"/>
                <w:color w:val="auto"/>
              </w:rPr>
            </w:pPr>
            <w:r>
              <w:rPr>
                <w:rFonts w:ascii="Times New Roman" w:cs="Times New Roman" w:eastAsia="Times New Roman" w:hAnsi="Times New Roman"/>
                <w:sz w:val="12"/>
                <w:szCs w:val="12"/>
                <w:color w:val="auto"/>
              </w:rPr>
              <w:t>(In thousands)</w:t>
            </w: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Subordinated debt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Subordinated debentures</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39,864</w:t>
            </w: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 not qualifying as regulatory capital</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w:t>
            </w:r>
          </w:p>
        </w:tc>
      </w:tr>
      <w:tr>
        <w:trPr>
          <w:trHeight w:val="142"/>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Amount qualifying as regulatory capital</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38,657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38,640</w:t>
            </w: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Shareholders’ equity</w:t>
            </w: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3"/>
        </w:trPr>
        <w:tc>
          <w:tcPr>
            <w:tcW w:w="5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307,679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307,845</w:t>
            </w:r>
          </w:p>
        </w:tc>
      </w:tr>
      <w:tr>
        <w:trPr>
          <w:trHeight w:val="153"/>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263,898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252,794</w:t>
            </w:r>
          </w:p>
        </w:tc>
      </w:tr>
      <w:tr>
        <w:trPr>
          <w:trHeight w:val="153"/>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(61,024)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(57,688)</w:t>
            </w:r>
          </w:p>
        </w:tc>
      </w:tr>
      <w:tr>
        <w:trPr>
          <w:trHeight w:val="142"/>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shareholders’ equity</w:t>
            </w:r>
          </w:p>
        </w:tc>
        <w:tc>
          <w:tcPr>
            <w:tcW w:w="1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510,553</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502,951</w:t>
            </w:r>
          </w:p>
        </w:tc>
      </w:tr>
      <w:tr>
        <w:trPr>
          <w:trHeight w:val="142"/>
        </w:trPr>
        <w:tc>
          <w:tcPr>
            <w:tcW w:w="55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capitalization</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549,210</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541,591</w:t>
            </w: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Non-Interest Income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color w:val="auto"/>
                <w:w w:val="99"/>
              </w:rPr>
              <w:t>Three months ended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March 31, 2026</w:t>
            </w:r>
          </w:p>
        </w:tc>
        <w:tc>
          <w:tcPr>
            <w:tcW w:w="120" w:type="dxa"/>
            <w:vAlign w:val="bottom"/>
          </w:tcPr>
          <w:p>
            <w:pPr>
              <w:spacing w:after="0"/>
              <w:rPr>
                <w:sz w:val="22"/>
                <w:szCs w:val="22"/>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color w:val="auto"/>
                <w:w w:val="99"/>
              </w:rPr>
              <w:t>December 31, 2025</w:t>
            </w:r>
          </w:p>
        </w:tc>
        <w:tc>
          <w:tcPr>
            <w:tcW w:w="20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March 31, 2025</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00"/>
              <w:spacing w:after="0" w:line="133" w:lineRule="exact"/>
              <w:rPr>
                <w:sz w:val="20"/>
                <w:szCs w:val="20"/>
                <w:color w:val="auto"/>
              </w:rPr>
            </w:pPr>
            <w:r>
              <w:rPr>
                <w:rFonts w:ascii="Times New Roman" w:cs="Times New Roman" w:eastAsia="Times New Roman" w:hAnsi="Times New Roman"/>
                <w:sz w:val="12"/>
                <w:szCs w:val="12"/>
                <w:color w:val="auto"/>
              </w:rPr>
              <w:t>(In thousands)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Interchange income</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3,127</w:t>
            </w:r>
          </w:p>
        </w:tc>
        <w:tc>
          <w:tcPr>
            <w:tcW w:w="0" w:type="dxa"/>
            <w:vAlign w:val="bottom"/>
          </w:tcPr>
          <w:p>
            <w:pPr>
              <w:spacing w:after="0"/>
              <w:rPr>
                <w:sz w:val="1"/>
                <w:szCs w:val="1"/>
                <w:color w:val="auto"/>
              </w:rPr>
            </w:pPr>
          </w:p>
        </w:tc>
      </w:tr>
      <w:tr>
        <w:trPr>
          <w:trHeight w:val="153"/>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Service charges on deposit accounts</w:t>
            </w:r>
          </w:p>
        </w:tc>
        <w:tc>
          <w:tcPr>
            <w:tcW w:w="20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2,814</w:t>
            </w: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gains (losses) on assets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Mortgage loans</w:t>
            </w:r>
          </w:p>
        </w:tc>
        <w:tc>
          <w:tcPr>
            <w:tcW w:w="20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2,303</w:t>
            </w: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Equity securities at fair value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Securities</w:t>
            </w:r>
          </w:p>
        </w:tc>
        <w:tc>
          <w:tcPr>
            <w:tcW w:w="20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(330)</w:t>
            </w: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Mortgage loan servicing, net</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(636)</w:t>
            </w:r>
          </w:p>
        </w:tc>
        <w:tc>
          <w:tcPr>
            <w:tcW w:w="0" w:type="dxa"/>
            <w:vAlign w:val="bottom"/>
          </w:tcPr>
          <w:p>
            <w:pPr>
              <w:spacing w:after="0"/>
              <w:rPr>
                <w:sz w:val="1"/>
                <w:szCs w:val="1"/>
                <w:color w:val="auto"/>
              </w:rPr>
            </w:pPr>
          </w:p>
        </w:tc>
      </w:tr>
      <w:tr>
        <w:trPr>
          <w:trHeight w:val="153"/>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Investment and insurance commissions</w:t>
            </w:r>
          </w:p>
        </w:tc>
        <w:tc>
          <w:tcPr>
            <w:tcW w:w="20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754</w:t>
            </w: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owned life insurance</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297</w:t>
            </w:r>
          </w:p>
        </w:tc>
        <w:tc>
          <w:tcPr>
            <w:tcW w:w="0" w:type="dxa"/>
            <w:vAlign w:val="bottom"/>
          </w:tcPr>
          <w:p>
            <w:pPr>
              <w:spacing w:after="0"/>
              <w:rPr>
                <w:sz w:val="1"/>
                <w:szCs w:val="1"/>
                <w:color w:val="auto"/>
              </w:rPr>
            </w:pPr>
          </w:p>
        </w:tc>
      </w:tr>
      <w:tr>
        <w:trPr>
          <w:trHeight w:val="153"/>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1,820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2,108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2,095</w:t>
            </w:r>
          </w:p>
        </w:tc>
        <w:tc>
          <w:tcPr>
            <w:tcW w:w="0" w:type="dxa"/>
            <w:vAlign w:val="bottom"/>
          </w:tcPr>
          <w:p>
            <w:pPr>
              <w:spacing w:after="0"/>
              <w:rPr>
                <w:sz w:val="1"/>
                <w:szCs w:val="1"/>
                <w:color w:val="auto"/>
              </w:rPr>
            </w:pPr>
          </w:p>
        </w:tc>
      </w:tr>
      <w:tr>
        <w:trPr>
          <w:trHeight w:val="162"/>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non-interest income</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12,048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10,424</w:t>
            </w:r>
          </w:p>
        </w:tc>
        <w:tc>
          <w:tcPr>
            <w:tcW w:w="0" w:type="dxa"/>
            <w:vAlign w:val="bottom"/>
          </w:tcPr>
          <w:p>
            <w:pPr>
              <w:spacing w:after="0"/>
              <w:rPr>
                <w:sz w:val="1"/>
                <w:szCs w:val="1"/>
                <w:color w:val="auto"/>
              </w:rPr>
            </w:pPr>
          </w:p>
        </w:tc>
      </w:tr>
      <w:tr>
        <w:trPr>
          <w:trHeight w:val="428"/>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Capitalized Mortgage Loan Servicing Rights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vMerge w:val="restart"/>
          </w:tcPr>
          <w:p>
            <w:pPr>
              <w:jc w:val="right"/>
              <w:ind w:right="880"/>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0" w:type="dxa"/>
            <w:vAlign w:val="bottom"/>
          </w:tcPr>
          <w:p>
            <w:pPr>
              <w:spacing w:after="0"/>
              <w:rPr>
                <w:sz w:val="1"/>
                <w:szCs w:val="1"/>
                <w:color w:val="auto"/>
              </w:rPr>
            </w:pPr>
          </w:p>
        </w:tc>
      </w:tr>
      <w:tr>
        <w:trPr>
          <w:trHeight w:val="153"/>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(In thousands)</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31,493</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Originated servicing rights capitalized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Sale of originated servicing rights (1)</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sale of originated servicing rights (1)</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32,233</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28" w:hanging="228"/>
        <w:spacing w:after="0"/>
        <w:tabs>
          <w:tab w:leader="none" w:pos="22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On January 31, 2025 we sold $931.6 million of mortgage loan servicing rights (26.3% of total servicing portfolio) and transferred the servicing on March 3, 2025. This sale represented approximately $13.1 million (41.5%) of the total capitalized mortgage loan servicing right asset.</w:t>
      </w:r>
    </w:p>
    <w:p>
      <w:pPr>
        <w:spacing w:after="0" w:line="200" w:lineRule="exact"/>
        <w:rPr>
          <w:rFonts w:ascii="Times New Roman" w:cs="Times New Roman" w:eastAsia="Times New Roman" w:hAnsi="Times New Roman"/>
          <w:sz w:val="8"/>
          <w:szCs w:val="8"/>
          <w:color w:val="auto"/>
        </w:rPr>
      </w:pPr>
    </w:p>
    <w:p>
      <w:pPr>
        <w:spacing w:after="0" w:line="311" w:lineRule="exact"/>
        <w:rPr>
          <w:rFonts w:ascii="Times New Roman" w:cs="Times New Roman" w:eastAsia="Times New Roman" w:hAnsi="Times New Roman"/>
          <w:sz w:val="8"/>
          <w:szCs w:val="8"/>
          <w:color w:val="auto"/>
        </w:rPr>
      </w:pPr>
    </w:p>
    <w:p>
      <w:pPr>
        <w:ind w:left="4948"/>
        <w:spacing w:after="0"/>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3207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20790" cy="5715"/>
                    </a:xfrm>
                    <a:prstGeom prst="rect">
                      <a:avLst/>
                    </a:prstGeom>
                    <a:noFill/>
                  </pic:spPr>
                </pic:pic>
              </a:graphicData>
            </a:graphic>
          </wp:anchor>
        </w:drawing>
      </w:r>
    </w:p>
    <w:p>
      <w:pPr>
        <w:sectPr>
          <w:pgSz w:w="11900" w:h="16838" w:orient="portrait"/>
          <w:cols w:equalWidth="0" w:num="1">
            <w:col w:w="11008"/>
          </w:cols>
          <w:pgMar w:left="292" w:top="800" w:right="5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9"/>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Mortgage Loan Activity</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87"/>
        </w:trPr>
        <w:tc>
          <w:tcPr>
            <w:tcW w:w="6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1"/>
        </w:trPr>
        <w:tc>
          <w:tcPr>
            <w:tcW w:w="6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March 31, 2026</w:t>
            </w: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31, 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March 31, 2025</w:t>
            </w:r>
          </w:p>
        </w:tc>
      </w:tr>
      <w:tr>
        <w:trPr>
          <w:trHeight w:val="133"/>
        </w:trPr>
        <w:tc>
          <w:tcPr>
            <w:tcW w:w="6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9"/>
              </w:rPr>
              <w:t>(Dollars in thousands)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Mortgage loans originated</w:t>
            </w:r>
          </w:p>
        </w:tc>
        <w:tc>
          <w:tcPr>
            <w:tcW w:w="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130,574</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134,258</w:t>
            </w:r>
          </w:p>
        </w:tc>
        <w:tc>
          <w:tcPr>
            <w:tcW w:w="2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107,779</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Mortgage loans sold</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84,065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82,618</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gains on mortgage loans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2,303</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Net gains as a percent of mortgage loans sold ("Loan Sales Margin")</w:t>
            </w:r>
          </w:p>
        </w:tc>
        <w:tc>
          <w:tcPr>
            <w:tcW w:w="24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1.56 %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1.59 %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2.79 %</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adjustments included in the Loan Sales Margin</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0.09 %</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0.05 %</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0.88 %</w:t>
            </w: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Non-Interest Expense</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7"/>
        </w:trPr>
        <w:tc>
          <w:tcPr>
            <w:tcW w:w="6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1"/>
        </w:trPr>
        <w:tc>
          <w:tcPr>
            <w:tcW w:w="6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March 31, 2026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December 31, 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March 31, 2025</w:t>
            </w:r>
          </w:p>
        </w:tc>
      </w:tr>
      <w:tr>
        <w:trPr>
          <w:trHeight w:val="133"/>
        </w:trPr>
        <w:tc>
          <w:tcPr>
            <w:tcW w:w="6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20"/>
              <w:spacing w:after="0" w:line="133" w:lineRule="exact"/>
              <w:rPr>
                <w:sz w:val="20"/>
                <w:szCs w:val="20"/>
                <w:color w:val="auto"/>
              </w:rPr>
            </w:pPr>
            <w:r>
              <w:rPr>
                <w:rFonts w:ascii="Times New Roman" w:cs="Times New Roman" w:eastAsia="Times New Roman" w:hAnsi="Times New Roman"/>
                <w:sz w:val="12"/>
                <w:szCs w:val="12"/>
                <w:color w:val="auto"/>
                <w:w w:val="98"/>
              </w:rPr>
              <w:t>(In thousands)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Compensation</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14,123</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13,884</w:t>
            </w:r>
          </w:p>
        </w:tc>
        <w:tc>
          <w:tcPr>
            <w:tcW w:w="2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13,197</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Performance-based compensation</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3,441</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Payroll taxes and employee benefits</w:t>
            </w: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4,058</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3,745</w:t>
            </w:r>
          </w:p>
        </w:tc>
      </w:tr>
      <w:tr>
        <w:trPr>
          <w:trHeight w:val="142"/>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Compensation and employee benefits</w:t>
            </w: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22,563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20,383</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processing</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Occupancy, net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2,223</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Litigation expense</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Advertising</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Interchange expense</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Furniture, fixtures and equipment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FDIC deposit insurance</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Loan and collection</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Communications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Legal and professional</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Taxes, licenses and fees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Merger related expense</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 fees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(gains) losses on other real estate and repossessed assets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Recovery for loss reimbursement on sold loans</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1,544</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w:t>
            </w:r>
          </w:p>
        </w:tc>
      </w:tr>
      <w:tr>
        <w:trPr>
          <w:trHeight w:val="142"/>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non-interest expense</w:t>
            </w: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38,311</w:t>
            </w:r>
          </w:p>
        </w:tc>
        <w:tc>
          <w:tcPr>
            <w:tcW w:w="10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34,262</w:t>
            </w:r>
          </w:p>
        </w:tc>
      </w:tr>
      <w:tr>
        <w:trPr>
          <w:trHeight w:val="20"/>
        </w:trPr>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3207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20790" cy="5715"/>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Average Balances and Tax Equivalent Rates</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Pr>
          <w:p>
            <w:pPr>
              <w:spacing w:after="0"/>
              <w:rPr>
                <w:sz w:val="24"/>
                <w:szCs w:val="24"/>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2"/>
                <w:szCs w:val="12"/>
                <w:color w:val="auto"/>
              </w:rPr>
              <w:t>Three Months Ended March 31,</w:t>
            </w:r>
          </w:p>
        </w:tc>
        <w:tc>
          <w:tcPr>
            <w:tcW w:w="220" w:type="dxa"/>
            <w:vAlign w:val="bottom"/>
          </w:tcPr>
          <w:p>
            <w:pPr>
              <w:spacing w:after="0"/>
              <w:rPr>
                <w:sz w:val="24"/>
                <w:szCs w:val="24"/>
                <w:color w:val="auto"/>
              </w:rPr>
            </w:pPr>
          </w:p>
        </w:tc>
        <w:tc>
          <w:tcPr>
            <w:tcW w:w="860" w:type="dxa"/>
            <w:vAlign w:val="bottom"/>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ind w:left="140"/>
              <w:spacing w:after="0" w:line="113" w:lineRule="exact"/>
              <w:rPr>
                <w:sz w:val="20"/>
                <w:szCs w:val="20"/>
                <w:color w:val="auto"/>
              </w:rPr>
            </w:pPr>
            <w:r>
              <w:rPr>
                <w:rFonts w:ascii="Times New Roman" w:cs="Times New Roman" w:eastAsia="Times New Roman" w:hAnsi="Times New Roman"/>
                <w:sz w:val="12"/>
                <w:szCs w:val="12"/>
                <w:color w:val="auto"/>
              </w:rPr>
              <w:t>Average</w:t>
            </w: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tcPr>
          <w:p>
            <w:pPr>
              <w:ind w:left="140"/>
              <w:spacing w:after="0" w:line="113" w:lineRule="exact"/>
              <w:rPr>
                <w:sz w:val="20"/>
                <w:szCs w:val="20"/>
                <w:color w:val="auto"/>
              </w:rPr>
            </w:pPr>
            <w:r>
              <w:rPr>
                <w:rFonts w:ascii="Times New Roman" w:cs="Times New Roman" w:eastAsia="Times New Roman" w:hAnsi="Times New Roman"/>
                <w:sz w:val="12"/>
                <w:szCs w:val="12"/>
                <w:color w:val="auto"/>
              </w:rPr>
              <w:t>Average</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color w:val="auto"/>
              </w:rPr>
              <w:t>Balance</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Interest</w:t>
            </w:r>
          </w:p>
        </w:tc>
        <w:tc>
          <w:tcPr>
            <w:tcW w:w="14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Rate (2)</w:t>
            </w: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Balance</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color w:val="auto"/>
              </w:rPr>
              <w:t>Interest</w:t>
            </w: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Rate (2)</w:t>
            </w:r>
          </w:p>
        </w:tc>
        <w:tc>
          <w:tcPr>
            <w:tcW w:w="0" w:type="dxa"/>
            <w:vAlign w:val="bottom"/>
          </w:tcPr>
          <w:p>
            <w:pPr>
              <w:spacing w:after="0"/>
              <w:rPr>
                <w:sz w:val="1"/>
                <w:szCs w:val="1"/>
                <w:color w:val="auto"/>
              </w:rPr>
            </w:pPr>
          </w:p>
        </w:tc>
      </w:tr>
      <w:tr>
        <w:trPr>
          <w:trHeight w:val="144"/>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Assets</w:t>
            </w: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5"/>
          </w:tcPr>
          <w:p>
            <w:pPr>
              <w:ind w:left="64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6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Taxable loans</w:t>
            </w:r>
          </w:p>
        </w:tc>
        <w:tc>
          <w:tcPr>
            <w:tcW w:w="21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4,306,954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59,161</w:t>
            </w:r>
          </w:p>
        </w:tc>
        <w:tc>
          <w:tcPr>
            <w:tcW w:w="8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5.54 %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4,053,593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57,685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w w:val="99"/>
              </w:rPr>
              <w:t>5.74 %</w:t>
            </w: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Tax-exempt loans (1)</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5.78</w:t>
            </w: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Taxable securities</w:t>
            </w:r>
          </w:p>
        </w:tc>
        <w:tc>
          <w:tcPr>
            <w:tcW w:w="1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534,965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619,764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4,036</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2.60</w:t>
            </w: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Tax-exempt securities (1)</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261,286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w:t>
            </w:r>
          </w:p>
        </w:tc>
        <w:tc>
          <w:tcPr>
            <w:tcW w:w="8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4.51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263,912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w:t>
            </w:r>
          </w:p>
        </w:tc>
        <w:tc>
          <w:tcPr>
            <w:tcW w:w="10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4.85</w:t>
            </w: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bearing cash</w:t>
            </w:r>
          </w:p>
        </w:tc>
        <w:tc>
          <w:tcPr>
            <w:tcW w:w="1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79,636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3.81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117,706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4.45</w:t>
            </w:r>
          </w:p>
        </w:tc>
        <w:tc>
          <w:tcPr>
            <w:tcW w:w="0" w:type="dxa"/>
            <w:vAlign w:val="bottom"/>
          </w:tcPr>
          <w:p>
            <w:pPr>
              <w:spacing w:after="0"/>
              <w:rPr>
                <w:sz w:val="1"/>
                <w:szCs w:val="1"/>
                <w:color w:val="auto"/>
              </w:rPr>
            </w:pPr>
          </w:p>
        </w:tc>
      </w:tr>
      <w:tr>
        <w:trPr>
          <w:trHeight w:val="153"/>
        </w:trPr>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 investments</w:t>
            </w:r>
          </w:p>
        </w:tc>
        <w:tc>
          <w:tcPr>
            <w:tcW w:w="19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18,102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16,273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2"/>
                <w:szCs w:val="12"/>
                <w:color w:val="auto"/>
              </w:rPr>
              <w:t>6.85</w:t>
            </w:r>
          </w:p>
        </w:tc>
        <w:tc>
          <w:tcPr>
            <w:tcW w:w="0" w:type="dxa"/>
            <w:vAlign w:val="bottom"/>
          </w:tcPr>
          <w:p>
            <w:pPr>
              <w:spacing w:after="0"/>
              <w:rPr>
                <w:sz w:val="1"/>
                <w:szCs w:val="1"/>
                <w:color w:val="auto"/>
              </w:rPr>
            </w:pPr>
          </w:p>
        </w:tc>
      </w:tr>
      <w:tr>
        <w:trPr>
          <w:trHeight w:val="142"/>
        </w:trPr>
        <w:tc>
          <w:tcPr>
            <w:tcW w:w="2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Interest Earning Assets</w:t>
            </w: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5,209,360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66,614</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5,078,596</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66,596</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5.28</w:t>
            </w:r>
          </w:p>
        </w:tc>
        <w:tc>
          <w:tcPr>
            <w:tcW w:w="0" w:type="dxa"/>
            <w:vAlign w:val="bottom"/>
          </w:tcPr>
          <w:p>
            <w:pPr>
              <w:spacing w:after="0"/>
              <w:rPr>
                <w:sz w:val="1"/>
                <w:szCs w:val="1"/>
                <w:color w:val="auto"/>
              </w:rPr>
            </w:pPr>
          </w:p>
        </w:tc>
      </w:tr>
      <w:tr>
        <w:trPr>
          <w:trHeight w:val="133"/>
        </w:trPr>
        <w:tc>
          <w:tcPr>
            <w:tcW w:w="22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Cash and due from banks</w:t>
            </w: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56,469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57,464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 net</w:t>
            </w:r>
          </w:p>
        </w:tc>
        <w:tc>
          <w:tcPr>
            <w:tcW w:w="19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256,415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241,962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Total Assets</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5,522,244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5,378,022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Savings and interest-bearing checking</w:t>
            </w:r>
          </w:p>
        </w:tc>
        <w:tc>
          <w:tcPr>
            <w:tcW w:w="1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3,008,287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11,915</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2,836,290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1.84</w:t>
            </w: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817,202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6,482</w:t>
            </w:r>
          </w:p>
        </w:tc>
        <w:tc>
          <w:tcPr>
            <w:tcW w:w="8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871,377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8,115</w:t>
            </w:r>
          </w:p>
        </w:tc>
        <w:tc>
          <w:tcPr>
            <w:tcW w:w="100" w:type="dxa"/>
            <w:vAlign w:val="bottom"/>
          </w:tcPr>
          <w:p>
            <w:pPr>
              <w:spacing w:after="0"/>
              <w:rPr>
                <w:sz w:val="13"/>
                <w:szCs w:val="13"/>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3.78</w:t>
            </w: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borrowings</w:t>
            </w:r>
          </w:p>
        </w:tc>
        <w:tc>
          <w:tcPr>
            <w:tcW w:w="19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67,213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5.53</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92,185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6.58</w:t>
            </w:r>
          </w:p>
        </w:tc>
        <w:tc>
          <w:tcPr>
            <w:tcW w:w="0" w:type="dxa"/>
            <w:vAlign w:val="bottom"/>
          </w:tcPr>
          <w:p>
            <w:pPr>
              <w:spacing w:after="0"/>
              <w:rPr>
                <w:sz w:val="1"/>
                <w:szCs w:val="1"/>
                <w:color w:val="auto"/>
              </w:rPr>
            </w:pPr>
          </w:p>
        </w:tc>
      </w:tr>
      <w:tr>
        <w:trPr>
          <w:trHeight w:val="142"/>
        </w:trPr>
        <w:tc>
          <w:tcPr>
            <w:tcW w:w="4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Interest Bearing Liabilities</w:t>
            </w: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3,892,702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19,314</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2"/>
                <w:szCs w:val="12"/>
                <w:color w:val="auto"/>
                <w:w w:val="99"/>
              </w:rPr>
              <w:t>2.01 %</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3,799,852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22,459</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2"/>
                <w:szCs w:val="12"/>
                <w:color w:val="auto"/>
              </w:rPr>
              <w:t>2.40</w:t>
            </w:r>
          </w:p>
        </w:tc>
        <w:tc>
          <w:tcPr>
            <w:tcW w:w="0" w:type="dxa"/>
            <w:vAlign w:val="bottom"/>
          </w:tcPr>
          <w:p>
            <w:pPr>
              <w:spacing w:after="0"/>
              <w:rPr>
                <w:sz w:val="1"/>
                <w:szCs w:val="1"/>
                <w:color w:val="auto"/>
              </w:rPr>
            </w:pPr>
          </w:p>
        </w:tc>
      </w:tr>
      <w:tr>
        <w:trPr>
          <w:trHeight w:val="133"/>
        </w:trPr>
        <w:tc>
          <w:tcPr>
            <w:tcW w:w="22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Non-interest bearing deposits</w:t>
            </w:r>
          </w:p>
        </w:tc>
        <w:tc>
          <w:tcPr>
            <w:tcW w:w="1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1,006,600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1,007,665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19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509,523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461,291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w w:val="98"/>
              </w:rPr>
              <w:t>Total liabilities and shareholders’ equity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5,522,244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5,378,022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Borders>
              <w:top w:val="single" w:sz="8" w:color="CCEEFF"/>
            </w:tcBorders>
          </w:tcPr>
          <w:p>
            <w:pPr>
              <w:spacing w:after="0"/>
              <w:rPr>
                <w:sz w:val="14"/>
                <w:szCs w:val="14"/>
                <w:color w:val="auto"/>
              </w:rPr>
            </w:pPr>
          </w:p>
        </w:tc>
        <w:tc>
          <w:tcPr>
            <w:tcW w:w="1800" w:type="dxa"/>
            <w:vAlign w:val="bottom"/>
            <w:tcBorders>
              <w:top w:val="single" w:sz="8" w:color="CCEEFF"/>
            </w:tcBorders>
          </w:tcPr>
          <w:p>
            <w:pPr>
              <w:spacing w:after="0"/>
              <w:rPr>
                <w:sz w:val="14"/>
                <w:szCs w:val="14"/>
                <w:color w:val="auto"/>
              </w:rPr>
            </w:pPr>
          </w:p>
        </w:tc>
        <w:tc>
          <w:tcPr>
            <w:tcW w:w="19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Net Interest Income</w:t>
            </w: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47,300</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44,137</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 w:type="dxa"/>
            <w:vAlign w:val="bottom"/>
            <w:tcBorders>
              <w:bottom w:val="single" w:sz="8" w:color="CCEEFF"/>
            </w:tcBorders>
            <w:shd w:val="clear" w:color="auto" w:fill="CCEEFF"/>
          </w:tcPr>
          <w:p>
            <w:pPr>
              <w:spacing w:after="0"/>
              <w:rPr>
                <w:sz w:val="14"/>
                <w:szCs w:val="14"/>
                <w:color w:val="auto"/>
              </w:rPr>
            </w:pPr>
          </w:p>
        </w:tc>
        <w:tc>
          <w:tcPr>
            <w:tcW w:w="3960" w:type="dxa"/>
            <w:vAlign w:val="bottom"/>
            <w:tcBorders>
              <w:bottom w:val="single" w:sz="8" w:color="CCEEFF"/>
            </w:tcBorders>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Net Interest Income as a Percent of Average Interest Earning Assets</w:t>
            </w: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w w:val="99"/>
              </w:rPr>
              <w:t>3.65 %</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w w:val="99"/>
              </w:rPr>
              <w:t>3.49 %</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80" w:hanging="476"/>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on tax-exempt loans and securities is presented on a fully tax equivalent basis assuming a marginal tax rate of 21%.</w:t>
      </w:r>
    </w:p>
    <w:p>
      <w:pPr>
        <w:spacing w:after="0" w:line="16" w:lineRule="exact"/>
        <w:rPr>
          <w:rFonts w:ascii="Times New Roman" w:cs="Times New Roman" w:eastAsia="Times New Roman" w:hAnsi="Times New Roman"/>
          <w:sz w:val="12"/>
          <w:szCs w:val="12"/>
          <w:color w:val="auto"/>
        </w:rPr>
      </w:pPr>
    </w:p>
    <w:p>
      <w:pPr>
        <w:ind w:left="480" w:hanging="476"/>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3207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20790" cy="5715"/>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Commercial Loan Portfolio Analysis as of March 31, 2026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7"/>
        </w:trPr>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2"/>
                <w:szCs w:val="12"/>
                <w:color w:val="auto"/>
              </w:rPr>
              <w:t>Total Commercial Loans</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Watch Credits</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Percent of Loan</w:t>
            </w:r>
          </w:p>
        </w:tc>
        <w:tc>
          <w:tcPr>
            <w:tcW w:w="0" w:type="dxa"/>
            <w:vAlign w:val="bottom"/>
          </w:tcPr>
          <w:p>
            <w:pPr>
              <w:spacing w:after="0"/>
              <w:rPr>
                <w:sz w:val="1"/>
                <w:szCs w:val="1"/>
                <w:color w:val="auto"/>
              </w:rPr>
            </w:pPr>
          </w:p>
        </w:tc>
      </w:tr>
      <w:tr>
        <w:trPr>
          <w:trHeight w:val="106"/>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Loan Category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color w:val="auto"/>
              </w:rPr>
              <w:t>All Loans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color w:val="auto"/>
              </w:rPr>
              <w:t>Performing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Non-accrual</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auto"/>
              </w:rPr>
              <w:t>Total</w:t>
            </w:r>
          </w:p>
        </w:tc>
        <w:tc>
          <w:tcPr>
            <w:tcW w:w="1300" w:type="dxa"/>
            <w:vAlign w:val="bottom"/>
            <w:gridSpan w:val="2"/>
          </w:tcPr>
          <w:p>
            <w:pPr>
              <w:jc w:val="center"/>
              <w:ind w:left="60"/>
              <w:spacing w:after="0" w:line="106" w:lineRule="exact"/>
              <w:rPr>
                <w:sz w:val="20"/>
                <w:szCs w:val="20"/>
                <w:color w:val="auto"/>
              </w:rPr>
            </w:pPr>
            <w:r>
              <w:rPr>
                <w:rFonts w:ascii="Times New Roman" w:cs="Times New Roman" w:eastAsia="Times New Roman" w:hAnsi="Times New Roman"/>
                <w:sz w:val="12"/>
                <w:szCs w:val="12"/>
                <w:color w:val="auto"/>
                <w:w w:val="99"/>
              </w:rPr>
              <w:t>Category in Watch</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1300" w:type="dxa"/>
            <w:vAlign w:val="bottom"/>
            <w:tcBorders>
              <w:bottom w:val="single" w:sz="8" w:color="auto"/>
            </w:tcBorders>
            <w:gridSpan w:val="2"/>
          </w:tcPr>
          <w:p>
            <w:pPr>
              <w:jc w:val="center"/>
              <w:ind w:left="60"/>
              <w:spacing w:after="0"/>
              <w:rPr>
                <w:sz w:val="20"/>
                <w:szCs w:val="20"/>
                <w:color w:val="auto"/>
              </w:rPr>
            </w:pPr>
            <w:r>
              <w:rPr>
                <w:rFonts w:ascii="Times New Roman" w:cs="Times New Roman" w:eastAsia="Times New Roman" w:hAnsi="Times New Roman"/>
                <w:sz w:val="12"/>
                <w:szCs w:val="12"/>
                <w:color w:val="auto"/>
                <w:w w:val="99"/>
              </w:rPr>
              <w:t>Credit</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w w:val="97"/>
              </w:rPr>
              <w:t>(Dollars in thousands)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11,417</w:t>
            </w: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Land Development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19,976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126,121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14,314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14,314</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Income Producing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814,531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22,152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12,696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34,848</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 Occupied</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675,873</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12,109</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12,176</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 Commercial Real Estate Loans</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1,647,918</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34,274</w:t>
            </w:r>
          </w:p>
        </w:tc>
        <w:tc>
          <w:tcPr>
            <w:tcW w:w="2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27,077</w:t>
            </w:r>
          </w:p>
        </w:tc>
        <w:tc>
          <w:tcPr>
            <w:tcW w:w="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61,351</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Other Commercial Loans</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619,451</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42,261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42,261</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non-performing commercial loans</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bottom w:val="single" w:sz="8" w:color="auto"/>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27077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28"/>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Commercial Loan Portfolio Analysis as of December 31, 2025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color w:val="auto"/>
                <w:w w:val="96"/>
              </w:rPr>
              <w:t>Total Commercial Loans</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Watch Credits</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Percent of Loan</w:t>
            </w:r>
          </w:p>
        </w:tc>
        <w:tc>
          <w:tcPr>
            <w:tcW w:w="0" w:type="dxa"/>
            <w:vAlign w:val="bottom"/>
          </w:tcPr>
          <w:p>
            <w:pPr>
              <w:spacing w:after="0"/>
              <w:rPr>
                <w:sz w:val="1"/>
                <w:szCs w:val="1"/>
                <w:color w:val="auto"/>
              </w:rPr>
            </w:pPr>
          </w:p>
        </w:tc>
      </w:tr>
      <w:tr>
        <w:trPr>
          <w:trHeight w:val="119"/>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Loan Category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All Loans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color w:val="auto"/>
              </w:rPr>
              <w:t>Performing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auto"/>
              </w:rPr>
              <w:t>Non-accrual</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2"/>
                <w:szCs w:val="12"/>
                <w:color w:val="auto"/>
              </w:rPr>
              <w:t>Total</w:t>
            </w:r>
          </w:p>
        </w:tc>
        <w:tc>
          <w:tcPr>
            <w:tcW w:w="130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Category in Watch</w:t>
            </w:r>
          </w:p>
        </w:tc>
        <w:tc>
          <w:tcPr>
            <w:tcW w:w="0" w:type="dxa"/>
            <w:vAlign w:val="bottom"/>
          </w:tcPr>
          <w:p>
            <w:pPr>
              <w:spacing w:after="0"/>
              <w:rPr>
                <w:sz w:val="1"/>
                <w:szCs w:val="1"/>
                <w:color w:val="auto"/>
              </w:rPr>
            </w:pPr>
          </w:p>
        </w:tc>
      </w:tr>
      <w:tr>
        <w:trPr>
          <w:trHeight w:val="153"/>
        </w:trPr>
        <w:tc>
          <w:tcPr>
            <w:tcW w:w="3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Credit</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2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10,293</w:t>
            </w:r>
          </w:p>
        </w:tc>
        <w:tc>
          <w:tcPr>
            <w:tcW w:w="8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shd w:val="clear" w:color="auto" w:fill="CCEEFF"/>
          </w:tcPr>
          <w:p>
            <w:pPr>
              <w:spacing w:after="0"/>
              <w:rPr>
                <w:sz w:val="13"/>
                <w:szCs w:val="13"/>
                <w:color w:val="auto"/>
              </w:rPr>
            </w:pP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Land Development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158,235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14,269</w:t>
            </w:r>
          </w:p>
        </w:tc>
        <w:tc>
          <w:tcPr>
            <w:tcW w:w="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Income Producing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784,506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30,309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39,571</w:t>
            </w:r>
          </w:p>
        </w:tc>
        <w:tc>
          <w:tcPr>
            <w:tcW w:w="4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 Occupied</w:t>
            </w: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648,338</w:t>
            </w: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11,498</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11,498</w:t>
            </w:r>
          </w:p>
        </w:tc>
        <w:tc>
          <w:tcPr>
            <w:tcW w:w="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Commercial Real Estate Loans</w:t>
            </w:r>
          </w:p>
        </w:tc>
        <w:tc>
          <w:tcPr>
            <w:tcW w:w="220" w:type="dxa"/>
            <w:vAlign w:val="bottom"/>
            <w:tcBorders>
              <w:bottom w:val="single" w:sz="8" w:color="auto"/>
            </w:tcBorders>
            <w:gridSpan w:val="2"/>
          </w:tcPr>
          <w:p>
            <w:pPr>
              <w:jc w:val="right"/>
              <w:ind w:right="86"/>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1,624,180</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41,822</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23,531</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65,353</w:t>
            </w:r>
          </w:p>
        </w:tc>
        <w:tc>
          <w:tcPr>
            <w:tcW w:w="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2"/>
                <w:szCs w:val="12"/>
                <w:color w:val="auto"/>
              </w:rPr>
              <w:t>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Other Commercial Loans</w:t>
            </w: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589,377</w:t>
            </w:r>
          </w:p>
        </w:tc>
        <w:tc>
          <w:tcPr>
            <w:tcW w:w="80" w:type="dxa"/>
            <w:vAlign w:val="bottom"/>
          </w:tcPr>
          <w:p>
            <w:pPr>
              <w:spacing w:after="0"/>
              <w:rPr>
                <w:sz w:val="15"/>
                <w:szCs w:val="15"/>
                <w:color w:val="auto"/>
              </w:rPr>
            </w:pPr>
          </w:p>
        </w:tc>
        <w:tc>
          <w:tcPr>
            <w:tcW w:w="2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27,929</w:t>
            </w:r>
          </w:p>
        </w:tc>
        <w:tc>
          <w:tcPr>
            <w:tcW w:w="40" w:type="dxa"/>
            <w:vAlign w:val="bottom"/>
          </w:tcPr>
          <w:p>
            <w:pPr>
              <w:spacing w:after="0"/>
              <w:rPr>
                <w:sz w:val="15"/>
                <w:szCs w:val="15"/>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non-performing commercial loans</w:t>
            </w: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23531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7"/>
        </w:trPr>
        <w:tc>
          <w:tcPr>
            <w:tcW w:w="3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800" w:right="1440"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2026-04-23T07:13:58Z</dcterms:created>
  <dcterms:modified xsi:type="dcterms:W3CDTF">2026-04-23T07:13:58Z</dcterms:modified>
</cp:coreProperties>
</file>