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8102.xml.htm"/>
      <w:bookmarkStart w:id="1" w:name="kswkform4_17909581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Budden Joan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OTTAWA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17"/>
        <w:gridCol w:w="465"/>
        <w:gridCol w:w="626"/>
        <w:gridCol w:w="125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6,322.67</w:t>
            </w:r>
            <w:r>
              <w:rPr>
                <w:rFonts w:ascii="Times;serif" w:hAnsi="Times;serif"/>
                <w:color w:val="008000"/>
                <w:position w:val="7"/>
                <w:sz w:val="16"/>
                <w:sz w:val="20"/>
                <w:shd w:fill="FFFFFF" w:val="clear"/>
              </w:rPr>
              <w:t>(1)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711"/>
        <w:gridCol w:w="276"/>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259.02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38.49</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35,868.25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14.8688 shares acquired through dividend reinvestment program (DRIP) during the third quarter.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for under the Independent Bank Corporation Deferred Compensation and Stock Purchase Plan for Non Employee Directors and are to be settled in the Issuer's Common Stock upon the reporting person's retirement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9667"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3448</Characters>
  <CharactersWithSpaces>4002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