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54969.xml.htm"/>
      <w:bookmarkStart w:id="1" w:name="kswkform4_179095496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Tagg Nathaniel Ernest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 OTTAWA NW</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GRAND RAPIDS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49503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INDEPENDENT BANK CORP /MI/</w:t>
              </w:r>
            </w:hyperlink>
            <w:r>
              <w:rPr/>
              <w:t xml:space="preserve"> [ </w:t>
            </w:r>
            <w:r>
              <w:rPr>
                <w:rFonts w:ascii="Times;serif" w:hAnsi="Times;serif"/>
                <w:color w:val="0000FF"/>
                <w:sz w:val="24"/>
                <w:shd w:fill="FFFFFF" w:val="clear"/>
              </w:rPr>
              <w:t>IBCP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64" w:type="dxa"/>
        <w:jc w:val="left"/>
        <w:tblInd w:w="-7" w:type="dxa"/>
        <w:tblLayout w:type="fixed"/>
        <w:tblCellMar>
          <w:top w:w="60" w:type="dxa"/>
          <w:left w:w="60" w:type="dxa"/>
          <w:bottom w:w="60" w:type="dxa"/>
          <w:right w:w="60" w:type="dxa"/>
        </w:tblCellMar>
      </w:tblPr>
      <w:tblGrid>
        <w:gridCol w:w="875"/>
        <w:gridCol w:w="861"/>
        <w:gridCol w:w="891"/>
        <w:gridCol w:w="771"/>
        <w:gridCol w:w="555"/>
        <w:gridCol w:w="336"/>
        <w:gridCol w:w="606"/>
        <w:gridCol w:w="276"/>
        <w:gridCol w:w="906"/>
        <w:gridCol w:w="801"/>
        <w:gridCol w:w="891"/>
        <w:gridCol w:w="681"/>
        <w:gridCol w:w="801"/>
        <w:gridCol w:w="936"/>
        <w:gridCol w:w="831"/>
        <w:gridCol w:w="846"/>
      </w:tblGrid>
      <w:tr>
        <w:trPr>
          <w:tblHeader w:val="true"/>
        </w:trPr>
        <w:tc>
          <w:tcPr>
            <w:tcW w:w="1186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55"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w:t>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3.36</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38.49</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464.94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650.3</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650.3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31.72</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1,115.24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Phantom Stock Units were accrued for under the Independent Bank Corporation Deferred Compensation and Stock Purchase Plan for Non Employee Directors and are to be settled in the Issuer's Common Stock upon the reporting person's retirement as a director.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Phantom Stock Units were accrued for under the Independent Bank Corporation Deferred Compensation and Stock Purchase Plan for Non Employee Directors and are to be settled in the Issuer's Common Stock upon the reporting person's retirement as a director. The number of the units credited to a participant's account is determined by dividing the accrual amount by 90% of the fair market value of the Issuer's Common Stock on the effective date of the deferral.</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s/Darcy J. Benjamin,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47236" TargetMode="External"/><Relationship Id="rId5" Type="http://schemas.openxmlformats.org/officeDocument/2006/relationships/hyperlink" Target="http://www.sec.gov/cgi-bin/browse-edgar?action=getcompany&amp;CIK=000003931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702</Words>
  <Characters>3775</Characters>
  <CharactersWithSpaces>4392</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