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850265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10-Q</w:t>
      </w:r>
    </w:p>
    <w:p>
      <w:pPr>
        <w:spacing w:after="0" w:line="195"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u w:val="single" w:color="auto"/>
          <w:color w:val="auto"/>
        </w:rPr>
        <w:t>March 31, 2025</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-6350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color w:val="auto"/>
              </w:rPr>
              <w:t>38-2032782</w:t>
            </w:r>
          </w:p>
        </w:tc>
      </w:tr>
      <w:tr>
        <w:trPr>
          <w:trHeight w:val="232"/>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Number)</w:t>
            </w:r>
          </w:p>
        </w:tc>
      </w:tr>
    </w:tbl>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(616) 527-5820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7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which registered</w:t>
            </w:r>
          </w:p>
        </w:tc>
      </w:tr>
      <w:tr>
        <w:trPr>
          <w:trHeight w:val="232"/>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no par value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5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2" w:lineRule="exact"/>
        <w:rPr>
          <w:sz w:val="24"/>
          <w:szCs w:val="24"/>
          <w:color w:val="auto"/>
        </w:rPr>
      </w:pPr>
    </w:p>
    <w:p>
      <w:pPr>
        <w:ind w:right="800"/>
        <w:spacing w:after="0" w:line="26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common stock, no par value, 20,720,940 as of May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800735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INDEX</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Number(s)</w:t>
            </w:r>
          </w:p>
        </w:tc>
      </w:tr>
      <w:tr>
        <w:trPr>
          <w:trHeight w:val="22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w:t>
            </w:r>
          </w:p>
        </w:tc>
        <w:tc>
          <w:tcPr>
            <w:tcW w:w="92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10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Item 1.</w:t>
            </w:r>
          </w:p>
        </w:tc>
        <w:tc>
          <w:tcPr>
            <w:tcW w:w="926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Financial Condition March 31, 2025 and December 31, 2024</w:t>
            </w:r>
          </w:p>
        </w:tc>
        <w:tc>
          <w:tcPr>
            <w:tcW w:w="960" w:type="dxa"/>
            <w:vAlign w:val="bottom"/>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7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Operations Three-month periods ended March 31, 2025 and 2024</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4</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Three-month periods ended March 31, 2025 and 2024</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5</w:t>
            </w:r>
          </w:p>
        </w:tc>
      </w:tr>
      <w:tr>
        <w:trPr>
          <w:trHeight w:val="193"/>
        </w:trPr>
        <w:tc>
          <w:tcPr>
            <w:tcW w:w="1020" w:type="dxa"/>
            <w:vAlign w:val="bottom"/>
            <w:tcBorders>
              <w:top w:val="single" w:sz="8" w:color="CCEEFF"/>
            </w:tcBorders>
          </w:tcPr>
          <w:p>
            <w:pPr>
              <w:spacing w:after="0"/>
              <w:rPr>
                <w:sz w:val="16"/>
                <w:szCs w:val="16"/>
                <w:color w:val="auto"/>
              </w:rPr>
            </w:pPr>
          </w:p>
        </w:tc>
        <w:tc>
          <w:tcPr>
            <w:tcW w:w="8120" w:type="dxa"/>
            <w:vAlign w:val="bottom"/>
            <w:tcBorders>
              <w:top w:val="single" w:sz="8" w:color="0000FF"/>
            </w:tcBorders>
            <w:gridSpan w:val="14"/>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Cash Flows Three-month periods ended March 31, 2025 and 2024</w:t>
            </w:r>
          </w:p>
        </w:tc>
        <w:tc>
          <w:tcPr>
            <w:tcW w:w="11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6</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0000FF"/>
            </w:tcBorders>
            <w:gridSpan w:val="1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Three-month periods ended March 31, 2025 and 2024</w:t>
            </w:r>
          </w:p>
        </w:tc>
        <w:tc>
          <w:tcPr>
            <w:tcW w:w="1340" w:type="dxa"/>
            <w:vAlign w:val="bottom"/>
            <w:tcBorders>
              <w:bottom w:val="single" w:sz="8" w:color="CCEEFF"/>
            </w:tcBorders>
            <w:gridSpan w:val="2"/>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w:t>
            </w: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94" w:lineRule="exact"/>
              <w:rPr>
                <w:sz w:val="20"/>
                <w:szCs w:val="20"/>
                <w:color w:val="auto"/>
              </w:rPr>
            </w:pPr>
            <w:r>
              <w:rPr>
                <w:rFonts w:ascii="Times New Roman" w:cs="Times New Roman" w:eastAsia="Times New Roman" w:hAnsi="Times New Roman"/>
                <w:sz w:val="17"/>
                <w:szCs w:val="17"/>
                <w:color w:val="0000FF"/>
              </w:rPr>
              <w:t>Notes to Interim Condensed Consolidated Financial Statements</w:t>
            </w:r>
          </w:p>
        </w:tc>
        <w:tc>
          <w:tcPr>
            <w:tcW w:w="9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8-62</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63-79</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614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80</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80</w:t>
            </w:r>
          </w:p>
        </w:tc>
      </w:tr>
      <w:tr>
        <w:trPr>
          <w:trHeight w:val="258"/>
        </w:trPr>
        <w:tc>
          <w:tcPr>
            <w:tcW w:w="1020" w:type="dxa"/>
            <w:vAlign w:val="bottom"/>
            <w:tcBorders>
              <w:top w:val="single" w:sz="8" w:color="CCEE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PART II -</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Information</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20" w:type="dxa"/>
            <w:vAlign w:val="bottom"/>
            <w:tcBorders>
              <w:top w:val="single" w:sz="8" w:color="CCEEFF"/>
            </w:tcBorders>
            <w:gridSpan w:val="1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81</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81</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4140" w:type="dxa"/>
            <w:vAlign w:val="bottom"/>
            <w:tcBorders>
              <w:top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5120" w:type="dxa"/>
            <w:vAlign w:val="bottom"/>
            <w:tcBorders>
              <w:top w:val="single" w:sz="8" w:color="CCEEFF"/>
            </w:tcBorders>
            <w:gridSpan w:val="8"/>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81</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82</w:t>
            </w:r>
          </w:p>
        </w:tc>
      </w:tr>
      <w:tr>
        <w:trPr>
          <w:trHeight w:val="851"/>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580" w:type="dxa"/>
            <w:vAlign w:val="bottom"/>
            <w:tcBorders>
              <w:top w:val="single" w:sz="8" w:color="CCEEFF"/>
            </w:tcBorders>
            <w:gridSpan w:val="8"/>
          </w:tcPr>
          <w:p>
            <w:pPr>
              <w:jc w:val="right"/>
              <w:ind w:right="1340"/>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7"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assumptions underlying the establishment of, and provisions made to, our allowance for credit losses;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services industry, either nationally or regionally;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loan and deposit growth;</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direction of market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services of our management team;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new legislation, which may have significant effects on us and the financial services industry.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2024,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 Item 1.</w:t>
            </w:r>
          </w:p>
        </w:tc>
        <w:tc>
          <w:tcPr>
            <w:tcW w:w="53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INDEPENDENT BANK CORPORATION AND SUBSIDIARIES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3"/>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Condensed Consolidated Statements of Financial Condition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811"/>
              <w:spacing w:after="0"/>
              <w:rPr>
                <w:sz w:val="20"/>
                <w:szCs w:val="20"/>
                <w:color w:val="auto"/>
              </w:rPr>
            </w:pPr>
            <w:r>
              <w:rPr>
                <w:rFonts w:ascii="Times New Roman" w:cs="Times New Roman" w:eastAsia="Times New Roman" w:hAnsi="Times New Roman"/>
                <w:sz w:val="14"/>
                <w:szCs w:val="14"/>
                <w:color w:val="auto"/>
                <w:w w:val="97"/>
              </w:rPr>
              <w:t>(Unaudited)</w:t>
            </w:r>
          </w:p>
        </w:tc>
        <w:tc>
          <w:tcPr>
            <w:tcW w:w="1160" w:type="dxa"/>
            <w:vAlign w:val="bottom"/>
            <w:tcBorders>
              <w:bottom w:val="single" w:sz="8" w:color="auto"/>
            </w:tcBorders>
          </w:tcPr>
          <w:p>
            <w:pPr>
              <w:spacing w:after="0"/>
              <w:rPr>
                <w:sz w:val="16"/>
                <w:szCs w:val="16"/>
                <w:color w:val="auto"/>
              </w:rPr>
            </w:pPr>
          </w:p>
        </w:tc>
      </w:tr>
      <w:tr>
        <w:trPr>
          <w:trHeight w:val="129"/>
        </w:trPr>
        <w:tc>
          <w:tcPr>
            <w:tcW w:w="2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80" w:type="dxa"/>
            <w:vAlign w:val="bottom"/>
            <w:gridSpan w:val="4"/>
          </w:tcPr>
          <w:p>
            <w:pPr>
              <w:jc w:val="center"/>
              <w:ind w:right="211"/>
              <w:spacing w:after="0" w:line="129" w:lineRule="exact"/>
              <w:rPr>
                <w:sz w:val="20"/>
                <w:szCs w:val="20"/>
                <w:color w:val="auto"/>
              </w:rPr>
            </w:pPr>
            <w:r>
              <w:rPr>
                <w:rFonts w:ascii="Times New Roman" w:cs="Times New Roman" w:eastAsia="Times New Roman" w:hAnsi="Times New Roman"/>
                <w:sz w:val="14"/>
                <w:szCs w:val="14"/>
                <w:color w:val="auto"/>
                <w:w w:val="98"/>
              </w:rPr>
              <w:t>(In thousands, except share</w:t>
            </w:r>
          </w:p>
        </w:tc>
      </w:tr>
      <w:tr>
        <w:trPr>
          <w:trHeight w:val="178"/>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3"/>
          </w:tcPr>
          <w:p>
            <w:pPr>
              <w:jc w:val="center"/>
              <w:ind w:left="831"/>
              <w:spacing w:after="0"/>
              <w:rPr>
                <w:sz w:val="20"/>
                <w:szCs w:val="20"/>
                <w:color w:val="auto"/>
              </w:rPr>
            </w:pPr>
            <w:r>
              <w:rPr>
                <w:rFonts w:ascii="Times New Roman" w:cs="Times New Roman" w:eastAsia="Times New Roman" w:hAnsi="Times New Roman"/>
                <w:sz w:val="14"/>
                <w:szCs w:val="14"/>
                <w:color w:val="auto"/>
                <w:w w:val="99"/>
              </w:rPr>
              <w:t>amounts)</w:t>
            </w:r>
          </w:p>
        </w:tc>
        <w:tc>
          <w:tcPr>
            <w:tcW w:w="1160" w:type="dxa"/>
            <w:vAlign w:val="bottom"/>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56,984</w:t>
            </w:r>
          </w:p>
        </w:tc>
      </w:tr>
      <w:tr>
        <w:trPr>
          <w:trHeight w:val="18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62,898</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128,145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119,882</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559,182</w:t>
            </w:r>
          </w:p>
        </w:tc>
      </w:tr>
      <w:tr>
        <w:trPr>
          <w:trHeight w:val="201"/>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$302,579 at March 31, 2025 and $301,860 at December 31, 2024 )</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336,928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339,436</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16,099</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1,992,187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1,512,807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1,516,726</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567,697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584,735</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4,072,691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4,038,825</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(59,379)</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Net Loans</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4,012,656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3,979,446</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37,492</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53,855</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46,796</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9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142,582</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147,547</w:t>
            </w:r>
          </w:p>
        </w:tc>
      </w:tr>
      <w:tr>
        <w:trPr>
          <w:trHeight w:val="193"/>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5,328,428</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5,338,104</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2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989,928</w:t>
            </w:r>
          </w:p>
        </w:tc>
        <w:tc>
          <w:tcPr>
            <w:tcW w:w="8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1,013,647</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2,017,800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1,995,314</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910,526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907,031</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635,172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628,285</w:t>
            </w:r>
          </w:p>
        </w:tc>
      </w:tr>
      <w:tr>
        <w:trPr>
          <w:trHeight w:val="186"/>
        </w:trPr>
        <w:tc>
          <w:tcPr>
            <w:tcW w:w="2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80,505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109,811</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Deposits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4,633,931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4,654,088</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45,009</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39,586</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39,796</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102,788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104,939</w:t>
            </w:r>
          </w:p>
        </w:tc>
      </w:tr>
      <w:tr>
        <w:trPr>
          <w:trHeight w:val="179"/>
        </w:trPr>
        <w:tc>
          <w:tcPr>
            <w:tcW w:w="28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4,861,151</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4,883,418</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68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818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20,970,115 shares at March 31, 2025 and 20,895,714</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4"/>
        </w:trPr>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shares at December 31, 2024</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318,365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318,777</w:t>
            </w: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68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215,995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205,853</w:t>
            </w:r>
          </w:p>
        </w:tc>
      </w:tr>
      <w:tr>
        <w:trPr>
          <w:trHeight w:val="197"/>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(67,083)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(69,944)</w:t>
            </w: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28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467,277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454,686</w:t>
            </w:r>
          </w:p>
        </w:tc>
      </w:tr>
      <w:tr>
        <w:trPr>
          <w:trHeight w:val="193"/>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5,328,428</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5,338,104</w:t>
            </w: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Operations</w:t>
      </w:r>
    </w:p>
    <w:p>
      <w:pPr>
        <w:spacing w:after="0" w:line="209" w:lineRule="exact"/>
        <w:rPr>
          <w:sz w:val="20"/>
          <w:szCs w:val="20"/>
          <w:color w:val="auto"/>
        </w:rPr>
      </w:pPr>
    </w:p>
    <w:tbl>
      <w:tblPr>
        <w:tblLayout w:type="fixed"/>
        <w:tblInd w:w="720" w:type="dxa"/>
        <w:tblCellMar>
          <w:top w:w="0" w:type="dxa"/>
          <w:left w:w="0" w:type="dxa"/>
          <w:bottom w:w="0" w:type="dxa"/>
          <w:right w:w="0" w:type="dxa"/>
        </w:tblCellMar>
      </w:tblPr>
      <w:tr>
        <w:trPr>
          <w:trHeight w:val="178"/>
        </w:trPr>
        <w:tc>
          <w:tcPr>
            <w:tcW w:w="700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0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0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color w:val="auto"/>
              </w:rPr>
              <w:t>(Unaudited)</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2820" w:type="dxa"/>
            <w:vAlign w:val="bottom"/>
            <w:gridSpan w:val="5"/>
          </w:tcPr>
          <w:p>
            <w:pPr>
              <w:jc w:val="right"/>
              <w:ind w:right="271"/>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0" w:type="dxa"/>
            <w:vAlign w:val="bottom"/>
          </w:tcPr>
          <w:p>
            <w:pPr>
              <w:spacing w:after="0"/>
              <w:rPr>
                <w:sz w:val="1"/>
                <w:szCs w:val="1"/>
                <w:color w:val="auto"/>
              </w:rPr>
            </w:pPr>
          </w:p>
        </w:tc>
      </w:tr>
      <w:tr>
        <w:trPr>
          <w:trHeight w:val="17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86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57,768</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55,043</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on securities</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Taxable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5,251</w:t>
            </w:r>
          </w:p>
        </w:tc>
        <w:tc>
          <w:tcPr>
            <w:tcW w:w="0" w:type="dxa"/>
            <w:vAlign w:val="bottom"/>
          </w:tcPr>
          <w:p>
            <w:pPr>
              <w:spacing w:after="0"/>
              <w:rPr>
                <w:sz w:val="1"/>
                <w:szCs w:val="1"/>
                <w:color w:val="auto"/>
              </w:rPr>
            </w:pPr>
          </w:p>
        </w:tc>
      </w:tr>
      <w:tr>
        <w:trPr>
          <w:trHeight w:val="186"/>
        </w:trPr>
        <w:tc>
          <w:tcPr>
            <w:tcW w:w="7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Tax-exempt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3,391</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investments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Total Interest Income</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66,144</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65,126</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22,810</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borrowings and subordinated debt and debentures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2,119</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Total Interest Expense</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22,459</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24,929</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Net Interest Income</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40,197</w:t>
            </w:r>
          </w:p>
        </w:tc>
        <w:tc>
          <w:tcPr>
            <w:tcW w:w="0" w:type="dxa"/>
            <w:vAlign w:val="bottom"/>
          </w:tcPr>
          <w:p>
            <w:pPr>
              <w:spacing w:after="0"/>
              <w:rPr>
                <w:sz w:val="1"/>
                <w:szCs w:val="1"/>
                <w:color w:val="auto"/>
              </w:rPr>
            </w:pPr>
          </w:p>
        </w:tc>
      </w:tr>
      <w:tr>
        <w:trPr>
          <w:trHeight w:val="18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42,964</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39,453</w:t>
            </w:r>
          </w:p>
        </w:tc>
        <w:tc>
          <w:tcPr>
            <w:tcW w:w="0" w:type="dxa"/>
            <w:vAlign w:val="bottom"/>
          </w:tcPr>
          <w:p>
            <w:pPr>
              <w:spacing w:after="0"/>
              <w:rPr>
                <w:sz w:val="1"/>
                <w:szCs w:val="1"/>
                <w:color w:val="auto"/>
              </w:rPr>
            </w:pPr>
          </w:p>
        </w:tc>
      </w:tr>
      <w:tr>
        <w:trPr>
          <w:trHeight w:val="166"/>
        </w:trPr>
        <w:tc>
          <w:tcPr>
            <w:tcW w:w="7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Non-interest Income</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Interchange income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3,151</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2,872</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gains (losses) on assets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Mortgage loans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Mortgage loan servicing,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2,725</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2,718</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Total Non-interest Income</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10,424</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12,561</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20,770</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Data processing</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3,255</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Occupancy,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2,074</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Interchange expense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Advertising</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Loan and collection</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FDIC deposit insurance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86"/>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Communications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Legal and professional</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97"/>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Costs (recoveries) related to unfunded lending commitments</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1,809</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Total Non-interest Expense</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34,262</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32,193</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Income Before Income Tax</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19,126</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19,821</w:t>
            </w:r>
          </w:p>
        </w:tc>
        <w:tc>
          <w:tcPr>
            <w:tcW w:w="0" w:type="dxa"/>
            <w:vAlign w:val="bottom"/>
          </w:tcPr>
          <w:p>
            <w:pPr>
              <w:spacing w:after="0"/>
              <w:rPr>
                <w:sz w:val="1"/>
                <w:szCs w:val="1"/>
                <w:color w:val="auto"/>
              </w:rPr>
            </w:pPr>
          </w:p>
        </w:tc>
      </w:tr>
      <w:tr>
        <w:trPr>
          <w:trHeight w:val="186"/>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Income tax expense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3,830</w:t>
            </w:r>
          </w:p>
        </w:tc>
        <w:tc>
          <w:tcPr>
            <w:tcW w:w="0" w:type="dxa"/>
            <w:vAlign w:val="bottom"/>
          </w:tcPr>
          <w:p>
            <w:pPr>
              <w:spacing w:after="0"/>
              <w:rPr>
                <w:sz w:val="1"/>
                <w:szCs w:val="1"/>
                <w:color w:val="auto"/>
              </w:rPr>
            </w:pPr>
          </w:p>
        </w:tc>
      </w:tr>
      <w:tr>
        <w:trPr>
          <w:trHeight w:val="218"/>
        </w:trPr>
        <w:tc>
          <w:tcPr>
            <w:tcW w:w="7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15,991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00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0.77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0.76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40"/>
          </w:cols>
          <w:pgMar w:left="320" w:top="119" w:right="10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Comprehensive Income</w:t>
      </w:r>
    </w:p>
    <w:p>
      <w:pPr>
        <w:spacing w:after="0" w:line="226"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8"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7"/>
          <w:szCs w:val="17"/>
          <w:color w:val="auto"/>
        </w:rPr>
        <w:t>March 31,</w:t>
      </w:r>
    </w:p>
    <w:p>
      <w:pPr>
        <w:spacing w:after="0" w:line="33" w:lineRule="exact"/>
        <w:rPr>
          <w:sz w:val="20"/>
          <w:szCs w:val="20"/>
          <w:color w:val="auto"/>
        </w:rPr>
      </w:pPr>
    </w:p>
    <w:tbl>
      <w:tblPr>
        <w:tblLayout w:type="fixed"/>
        <w:tblInd w:w="760" w:type="dxa"/>
        <w:tblCellMar>
          <w:top w:w="0" w:type="dxa"/>
          <w:left w:w="0" w:type="dxa"/>
          <w:bottom w:w="0" w:type="dxa"/>
          <w:right w:w="0" w:type="dxa"/>
        </w:tblCellMar>
      </w:tblPr>
      <w:tr>
        <w:trPr>
          <w:trHeight w:val="223"/>
        </w:trPr>
        <w:tc>
          <w:tcPr>
            <w:tcW w:w="6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r>
      <w:tr>
        <w:trPr>
          <w:trHeight w:val="216"/>
        </w:trPr>
        <w:tc>
          <w:tcPr>
            <w:tcW w:w="6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color w:val="auto"/>
              </w:rPr>
              <w:t>(Unaudited - In thousands)</w:t>
            </w:r>
          </w:p>
        </w:tc>
      </w:tr>
      <w:tr>
        <w:trPr>
          <w:trHeight w:val="241"/>
        </w:trPr>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15,991</w:t>
            </w:r>
          </w:p>
        </w:tc>
      </w:tr>
      <w:tr>
        <w:trPr>
          <w:trHeight w:val="219"/>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6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Unrealized gains arising during period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w:t>
            </w:r>
          </w:p>
        </w:tc>
      </w:tr>
      <w:tr>
        <w:trPr>
          <w:trHeight w:val="258"/>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of net unrealized losses on securities transferred to held to maturity</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w:t>
            </w:r>
          </w:p>
        </w:tc>
      </w:tr>
      <w:tr>
        <w:trPr>
          <w:trHeight w:val="258"/>
        </w:trPr>
        <w:tc>
          <w:tcPr>
            <w:tcW w:w="6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adjustments for losses included in earnings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38"/>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recognized in other comprehensive income on securities available for sale</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2,613</w:t>
            </w:r>
          </w:p>
        </w:tc>
      </w:tr>
      <w:tr>
        <w:trPr>
          <w:trHeight w:val="219"/>
        </w:trPr>
        <w:tc>
          <w:tcPr>
            <w:tcW w:w="6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w:t>
            </w:r>
          </w:p>
        </w:tc>
      </w:tr>
      <w:tr>
        <w:trPr>
          <w:trHeight w:val="196"/>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recognized in other comprehensive income on securities available for sale,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of tax</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w:t>
            </w:r>
          </w:p>
        </w:tc>
      </w:tr>
      <w:tr>
        <w:trPr>
          <w:trHeight w:val="199"/>
        </w:trPr>
        <w:tc>
          <w:tcPr>
            <w:tcW w:w="6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instruments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8"/>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r>
      <w:tr>
        <w:trPr>
          <w:trHeight w:val="258"/>
        </w:trPr>
        <w:tc>
          <w:tcPr>
            <w:tcW w:w="6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 for expense recognized in earnings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196"/>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on derivative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instruments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58"/>
        </w:trPr>
        <w:tc>
          <w:tcPr>
            <w:tcW w:w="6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196"/>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on derivative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instruments, net of tax</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12"/>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37"/>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20"/>
          </w:cols>
          <w:pgMar w:left="320" w:top="119" w:right="10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50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6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9"/>
        </w:trPr>
        <w:tc>
          <w:tcPr>
            <w:tcW w:w="8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5"/>
                <w:szCs w:val="15"/>
                <w:color w:val="auto"/>
              </w:rPr>
            </w:pPr>
          </w:p>
        </w:tc>
      </w:tr>
      <w:tr>
        <w:trPr>
          <w:trHeight w:val="186"/>
        </w:trPr>
        <w:tc>
          <w:tcPr>
            <w:tcW w:w="8180" w:type="dxa"/>
            <w:vAlign w:val="bottom"/>
          </w:tcPr>
          <w:p>
            <w:pPr>
              <w:spacing w:after="0"/>
              <w:rPr>
                <w:sz w:val="16"/>
                <w:szCs w:val="16"/>
                <w:color w:val="auto"/>
              </w:rPr>
            </w:pPr>
          </w:p>
        </w:tc>
        <w:tc>
          <w:tcPr>
            <w:tcW w:w="250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color w:val="auto"/>
              </w:rPr>
              <w:t>(Unaudited - In thousands)</w:t>
            </w:r>
          </w:p>
        </w:tc>
        <w:tc>
          <w:tcPr>
            <w:tcW w:w="560" w:type="dxa"/>
            <w:vAlign w:val="bottom"/>
          </w:tcPr>
          <w:p>
            <w:pPr>
              <w:spacing w:after="0"/>
              <w:rPr>
                <w:sz w:val="16"/>
                <w:szCs w:val="16"/>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15,991</w:t>
            </w: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
        </w:trPr>
        <w:tc>
          <w:tcPr>
            <w:tcW w:w="8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75,999</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75,178</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(75,684)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(70,800)</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loan fees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7"/>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depreciation, amortization of intangible assets and premiums and accretion of discounts on securities and loans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w:t>
            </w:r>
          </w:p>
        </w:tc>
      </w:tr>
      <w:tr>
        <w:trPr>
          <w:trHeight w:val="20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on securities available for sale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income and other assets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accrued expenses and other liabilities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Total Adjustments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16,109</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w:t>
            </w: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31,699</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20,833</w:t>
            </w: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Investing Activities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
        </w:trPr>
        <w:tc>
          <w:tcPr>
            <w:tcW w:w="8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37,273</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held to maturity previously charged off</w:t>
            </w:r>
          </w:p>
        </w:tc>
        <w:tc>
          <w:tcPr>
            <w:tcW w:w="9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27,484</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Federal Home Loan Bank stock</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(58,407)</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9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Investing Activities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17,691</w:t>
            </w:r>
          </w:p>
        </w:tc>
      </w:tr>
      <w:tr>
        <w:trPr>
          <w:trHeight w:val="17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Used in Financing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decrease in total deposits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(40,465)</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other borrowings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(26,770)</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(46,461)</w:t>
            </w:r>
          </w:p>
        </w:tc>
      </w:tr>
      <w:tr>
        <w:trPr>
          <w:trHeight w:val="179"/>
        </w:trPr>
        <w:tc>
          <w:tcPr>
            <w:tcW w:w="8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(7,937)</w:t>
            </w: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r>
      <w:tr>
        <w:trPr>
          <w:trHeight w:val="193"/>
        </w:trPr>
        <w:tc>
          <w:tcPr>
            <w:tcW w:w="8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128,145</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161,844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9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21,576</w:t>
            </w:r>
          </w:p>
        </w:tc>
        <w:tc>
          <w:tcPr>
            <w:tcW w:w="80" w:type="dxa"/>
            <w:vAlign w:val="bottom"/>
          </w:tcPr>
          <w:p>
            <w:pPr>
              <w:spacing w:after="0"/>
              <w:rPr>
                <w:sz w:val="16"/>
                <w:szCs w:val="16"/>
                <w:color w:val="auto"/>
              </w:rPr>
            </w:pPr>
          </w:p>
        </w:tc>
        <w:tc>
          <w:tcPr>
            <w:tcW w:w="92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24,962</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Accumulated</w:t>
            </w: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15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Comprehensive 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35"/>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454,686</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March 31, 2025</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$0.26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1,093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106,099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29"/>
        </w:trPr>
        <w:tc>
          <w:tcPr>
            <w:tcW w:w="4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33,398 shares of</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2025</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318,365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215,995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(67,083)</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467,277</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317,483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159,108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(72,142)</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404,449</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March 31, 2024</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15,991</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$0.24 per share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102,324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29"/>
        </w:trPr>
        <w:tc>
          <w:tcPr>
            <w:tcW w:w="4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39,683 shares of</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170,100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(71,629)</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415,570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7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Financial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interim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interim condensed consolidated financial statements should be read in conjunction with the audited consolidated financial statements and notes for the year ended December 31, 2024 included in our Annual Report on Form 10-K.</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opinion, the accompanying unaudited interim condensed consolidated financial statements contain all the adjustments necessary to present fairly our consolidated financial condition as of March 31, 2025 and December 31, 2024, and the results of operations for the three-month periods ended March 31, 2025 and 2024. The results of operations for the three-month periods ended March 31, 2025, are not necessarily indicative of the results to be expected for the full year. Certain reclassifications have been made in the prior period interim condensed consolidated financial statements to conform to the current period presentation. Our critical accounting policies include the determination of the allowance for credit losses (“ACL”) and the valuation of capitalized mortgage loan servicing rights. Refer to our 2024 Annual Report on Form 10-K for a disclosure of our accounting policies.</w:t>
      </w:r>
    </w:p>
    <w:p>
      <w:pPr>
        <w:spacing w:after="0" w:line="147"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Accounting Standards</w:t>
      </w:r>
    </w:p>
    <w:p>
      <w:pPr>
        <w:spacing w:after="0" w:line="17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annual reporting periods beginning after December 15, 2024, with early adoption permitted. The adoption of this ASU on January 1, 2025, did not have a material impact on our interim Condensed Consolidated Financial Statements.</w:t>
      </w:r>
    </w:p>
    <w:p>
      <w:pPr>
        <w:spacing w:after="0" w:line="14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December, 2024, the FASB issued ASU 2024-03, "Income Statement - Reporting Comprehensive Income - Expense Disaggregation Disclosures (Subtopic 220-40): Disaggregation of Income Statement Expenses". This ASU requires public business entities to disaggregate certain expense captions into specific categories in disclosures within the footnotes to the consolidated financial statements. This ASU takes effect in annual reporting periods beginning after December 15, 2026, and interim reporting periods within annual reporting periods beginning after December 15, 2027, with early adoption permitted. We do not expect the adoption of this ASU to have a material impact on our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  Securities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available for sale (“AFS”) consist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Amortized</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Unrealized</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5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8,674</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69,582</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11,276</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49,259</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36,036</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284,250</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69,620</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0" w:type="dxa"/>
            <w:vAlign w:val="bottom"/>
          </w:tcPr>
          <w:p>
            <w:pPr>
              <w:spacing w:after="0"/>
              <w:rPr>
                <w:sz w:val="1"/>
                <w:szCs w:val="1"/>
                <w:color w:val="auto"/>
              </w:rPr>
            </w:pPr>
          </w:p>
        </w:tc>
      </w:tr>
      <w:tr>
        <w:trPr>
          <w:trHeight w:val="237"/>
        </w:trPr>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529,676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8,858</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8,159</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71,137</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70,035</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38,516</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288,791</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69,921</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621,588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62,749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559,182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held to maturity (“HTM”)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7"/>
                <w:szCs w:val="17"/>
                <w:color w:val="auto"/>
              </w:rPr>
              <w:t>Unrealized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color w:val="auto"/>
              </w:rPr>
              <w:t>Amortized</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(1)</w:t>
            </w: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Gains</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20,967</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84,299</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7,047</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142,294</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43,258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336,928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352,422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302,579</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20,567</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84,738</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142,151</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42,696</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339,436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355,739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301,860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64" w:lineRule="exact"/>
        <w:rPr>
          <w:sz w:val="20"/>
          <w:szCs w:val="20"/>
          <w:color w:val="auto"/>
        </w:rPr>
      </w:pPr>
    </w:p>
    <w:tbl>
      <w:tblPr>
        <w:tblLayout w:type="fixed"/>
        <w:tblInd w:w="2680" w:type="dxa"/>
        <w:tblCellMar>
          <w:top w:w="0" w:type="dxa"/>
          <w:left w:w="0" w:type="dxa"/>
          <w:bottom w:w="0" w:type="dxa"/>
          <w:right w:w="0" w:type="dxa"/>
        </w:tblCellMar>
      </w:tblPr>
      <w:tr>
        <w:trPr>
          <w:trHeight w:val="223"/>
        </w:trPr>
        <w:tc>
          <w:tcPr>
            <w:tcW w:w="286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Less Than Twelve Months</w:t>
            </w:r>
          </w:p>
        </w:tc>
        <w:tc>
          <w:tcPr>
            <w:tcW w:w="29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Twelve Months or More</w:t>
            </w:r>
          </w:p>
        </w:tc>
        <w:tc>
          <w:tcPr>
            <w:tcW w:w="1120" w:type="dxa"/>
            <w:vAlign w:val="bottom"/>
          </w:tcPr>
          <w:p>
            <w:pPr>
              <w:spacing w:after="0"/>
              <w:rPr>
                <w:sz w:val="19"/>
                <w:szCs w:val="19"/>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r>
      <w:tr>
        <w:trPr>
          <w:trHeight w:val="160"/>
        </w:trPr>
        <w:tc>
          <w:tcPr>
            <w:tcW w:w="13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8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left="234"/>
              <w:spacing w:after="0" w:line="161" w:lineRule="exact"/>
              <w:rPr>
                <w:sz w:val="20"/>
                <w:szCs w:val="20"/>
                <w:color w:val="auto"/>
              </w:rPr>
            </w:pPr>
            <w:r>
              <w:rPr>
                <w:rFonts w:ascii="Times New Roman" w:cs="Times New Roman" w:eastAsia="Times New Roman" w:hAnsi="Times New Roman"/>
                <w:sz w:val="17"/>
                <w:szCs w:val="17"/>
                <w:color w:val="auto"/>
              </w:rPr>
              <w:t>Unrealized</w:t>
            </w:r>
          </w:p>
        </w:tc>
      </w:tr>
      <w:tr>
        <w:trPr>
          <w:trHeight w:val="232"/>
        </w:trPr>
        <w:tc>
          <w:tcPr>
            <w:tcW w:w="1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Fair Value</w:t>
            </w: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Losses</w:t>
            </w:r>
          </w:p>
        </w:tc>
        <w:tc>
          <w:tcPr>
            <w:tcW w:w="1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9"/>
              </w:rPr>
              <w:t>Losses</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68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0</wp:posOffset>
            </wp:positionV>
            <wp:extent cx="5443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7"/>
          <w:szCs w:val="17"/>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33"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62" w:lineRule="exact"/>
        <w:rPr>
          <w:sz w:val="20"/>
          <w:szCs w:val="20"/>
          <w:color w:val="auto"/>
        </w:rPr>
      </w:pPr>
    </w:p>
    <w:p>
      <w:pPr>
        <w:ind w:left="320" w:right="320" w:hanging="154"/>
        <w:spacing w:after="0" w:line="284"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1" w:lineRule="exact"/>
        <w:rPr>
          <w:sz w:val="20"/>
          <w:szCs w:val="20"/>
          <w:color w:val="auto"/>
        </w:rPr>
      </w:pPr>
    </w:p>
    <w:p>
      <w:pPr>
        <w:ind w:left="320" w:right="220" w:hanging="154"/>
        <w:spacing w:after="0" w:line="284"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560"/>
        <w:spacing w:after="0" w:line="316"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60" w:hanging="154"/>
        <w:spacing w:after="0" w:line="284"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62" w:lineRule="exact"/>
        <w:rPr>
          <w:sz w:val="20"/>
          <w:szCs w:val="20"/>
          <w:color w:val="auto"/>
        </w:rPr>
      </w:pPr>
    </w:p>
    <w:p>
      <w:pPr>
        <w:ind w:left="320" w:right="320" w:hanging="154"/>
        <w:spacing w:after="0" w:line="284"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1" w:lineRule="exact"/>
        <w:rPr>
          <w:sz w:val="20"/>
          <w:szCs w:val="20"/>
          <w:color w:val="auto"/>
        </w:rPr>
      </w:pPr>
    </w:p>
    <w:p>
      <w:pPr>
        <w:ind w:left="320" w:right="220" w:hanging="154"/>
        <w:spacing w:after="0" w:line="284"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560"/>
        <w:spacing w:after="0" w:line="316"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60" w:hanging="154"/>
        <w:spacing w:after="0" w:line="284"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1,283</w:t>
            </w: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7,256</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8,539</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152</w:t>
            </w:r>
          </w:p>
        </w:tc>
        <w:tc>
          <w:tcPr>
            <w:tcW w:w="6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56,115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8,390</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48,229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48,229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4,531</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29,153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353</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283,897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43,173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284,250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43,189</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1,484</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68,136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69,620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w:t>
            </w:r>
          </w:p>
        </w:tc>
      </w:tr>
      <w:tr>
        <w:trPr>
          <w:trHeight w:val="257"/>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7,803</w:t>
            </w: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500,358</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60,791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508,161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60,852</w:t>
            </w:r>
          </w:p>
        </w:tc>
      </w:tr>
      <w:tr>
        <w:trPr>
          <w:trHeight w:val="20"/>
        </w:trPr>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01"/>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324</w:t>
            </w: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tcPr>
          <w:p>
            <w:pPr>
              <w:spacing w:after="0"/>
              <w:rPr>
                <w:sz w:val="24"/>
                <w:szCs w:val="24"/>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100" w:type="dxa"/>
            <w:vAlign w:val="bottom"/>
          </w:tcPr>
          <w:p>
            <w:pPr>
              <w:spacing w:after="0"/>
              <w:rPr>
                <w:sz w:val="24"/>
                <w:szCs w:val="24"/>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147</w:t>
            </w:r>
          </w:p>
        </w:tc>
        <w:tc>
          <w:tcPr>
            <w:tcW w:w="6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61,219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61,366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9,499</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2,551</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68,962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3,984</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464"/>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221</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288,570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288,791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42,097</w:t>
            </w:r>
          </w:p>
        </w:tc>
      </w:tr>
      <w:tr>
        <w:trPr>
          <w:trHeight w:val="258"/>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1,473</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69,921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w:t>
            </w:r>
          </w:p>
        </w:tc>
      </w:tr>
      <w:tr>
        <w:trPr>
          <w:trHeight w:val="257"/>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8,700</w:t>
            </w: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531,888</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62,697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540,588</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62,749</w:t>
            </w:r>
          </w:p>
        </w:tc>
      </w:tr>
      <w:tr>
        <w:trPr>
          <w:trHeight w:val="20"/>
        </w:trPr>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-3593465</wp:posOffset>
            </wp:positionV>
            <wp:extent cx="7138670" cy="294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-3134995</wp:posOffset>
            </wp:positionV>
            <wp:extent cx="7138670"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-2676525</wp:posOffset>
            </wp:positionV>
            <wp:extent cx="7138670" cy="16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-2021205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-1718310</wp:posOffset>
            </wp:positionV>
            <wp:extent cx="7138670" cy="294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-1129030</wp:posOffset>
            </wp:positionV>
            <wp:extent cx="713867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-801370</wp:posOffset>
            </wp:positionV>
            <wp:extent cx="7138670" cy="294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-342900</wp:posOffset>
            </wp:positionV>
            <wp:extent cx="7138670" cy="343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34353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-2348865</wp:posOffset>
            </wp:positionV>
            <wp:extent cx="713867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19" w:right="339" w:bottom="1440" w:gutter="0" w:footer="0" w:header="0"/>
          <w:type w:val="continuous"/>
        </w:sectPr>
      </w:pP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March 31, 2025 and December 31, 2024. Accrued interest receivable on securities AFS totaled $3.3 million and $3.9 million at March 31, 2025 and December 31, 2024, respectively,</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is excluded from the estimate of credit losses and is included in accrued income and other assets in the interim Condensed Consolidated Statements of Financial Condition.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agency, U.S. agency residential mortgage-backed and U.S. agency commercial mortgage-backed securities — at March 31, 2025, we had 30 U.S. agency, 98 U.S. agency residential mortgage-backed and 10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label mortgage backed, other asset backed and corporate securities — at March 31, 2025, we had 60 private label mortgage backed, 43 other asset backed, and 72 corporate securities whose fair value is less than amortized cost. The unrealized losses are primarily due to credit spread widening and/or an increase in interest rates since acquisition.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 — at March 31, 2025, we had 308 municipal securities whose fair value is less than amortized cost. The unrealized losses are primarily due to an increase in interest rates since acquisition.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Trust preferred securities — at March 31, 2025,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2025 management does not intend to liquidate any of the securities discussed above and it is more likely than not that we will not be required to sell these securities prior to recovery of these unrealized losses.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no credit related charges in our interim Condensed Consolidated Statements of Operations related to securities AFS during the three month periods ended March 31, 2025 and 2024, respectively.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totaled $1.9 million and $1.7 million at March 31, 2025 and December 31, 2024, respectively and is excluded from the estimate of credit losses and is included in accrued income and other assets in the interim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full charge-off. Subsequent to this security's charge-off, a portion of its fair value had recovered and was subsequently sold during the first quarter of 2024 for $1.1 million during which period we recorded that amount as a recovery to the ACL. Despite this lone security loss, the long-term historical loss rates associated with securities having similar grades as those in our portfolio have been insignificant. Furthermore, as of March 31, 2025 and December 31, 2024, there were no past due principal and interest payments associated with these securities. At those same dates an allowance for credit losses of $129,000 and $132,000,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a quarterly basis, we monitor the credit quality of securities HTM through the use of credit ratings. The carrying value of securities HTM aggregated by credit quality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48"/>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500" w:type="dxa"/>
            <w:vAlign w:val="bottom"/>
            <w:shd w:val="clear" w:color="auto" w:fill="CCEEFF"/>
          </w:tcPr>
          <w:p>
            <w:pPr>
              <w:jc w:val="center"/>
              <w:ind w:right="2274"/>
              <w:spacing w:after="0"/>
              <w:rPr>
                <w:sz w:val="20"/>
                <w:szCs w:val="20"/>
                <w:color w:val="auto"/>
              </w:rPr>
            </w:pPr>
            <w:r>
              <w:rPr>
                <w:rFonts w:ascii="Times New Roman" w:cs="Times New Roman" w:eastAsia="Times New Roman" w:hAnsi="Times New Roman"/>
                <w:sz w:val="17"/>
                <w:szCs w:val="17"/>
                <w:color w:val="auto"/>
              </w:rPr>
              <w:t>March 31, 2025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41,926</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102,609</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6,963</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36,754</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20,014</w:t>
            </w:r>
          </w:p>
        </w:tc>
      </w:tr>
      <w:tr>
        <w:trPr>
          <w:trHeight w:val="237"/>
        </w:trPr>
        <w:tc>
          <w:tcPr>
            <w:tcW w:w="35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210,233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101,112</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8,478</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36,697</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37"/>
        </w:trPr>
        <w:tc>
          <w:tcPr>
            <w:tcW w:w="3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210,573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23"/>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three months ended March 31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Obligations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of States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and Political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rPr>
              <w:t>Trust</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Subdivisions</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7"/>
                <w:szCs w:val="17"/>
                <w:color w:val="auto"/>
              </w:rPr>
              <w:t>Preferred</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4"/>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5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 amortized cost and fair value of securities AFS and securities HTM at March 31, 2025, by contractual maturity, follow:</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9"/>
          </w:tcPr>
          <w:p>
            <w:pPr>
              <w:ind w:left="800"/>
              <w:spacing w:after="0"/>
              <w:rPr>
                <w:sz w:val="20"/>
                <w:szCs w:val="20"/>
                <w:color w:val="auto"/>
              </w:rPr>
            </w:pPr>
            <w:r>
              <w:rPr>
                <w:rFonts w:ascii="Times New Roman" w:cs="Times New Roman" w:eastAsia="Times New Roman" w:hAnsi="Times New Roman"/>
                <w:sz w:val="17"/>
                <w:szCs w:val="17"/>
                <w:color w:val="auto"/>
              </w:rPr>
              <w:t>Securities AFS</w:t>
            </w:r>
          </w:p>
        </w:tc>
        <w:tc>
          <w:tcPr>
            <w:tcW w:w="34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Securities HTM</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60"/>
              <w:spacing w:after="0" w:line="170" w:lineRule="exact"/>
              <w:rPr>
                <w:sz w:val="20"/>
                <w:szCs w:val="20"/>
                <w:color w:val="auto"/>
              </w:rPr>
            </w:pPr>
            <w:r>
              <w:rPr>
                <w:rFonts w:ascii="Times New Roman" w:cs="Times New Roman" w:eastAsia="Times New Roman" w:hAnsi="Times New Roman"/>
                <w:sz w:val="17"/>
                <w:szCs w:val="17"/>
                <w:color w:val="auto"/>
              </w:rPr>
              <w:t>Amortized</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14"/>
              <w:spacing w:after="0" w:line="170" w:lineRule="exact"/>
              <w:rPr>
                <w:sz w:val="20"/>
                <w:szCs w:val="20"/>
                <w:color w:val="auto"/>
              </w:rPr>
            </w:pPr>
            <w:r>
              <w:rPr>
                <w:rFonts w:ascii="Times New Roman" w:cs="Times New Roman" w:eastAsia="Times New Roman" w:hAnsi="Times New Roman"/>
                <w:sz w:val="17"/>
                <w:szCs w:val="17"/>
                <w:color w:val="auto"/>
              </w:rPr>
              <w:t>Fair</w:t>
            </w:r>
          </w:p>
        </w:tc>
        <w:tc>
          <w:tcPr>
            <w:tcW w:w="8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jc w:val="center"/>
              <w:ind w:right="460"/>
              <w:spacing w:after="0" w:line="170" w:lineRule="exact"/>
              <w:rPr>
                <w:sz w:val="20"/>
                <w:szCs w:val="20"/>
                <w:color w:val="auto"/>
              </w:rPr>
            </w:pPr>
            <w:r>
              <w:rPr>
                <w:rFonts w:ascii="Times New Roman" w:cs="Times New Roman" w:eastAsia="Times New Roman" w:hAnsi="Times New Roman"/>
                <w:sz w:val="17"/>
                <w:szCs w:val="17"/>
                <w:color w:val="auto"/>
              </w:rPr>
              <w:t>Amortized</w:t>
            </w:r>
          </w:p>
        </w:tc>
        <w:tc>
          <w:tcPr>
            <w:tcW w:w="5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434"/>
              <w:spacing w:after="0" w:line="170" w:lineRule="exact"/>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Cost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7"/>
                <w:szCs w:val="17"/>
                <w:color w:val="auto"/>
                <w:w w:val="98"/>
              </w:rPr>
              <w:t>Value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7"/>
                <w:szCs w:val="17"/>
                <w:color w:val="auto"/>
                <w:w w:val="96"/>
              </w:rPr>
              <w:t>Cost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8"/>
          </w:tcPr>
          <w:p>
            <w:pPr>
              <w:ind w:left="840"/>
              <w:spacing w:after="0"/>
              <w:rPr>
                <w:sz w:val="20"/>
                <w:szCs w:val="20"/>
                <w:color w:val="auto"/>
              </w:rPr>
            </w:pPr>
            <w:r>
              <w:rPr>
                <w:rFonts w:ascii="Times New Roman" w:cs="Times New Roman" w:eastAsia="Times New Roman" w:hAnsi="Times New Roman"/>
                <w:sz w:val="17"/>
                <w:szCs w:val="17"/>
                <w:color w:val="auto"/>
              </w:rPr>
              <w:t>(In thousands)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within one year</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34,413</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11,560</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Maturing after one year but within five years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49,785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after five years but within ten years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85,659</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Maturing after ten years</w:t>
            </w:r>
          </w:p>
        </w:tc>
        <w:tc>
          <w:tcPr>
            <w:tcW w:w="11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200,619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167,351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72,405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60,515</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233,711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207,519</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84,299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 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36,036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590,156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529,676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352,422</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302,579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three month periods ending March 31,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Realized</w:t>
            </w:r>
          </w:p>
        </w:tc>
        <w:tc>
          <w:tcPr>
            <w:tcW w:w="1100" w:type="dxa"/>
            <w:vAlign w:val="bottom"/>
            <w:tcBorders>
              <w:bottom w:val="single" w:sz="8" w:color="auto"/>
            </w:tcBorders>
          </w:tcPr>
          <w:p>
            <w:pPr>
              <w:spacing w:after="0"/>
              <w:rPr>
                <w:sz w:val="19"/>
                <w:szCs w:val="19"/>
                <w:color w:val="auto"/>
              </w:rPr>
            </w:pPr>
          </w:p>
        </w:tc>
      </w:tr>
      <w:tr>
        <w:trPr>
          <w:trHeight w:val="212"/>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Gains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Losses</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20" w:type="dxa"/>
            <w:vAlign w:val="bottom"/>
            <w:shd w:val="clear" w:color="auto" w:fill="CCEEFF"/>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2025</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22,503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23"/>
        </w:trPr>
        <w:tc>
          <w:tcPr>
            <w:tcW w:w="6620" w:type="dxa"/>
            <w:vAlign w:val="bottom"/>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2024</w:t>
            </w:r>
          </w:p>
        </w:tc>
        <w:tc>
          <w:tcPr>
            <w:tcW w:w="2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37,273</w:t>
            </w:r>
          </w:p>
        </w:tc>
        <w:tc>
          <w:tcPr>
            <w:tcW w:w="18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ACL by portfolio segment for the three months ended March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59,379</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24,297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60,035</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18,982</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Total Non-</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Performing</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Loss</w:t>
            </w: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Accrual</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Accruing</w:t>
            </w:r>
          </w:p>
        </w:tc>
        <w:tc>
          <w:tcPr>
            <w:tcW w:w="22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20" w:hanging="317"/>
        <w:spacing w:after="0" w:line="263"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commercial and industrial loans exclude $0.002 million and $0.005 million of government guaranteed loans at March 31, 2025 and December 31, 2024, respectively.</w:t>
      </w:r>
    </w:p>
    <w:p>
      <w:pPr>
        <w:ind w:left="320" w:hanging="317"/>
        <w:spacing w:after="0" w:line="266"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1-4 family owner occupied – non jumbo loans exclude $1.938 million and $1.785 million of government guaranteed loans at March 31, 2025 and December 31, 2024, respectively.</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provides collateral information by class of loan for collateral-dependent loans with specific allocations to the ACL. A loan is considered to be collateral dependent when the borrower is experiencing financial difficulty and the repayment is expected to be provided substantially through the operation or sale of collateral.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The amortized cost of collateral-dependent loans by class follows: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6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w w:val="99"/>
              </w:rPr>
              <w:t>Collateral Type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42"/>
        </w:trPr>
        <w:tc>
          <w:tcPr>
            <w:tcW w:w="66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9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Real</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6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Estate</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354"/>
              <w:spacing w:after="0"/>
              <w:rPr>
                <w:sz w:val="20"/>
                <w:szCs w:val="20"/>
                <w:color w:val="auto"/>
              </w:rPr>
            </w:pPr>
            <w:r>
              <w:rPr>
                <w:rFonts w:ascii="Times New Roman" w:cs="Times New Roman" w:eastAsia="Times New Roman" w:hAnsi="Times New Roman"/>
                <w:sz w:val="17"/>
                <w:szCs w:val="17"/>
                <w:color w:val="auto"/>
              </w:rPr>
              <w:t>Other (1)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Credit Losses</w:t>
            </w:r>
          </w:p>
        </w:tc>
        <w:tc>
          <w:tcPr>
            <w:tcW w:w="0" w:type="dxa"/>
            <w:vAlign w:val="bottom"/>
          </w:tcPr>
          <w:p>
            <w:pPr>
              <w:spacing w:after="0"/>
              <w:rPr>
                <w:sz w:val="1"/>
                <w:szCs w:val="1"/>
                <w:color w:val="auto"/>
              </w:rPr>
            </w:pPr>
          </w:p>
        </w:tc>
      </w:tr>
      <w:tr>
        <w:trPr>
          <w:trHeight w:val="21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9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9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700" w:right="2520" w:hanging="5697"/>
        <w:spacing w:after="0" w:line="698" w:lineRule="auto"/>
        <w:tabs>
          <w:tab w:leader="none" w:pos="2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and industrial loan collateral generally includes machinery and equipment, accounts receivable, and inventory.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-183515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An aging analysis of loans by class follows: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16"/>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1,055,007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1,055,134</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937,053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937,053</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875,597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877,738</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289,805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293,404</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171,902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172,178</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138,767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140,034</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29,453</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258,795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259,497</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214,946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215,942</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91,872</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92,258</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4,063,054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4,072,691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1,001,197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1,001,329</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936,035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936,035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872,652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875,551</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292,893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299,142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176,950</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132,888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133,947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264,341</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224,537</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95,443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95,857</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4,025,926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4,038,825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13,352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13,461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2025 there were two mortgage - 1-4 family owner occupied - non-jumbo loans modified to borrowers experiencing financial difficulty totaling $0.11 million (0.1% of the total loan class). Both of the loan modifications to borrowers experiencing financial difficulty during the three months ended March 31, 2025 related to term extensions and added a weighted average 12.0 years to the life of the loans. One of the loans modified during the three months ended March 31, 2025 also received a 4.75% interest rate reduction. Both of the loans modified during the three months ended March 31, 2025 were on non-accrual status.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2024 there were two mortgage - 1-4 family owner occupied - non-jumbo loans, one mortgage 1-4 family - 2nd lien loan, and one installment - other loan modified to borrowers experiencing financial difficulty totaling $0.31 million (0.1% of the total loan class), $0.07 million (0.1% of the total loan class), and $0.01 million (0.1% of the total loan class), respectively. All of the loan modifications to borrowers experiencing financial difficulty during the three months ended March 31, 2024 related to term extensions and added a weighted average 7.2 years to the life of the loans. All of the loans modified during the three months ended March 31, 2024 were on non-accrual status.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2025, none of the loans that were modified to borrowers experiencing financial difficulty within the past 12 months have subsequently defaulted.</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Credit Quality Indicators </w:t>
      </w:r>
      <w:r>
        <w:rPr>
          <w:rFonts w:ascii="Times New Roman" w:cs="Times New Roman" w:eastAsia="Times New Roman" w:hAnsi="Times New Roman"/>
          <w:sz w:val="17"/>
          <w:szCs w:val="17"/>
          <w:color w:val="auto"/>
        </w:rPr>
        <w:t>– As part of our on-going monitoring of the credit quality of our loan portfolios, we track certain credit quality indicators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 grade of commercial loans, (b) the level of classified commercial loans, (c) credit scores of mortgage and installment loan borrowers, and (d) delinquency history and non-performing loans.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commercial loans, we use a loan rating system that is similar to those employed by state and federal banking regulators. Loans are graded on a scale of 1 to 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the general characteristics of the ratings follows:</w:t>
      </w:r>
    </w:p>
    <w:p>
      <w:pPr>
        <w:spacing w:after="0" w:line="1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 through 6</w:t>
      </w:r>
      <w:r>
        <w:rPr>
          <w:rFonts w:ascii="Times New Roman" w:cs="Times New Roman" w:eastAsia="Times New Roman" w:hAnsi="Times New Roman"/>
          <w:sz w:val="17"/>
          <w:szCs w:val="17"/>
          <w:color w:val="auto"/>
        </w:rPr>
        <w:t>: These loans are generally referred to as our “non-watch” commercial credits that include very high or exceptional credit fundamentals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credit fundamentals.</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7 and 8</w:t>
      </w:r>
      <w:r>
        <w:rPr>
          <w:rFonts w:ascii="Times New Roman" w:cs="Times New Roman" w:eastAsia="Times New Roman" w:hAnsi="Times New Roman"/>
          <w:sz w:val="17"/>
          <w:szCs w:val="17"/>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9</w:t>
      </w:r>
      <w:r>
        <w:rPr>
          <w:rFonts w:ascii="Times New Roman" w:cs="Times New Roman" w:eastAsia="Times New Roman" w:hAnsi="Times New Roman"/>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10 and 11</w:t>
      </w:r>
      <w:r>
        <w:rPr>
          <w:rFonts w:ascii="Times New Roman" w:cs="Times New Roman" w:eastAsia="Times New Roman" w:hAnsi="Times New Roman"/>
          <w:sz w:val="17"/>
          <w:szCs w:val="17"/>
          <w:color w:val="auto"/>
        </w:rPr>
        <w:t>: These loans are generally referred to as our ‘‘substandard - non-accrual’’ and ‘‘doubtful’’ commercial credits. These ratings include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with weaknesses that make collection of the loan in full, on the basis of current facts, conditions and values at best questionable and at worst improbable. All of these loans are placed in non-accrual.</w:t>
      </w:r>
    </w:p>
    <w:p>
      <w:pPr>
        <w:spacing w:after="0" w:line="13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12</w:t>
      </w:r>
      <w:r>
        <w:rPr>
          <w:rFonts w:ascii="Times New Roman" w:cs="Times New Roman" w:eastAsia="Times New Roman" w:hAnsi="Times New Roman"/>
          <w:sz w:val="17"/>
          <w:szCs w:val="17"/>
          <w:color w:val="auto"/>
        </w:rPr>
        <w:t>: These loans are generally referred to as our “loss” commercial credits. This rating includes loans to borrowers that are deemed incapable of repayment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are charged-off.</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loan ratings by loan class for our commercial portfolio loan segment at March 31, 2025 and December 31,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8"/>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Revolving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128,312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256,218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1,014,004</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27,760</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13,243</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1,055,134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32,280</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147,110</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227,350</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168,424</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73,328</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195,494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50,866</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894,852</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40,989</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32,280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147,949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227,754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184,801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73,461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201,549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69,259</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937,053</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307,084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1,908,856</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68,749</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14,455</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1,992,187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Amortized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2020</w:t>
            </w: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Prior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Cost Basis</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7"/>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183,261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71,225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242,573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955,973</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31,732</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13,570</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142,377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1,001,329</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153,321</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75,053</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166,966</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72,879</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896,732</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38,486</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169,328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75,188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172,048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936,035</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1,852,705</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70,218</w:t>
            </w: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14,387</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credit scores by loan class for our mortgage and installment loan portfolio segments at March 31, 2025 and December 31,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4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4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2025</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139,092</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478,809</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166,068</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67,088</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17,389</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63,929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78,586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207,290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329,843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182,068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877,738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117,558</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64,891</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37,642</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61,710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46,886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111,840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293,404</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12,418</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47,416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172,178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7"/>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w w:val="95"/>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2025 - continued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16,060</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64,657</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14,915</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140,034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14,285</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54,073</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63,161</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17,327</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239,976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766,406</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302,978</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136,874</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34,248</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15,162</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1,512,807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472,315</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166,160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333,112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73,619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875,551</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119,072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5,846</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31,345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47,561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85,554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299,142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94,634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176,950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12,245</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133,947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17,208</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243,540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762,614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304,321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134,914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1,516,726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2025</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144,227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55,077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45,351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46,299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49,901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43,902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66,665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259,497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107,138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48,102</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63,634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64,578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215,942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92,258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2025 - continued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installment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7,945</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20,385</w:t>
            </w:r>
          </w:p>
        </w:tc>
        <w:tc>
          <w:tcPr>
            <w:tcW w:w="8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8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23,118</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82,950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285,873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133,479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r>
      <w:tr>
        <w:trPr>
          <w:trHeight w:val="218"/>
        </w:trPr>
        <w:tc>
          <w:tcPr>
            <w:tcW w:w="28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567,697</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color w:val="auto"/>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147,355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55,347</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14,847</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48,938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52,414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45,533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49,513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264,341</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111,161</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49,738</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15,634</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67,126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224,537</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31,084</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95,857</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jc w:val="center"/>
              <w:ind w:right="143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85,778</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294,811</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136,169</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47,056</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11,090</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103,366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89,458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134,165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122,919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584,735</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w:t>
            </w:r>
          </w:p>
        </w:tc>
      </w:tr>
      <w:tr>
        <w:trPr>
          <w:trHeight w:val="20"/>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Foreclosed residential real estate properties included in other real estate and repossessed assets on our interim Condensed Consolidated Statements of Financial Condition totaled $0.4 million and $0.9 million at March 31, 2025 and December 31, 2024, respectively. Retail mortgage loans secured by residential real estate properties for which formal foreclosure proceedings are in process according to local requirements totaled $3.0 million and $2.0 million at March 31, 2025 and December 31, 2024, respectively.</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three month periods ended March 31, 2025 and 2024, we sold $8.8 million and $6.8 million, respectively, of portfolio residential fixed rate mortgage loans servicing retained and recognized a gain on sale of $0.2 million and $0.1 million, respectively. These transactions were done primarily for asset/liability management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17, 2024, our Board of Directors authorized a share repurchase plan (the “Repurchase Plan”) to buy back up to 1,100,000 shares of our outstanding common stock through December 31, 2025.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three month period ended March 31, 2025 there were 1,093 shares of common stock repurchased, for an aggregate purchase price of $0.03 million. During the three month period ended March 31, 2024 there were no shares of common stock repurchased.</w:t>
      </w:r>
    </w:p>
    <w:p>
      <w:pPr>
        <w:sectPr>
          <w:pgSz w:w="11900" w:h="16838" w:orient="portrait"/>
          <w:cols w:equalWidth="0" w:num="1">
            <w:col w:w="11240"/>
          </w:cols>
          <w:pgMar w:left="320" w:top="119"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basic and diluted net income per common share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795020</wp:posOffset>
            </wp:positionV>
            <wp:extent cx="7138670" cy="155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Stock units for deferred compensation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Performance share units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Effect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Weighted average shares outstanding for calculation of diluted earnings per share</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72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170"/>
        </w:trPr>
        <w:tc>
          <w:tcPr>
            <w:tcW w:w="340" w:type="dxa"/>
            <w:vAlign w:val="bottom"/>
          </w:tcPr>
          <w:p>
            <w:pPr>
              <w:spacing w:after="0"/>
              <w:rPr>
                <w:sz w:val="14"/>
                <w:szCs w:val="14"/>
                <w:color w:val="auto"/>
              </w:rPr>
            </w:pPr>
          </w:p>
        </w:tc>
        <w:tc>
          <w:tcPr>
            <w:tcW w:w="2720" w:type="dxa"/>
            <w:vAlign w:val="bottom"/>
            <w:gridSpan w:val="4"/>
          </w:tcPr>
          <w:p>
            <w:pPr>
              <w:jc w:val="right"/>
              <w:ind w:right="714"/>
              <w:spacing w:after="0" w:line="170" w:lineRule="exact"/>
              <w:rPr>
                <w:sz w:val="20"/>
                <w:szCs w:val="20"/>
                <w:color w:val="auto"/>
              </w:rPr>
            </w:pPr>
            <w:r>
              <w:rPr>
                <w:rFonts w:ascii="Times New Roman" w:cs="Times New Roman" w:eastAsia="Times New Roman" w:hAnsi="Times New Roman"/>
                <w:sz w:val="17"/>
                <w:szCs w:val="17"/>
                <w:color w:val="auto"/>
              </w:rPr>
              <w:t>(In thousands, except</w:t>
            </w:r>
          </w:p>
        </w:tc>
      </w:tr>
      <w:tr>
        <w:trPr>
          <w:trHeight w:val="219"/>
        </w:trPr>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data)</w:t>
            </w:r>
          </w:p>
        </w:tc>
        <w:tc>
          <w:tcPr>
            <w:tcW w:w="960" w:type="dxa"/>
            <w:vAlign w:val="bottom"/>
          </w:tcPr>
          <w:p>
            <w:pPr>
              <w:spacing w:after="0"/>
              <w:rPr>
                <w:sz w:val="19"/>
                <w:szCs w:val="19"/>
                <w:color w:val="auto"/>
              </w:rPr>
            </w:pPr>
          </w:p>
        </w:tc>
      </w:tr>
      <w:tr>
        <w:trPr>
          <w:trHeight w:val="223"/>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15,590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15,991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20,877</w:t>
            </w:r>
          </w:p>
        </w:tc>
      </w:tr>
      <w:tr>
        <w:trPr>
          <w:trHeight w:val="219"/>
        </w:trPr>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19"/>
        </w:trPr>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3"/>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21,150</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21,080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Basic net income per common share includes weighted average common shares outstanding during the period and participating share awards.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Weighted average stock options outstanding that were not considered in computing diluted net income per common share because they were anti-dilutive were zero for the three month periods ended March 31, 2025 and 2024, respectively.</w:t>
      </w: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Financial Instruments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We are required to record derivatives on our interim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derivative financial instruments according to the type of hedge in which they are designated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5,546</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422,411</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2.5</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10,058</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4,362</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15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24,069</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33,741</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595,112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595,112</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1,248,034</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4.7</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5,647</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13,265</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442,512</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12"/>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3,954</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12,703</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19,874</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538,053</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538,053</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1,108,683</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4.9</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swaps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interim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interim Condensed Consolidated Statements of Financial Condition to reflect the then current fair values of both the Fair Value Hedge – Portfolio Loans and the hedged items. The related gains or losses are reported in interest income – interest and fees on loans in our interim Condensed Consolidated Statements of Operations. During the second quarter of 2023 we terminated the interest rate cap that was previously hedging certain installment loans. The remaining unrealized gain on this terminated interest cap is being amortized into earnings over the original life of the interest rate cap.</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jc w:val="both"/>
        <w:spacing w:after="0" w:line="259" w:lineRule="auto"/>
        <w:rPr>
          <w:sz w:val="20"/>
          <w:szCs w:val="20"/>
          <w:color w:val="auto"/>
        </w:rPr>
      </w:pPr>
      <w:r>
        <w:rPr>
          <w:rFonts w:ascii="Times New Roman" w:cs="Times New Roman" w:eastAsia="Times New Roman" w:hAnsi="Times New Roman"/>
          <w:sz w:val="17"/>
          <w:szCs w:val="17"/>
          <w:color w:val="auto"/>
        </w:rPr>
        <w:t>– AFS Securities in accrued income and other assets and accrued expenses and other liabilities on our interim Condensed Consolidated Statements of Financial Condition. The hedged items (fixed rate securities available for sale) are also recorded at fair value which offsets the adjustment to the Fair Value Hedge – AFS Securities. On an ongoing basis, we</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 our interim Condensed Consolidated Statements of Financial Condition to reflect the then current fair value of both the Fair Value Hedge – AFS Securities and the hedged item. The related gains or losses are reported in interest income – interest on securities – tax-exempt in our interim Condensed Consolidated Statements of Operations.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During the first quarter of 2024, we had entered into a pay-variable interest rate swap, whereby the counterparty owned the right to cancel the trade, to protect a portion of the fair value of a certain Federal Home Loan Bank ("FHLB") advance (‘‘Fair Value Hedge – FHLB Advance’’). As a result, changes in the fair value of the pay-variable interest rate swap was expected to offset changes in the fair value of the fixed rate FHLB advance due to fluctuations in interest rates. We recorded the fair value of the Fair Value Hedge – FHLB Advance in accrued income and other assets and accrued expenses and other liabilities on our interim Condensed Consolidated Statements of Financial Condition. The hedged item (a fixed rate FHLB advance callable at our option) was also recorded at fair value which offset the adjustment to the Fair Value Hedge – FHLB Advance. On an ongoing basis, we adjusted our interim Condensed Consolidated Statements of Financial Condition to reflect the then current fair values of both the Fair Value Hedge – FHLB Advance and the hedged item. The related gains or losses were reported in interest expense – other borrowings and subordinated debt and debentures in our interim Condensed Consolidated Statements of Operations. During the second quarter of 2024, the Fair Value Hedge - FHLB Advance was canceled. The fair value at the cancel date was zero.</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interim Condensed Consolidated Statements of Financial Condition. The changes in the fair value of Cash Flow Hedge - Portfolio Loans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136"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have entered into an interest rate cap agreement to manage the variability in future expected cash flows of certain short-term funding liabilities (‘‘Cash Flow Hedge – Short-term Funding Liabilities’’). We record the fair value of Cash Flow Hedge – Short-term Funding Liabilities in accrued income and other assets and accrued expenses and other liabilities on our interim Condensed Consolidated Statements of Financial Condition. The changes in the fair value of Cash Flow Hedge - Short-term Funding Liabilities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Cash Flow Hedges, it is anticipated that as of March 31, 2025, $1.5 million will be reclassified from accumulated other comprehensive loss as a reduction to earnings over the next twelve months. The maximum term of any Cash Flow Hedge at March 31, 2025 is 3.4 years.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derivative financial instruments have not been designated as hedges. The fair value of these derivative financial instruments has been recorded on our interim Condensed Consolidated Statements of Financial Condition and is adjusted on an ongoing basis to reflect their then current fair value. The changes in fair value of derivative financial instruments not designated as hedges are recognized in earnings.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interim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interim Condensed Consolidated Statements of Operations. All of the interest rate swap agreements - commercial with no hedge designation in the table above relate to this program.</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impact that the derivative financial instruments discussed above have on individual line items in the interim Condensed Consolidated Statements of Financial Condition for the periods presented: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Asset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Liability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520" w:type="dxa"/>
            <w:vAlign w:val="bottom"/>
          </w:tcPr>
          <w:p>
            <w:pPr>
              <w:spacing w:after="0"/>
              <w:rPr>
                <w:sz w:val="14"/>
                <w:szCs w:val="14"/>
                <w:color w:val="auto"/>
              </w:rPr>
            </w:pPr>
          </w:p>
        </w:tc>
        <w:tc>
          <w:tcPr>
            <w:tcW w:w="1420" w:type="dxa"/>
            <w:vAlign w:val="bottom"/>
            <w:gridSpan w:val="3"/>
          </w:tcPr>
          <w:p>
            <w:pPr>
              <w:ind w:left="700"/>
              <w:spacing w:after="0" w:line="170" w:lineRule="exact"/>
              <w:rPr>
                <w:sz w:val="20"/>
                <w:szCs w:val="20"/>
                <w:color w:val="auto"/>
              </w:rPr>
            </w:pPr>
            <w:r>
              <w:rPr>
                <w:rFonts w:ascii="Times New Roman" w:cs="Times New Roman" w:eastAsia="Times New Roman" w:hAnsi="Times New Roman"/>
                <w:sz w:val="17"/>
                <w:szCs w:val="17"/>
                <w:color w:val="auto"/>
              </w:rPr>
              <w:t>March 31,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4"/>
          </w:tcPr>
          <w:p>
            <w:pPr>
              <w:jc w:val="center"/>
              <w:spacing w:after="0" w:line="170"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4"/>
                <w:szCs w:val="14"/>
                <w:color w:val="auto"/>
              </w:rPr>
            </w:pPr>
          </w:p>
        </w:tc>
        <w:tc>
          <w:tcPr>
            <w:tcW w:w="1400" w:type="dxa"/>
            <w:vAlign w:val="bottom"/>
            <w:gridSpan w:val="3"/>
          </w:tcPr>
          <w:p>
            <w:pPr>
              <w:ind w:left="700"/>
              <w:spacing w:after="0" w:line="170" w:lineRule="exact"/>
              <w:rPr>
                <w:sz w:val="20"/>
                <w:szCs w:val="20"/>
                <w:color w:val="auto"/>
              </w:rPr>
            </w:pPr>
            <w:r>
              <w:rPr>
                <w:rFonts w:ascii="Times New Roman" w:cs="Times New Roman" w:eastAsia="Times New Roman" w:hAnsi="Times New Roman"/>
                <w:sz w:val="17"/>
                <w:szCs w:val="17"/>
                <w:color w:val="auto"/>
                <w:w w:val="97"/>
              </w:rPr>
              <w:t>March 31,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ind w:left="580"/>
              <w:spacing w:after="0" w:line="170"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9"/>
              </w:rPr>
              <w:t>2025</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2025</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520" w:type="dxa"/>
            <w:vAlign w:val="bottom"/>
          </w:tcPr>
          <w:p>
            <w:pPr>
              <w:spacing w:after="0"/>
              <w:rPr>
                <w:sz w:val="14"/>
                <w:szCs w:val="14"/>
                <w:color w:val="auto"/>
              </w:rPr>
            </w:pPr>
          </w:p>
        </w:tc>
        <w:tc>
          <w:tcPr>
            <w:tcW w:w="880" w:type="dxa"/>
            <w:vAlign w:val="bottom"/>
          </w:tcPr>
          <w:p>
            <w:pPr>
              <w:jc w:val="center"/>
              <w:ind w:left="54"/>
              <w:spacing w:after="0" w:line="170" w:lineRule="exact"/>
              <w:rPr>
                <w:sz w:val="20"/>
                <w:szCs w:val="20"/>
                <w:color w:val="auto"/>
              </w:rPr>
            </w:pPr>
            <w:r>
              <w:rPr>
                <w:rFonts w:ascii="Times New Roman" w:cs="Times New Roman" w:eastAsia="Times New Roman" w:hAnsi="Times New Roman"/>
                <w:sz w:val="17"/>
                <w:szCs w:val="17"/>
                <w:color w:val="auto"/>
                <w:w w:val="98"/>
              </w:rPr>
              <w:t>Balance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4"/>
                <w:szCs w:val="14"/>
                <w:color w:val="auto"/>
              </w:rPr>
            </w:pPr>
          </w:p>
        </w:tc>
        <w:tc>
          <w:tcPr>
            <w:tcW w:w="860" w:type="dxa"/>
            <w:vAlign w:val="bottom"/>
          </w:tcPr>
          <w:p>
            <w:pPr>
              <w:jc w:val="center"/>
              <w:ind w:left="54"/>
              <w:spacing w:after="0" w:line="170" w:lineRule="exact"/>
              <w:rPr>
                <w:sz w:val="20"/>
                <w:szCs w:val="20"/>
                <w:color w:val="auto"/>
              </w:rPr>
            </w:pPr>
            <w:r>
              <w:rPr>
                <w:rFonts w:ascii="Times New Roman" w:cs="Times New Roman" w:eastAsia="Times New Roman" w:hAnsi="Times New Roman"/>
                <w:sz w:val="17"/>
                <w:szCs w:val="17"/>
                <w:color w:val="auto"/>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40" w:type="dxa"/>
            <w:vAlign w:val="bottom"/>
          </w:tcPr>
          <w:p>
            <w:pPr>
              <w:jc w:val="center"/>
              <w:ind w:left="74"/>
              <w:spacing w:after="0" w:line="170" w:lineRule="exact"/>
              <w:rPr>
                <w:sz w:val="20"/>
                <w:szCs w:val="20"/>
                <w:color w:val="auto"/>
              </w:rPr>
            </w:pPr>
            <w:r>
              <w:rPr>
                <w:rFonts w:ascii="Times New Roman" w:cs="Times New Roman" w:eastAsia="Times New Roman" w:hAnsi="Times New Roman"/>
                <w:sz w:val="17"/>
                <w:szCs w:val="17"/>
                <w:color w:val="auto"/>
              </w:rPr>
              <w:t>Balance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60" w:type="dxa"/>
            <w:vAlign w:val="bottom"/>
          </w:tcPr>
          <w:p>
            <w:pPr>
              <w:jc w:val="center"/>
              <w:ind w:left="74"/>
              <w:spacing w:after="0" w:line="170" w:lineRule="exact"/>
              <w:rPr>
                <w:sz w:val="20"/>
                <w:szCs w:val="20"/>
                <w:color w:val="auto"/>
              </w:rPr>
            </w:pPr>
            <w:r>
              <w:rPr>
                <w:rFonts w:ascii="Times New Roman" w:cs="Times New Roman" w:eastAsia="Times New Roman" w:hAnsi="Times New Roman"/>
                <w:sz w:val="17"/>
                <w:szCs w:val="17"/>
                <w:color w:val="auto"/>
                <w:w w:val="98"/>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880" w:type="dxa"/>
            <w:vAlign w:val="bottom"/>
          </w:tcPr>
          <w:p>
            <w:pPr>
              <w:jc w:val="center"/>
              <w:ind w:left="54"/>
              <w:spacing w:after="0" w:line="172" w:lineRule="exact"/>
              <w:rPr>
                <w:sz w:val="20"/>
                <w:szCs w:val="20"/>
                <w:color w:val="auto"/>
              </w:rPr>
            </w:pPr>
            <w:r>
              <w:rPr>
                <w:rFonts w:ascii="Times New Roman" w:cs="Times New Roman" w:eastAsia="Times New Roman" w:hAnsi="Times New Roman"/>
                <w:sz w:val="17"/>
                <w:szCs w:val="17"/>
                <w:color w:val="auto"/>
              </w:rPr>
              <w:t>Sheet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72"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72" w:lineRule="exact"/>
              <w:rPr>
                <w:sz w:val="20"/>
                <w:szCs w:val="20"/>
                <w:color w:val="auto"/>
              </w:rPr>
            </w:pPr>
            <w:r>
              <w:rPr>
                <w:rFonts w:ascii="Times New Roman" w:cs="Times New Roman" w:eastAsia="Times New Roman" w:hAnsi="Times New Roman"/>
                <w:sz w:val="17"/>
                <w:szCs w:val="17"/>
                <w:color w:val="auto"/>
              </w:rPr>
              <w:t>Sheet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72"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20" w:type="dxa"/>
            <w:vAlign w:val="bottom"/>
          </w:tcPr>
          <w:p>
            <w:pPr>
              <w:spacing w:after="0"/>
              <w:rPr>
                <w:sz w:val="19"/>
                <w:szCs w:val="19"/>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Location</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88"/>
              </w:rPr>
              <w:t>Value</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Location</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9"/>
              </w:rPr>
              <w:t>Location</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Value</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Location</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5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177"/>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floor 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Derivatives not designated as</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hedging instruments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52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Rate-lock mortgage loan</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7"/>
                <w:szCs w:val="17"/>
                <w:color w:val="auto"/>
              </w:rPr>
              <w:t>Mandatory commitments to sell</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 loans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7"/>
        </w:trPr>
        <w:tc>
          <w:tcPr>
            <w:tcW w:w="252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10,657</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15,799</w:t>
            </w:r>
          </w:p>
        </w:tc>
        <w:tc>
          <w:tcPr>
            <w:tcW w:w="1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6,607</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15,799</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17,632</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17,295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18,273</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derivatives</w:t>
            </w: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33,631</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36</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effect of derivative financial instruments on the interim Condensed Consolidated Statements of Operations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5"/>
          <w:szCs w:val="15"/>
          <w:color w:val="auto"/>
        </w:rPr>
        <w:t>Gain (Loss) Recognized in</w:t>
      </w:r>
    </w:p>
    <w:p>
      <w:pPr>
        <w:jc w:val="center"/>
        <w:ind w:left="2420"/>
        <w:spacing w:after="0" w:line="215" w:lineRule="auto"/>
        <w:rPr>
          <w:sz w:val="20"/>
          <w:szCs w:val="20"/>
          <w:color w:val="auto"/>
        </w:rPr>
      </w:pPr>
      <w:r>
        <w:rPr>
          <w:rFonts w:ascii="Times New Roman" w:cs="Times New Roman" w:eastAsia="Times New Roman" w:hAnsi="Times New Roman"/>
          <w:sz w:val="15"/>
          <w:szCs w:val="15"/>
          <w:color w:val="auto"/>
        </w:rPr>
        <w:t>Other</w:t>
      </w:r>
    </w:p>
    <w:p>
      <w:pPr>
        <w:jc w:val="center"/>
        <w:ind w:left="2420"/>
        <w:spacing w:after="0" w:line="215" w:lineRule="auto"/>
        <w:rPr>
          <w:sz w:val="20"/>
          <w:szCs w:val="20"/>
          <w:color w:val="auto"/>
        </w:rPr>
      </w:pPr>
      <w:r>
        <w:rPr>
          <w:rFonts w:ascii="Times New Roman" w:cs="Times New Roman" w:eastAsia="Times New Roman" w:hAnsi="Times New Roman"/>
          <w:sz w:val="15"/>
          <w:szCs w:val="15"/>
          <w:color w:val="auto"/>
        </w:rPr>
        <w:t>Comprehensive Income</w:t>
      </w:r>
    </w:p>
    <w:p>
      <w:pPr>
        <w:jc w:val="center"/>
        <w:ind w:left="2420"/>
        <w:spacing w:after="0"/>
        <w:rPr>
          <w:sz w:val="20"/>
          <w:szCs w:val="20"/>
          <w:color w:val="auto"/>
        </w:rPr>
      </w:pPr>
      <w:r>
        <w:rPr>
          <w:rFonts w:ascii="Times New Roman" w:cs="Times New Roman" w:eastAsia="Times New Roman" w:hAnsi="Times New Roman"/>
          <w:sz w:val="15"/>
          <w:szCs w:val="15"/>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10795</wp:posOffset>
            </wp:positionV>
            <wp:extent cx="10890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86"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5"/>
          <w:szCs w:val="15"/>
          <w:color w:val="auto"/>
        </w:rPr>
        <w:t>Three Month</w:t>
      </w:r>
    </w:p>
    <w:p>
      <w:pPr>
        <w:jc w:val="center"/>
        <w:ind w:left="2420"/>
        <w:spacing w:after="0" w:line="215" w:lineRule="auto"/>
        <w:rPr>
          <w:sz w:val="20"/>
          <w:szCs w:val="20"/>
          <w:color w:val="auto"/>
        </w:rPr>
      </w:pPr>
      <w:r>
        <w:rPr>
          <w:rFonts w:ascii="Times New Roman" w:cs="Times New Roman" w:eastAsia="Times New Roman" w:hAnsi="Times New Roman"/>
          <w:sz w:val="15"/>
          <w:szCs w:val="15"/>
          <w:color w:val="auto"/>
        </w:rPr>
        <w:t>Periods Ended</w:t>
      </w:r>
    </w:p>
    <w:p>
      <w:pPr>
        <w:jc w:val="center"/>
        <w:ind w:left="2420"/>
        <w:spacing w:after="0"/>
        <w:rPr>
          <w:sz w:val="20"/>
          <w:szCs w:val="20"/>
          <w:color w:val="auto"/>
        </w:rPr>
      </w:pPr>
      <w:r>
        <w:rPr>
          <w:rFonts w:ascii="Times New Roman" w:cs="Times New Roman" w:eastAsia="Times New Roman" w:hAnsi="Times New Roman"/>
          <w:sz w:val="15"/>
          <w:szCs w:val="15"/>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10795</wp:posOffset>
            </wp:positionV>
            <wp:extent cx="10890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49" w:lineRule="exact"/>
        <w:rPr>
          <w:sz w:val="20"/>
          <w:szCs w:val="20"/>
          <w:color w:val="auto"/>
        </w:rPr>
      </w:pPr>
    </w:p>
    <w:p>
      <w:pPr>
        <w:ind w:left="2640"/>
        <w:spacing w:after="0"/>
        <w:tabs>
          <w:tab w:leader="none" w:pos="3520" w:val="left"/>
        </w:tabs>
        <w:rPr>
          <w:sz w:val="20"/>
          <w:szCs w:val="20"/>
          <w:color w:val="auto"/>
        </w:rPr>
      </w:pPr>
      <w:r>
        <w:rPr>
          <w:rFonts w:ascii="Times New Roman" w:cs="Times New Roman" w:eastAsia="Times New Roman" w:hAnsi="Times New Roman"/>
          <w:sz w:val="15"/>
          <w:szCs w:val="15"/>
          <w:color w:val="auto"/>
        </w:rPr>
        <w:t>2025</w:t>
      </w:r>
      <w:r>
        <w:rPr>
          <w:sz w:val="20"/>
          <w:szCs w:val="20"/>
          <w:color w:val="auto"/>
        </w:rPr>
        <w:tab/>
      </w:r>
      <w:r>
        <w:rPr>
          <w:rFonts w:ascii="Times New Roman" w:cs="Times New Roman" w:eastAsia="Times New Roman" w:hAnsi="Times New Roman"/>
          <w:sz w:val="15"/>
          <w:szCs w:val="15"/>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20955</wp:posOffset>
            </wp:positionV>
            <wp:extent cx="10890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Fair Value Hedges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Pay-fixed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 - commercial</w:t>
      </w:r>
    </w:p>
    <w:p>
      <w:pPr>
        <w:spacing w:after="0" w:line="18" w:lineRule="exact"/>
        <w:rPr>
          <w:sz w:val="20"/>
          <w:szCs w:val="20"/>
          <w:color w:val="auto"/>
        </w:rPr>
      </w:pPr>
    </w:p>
    <w:p>
      <w:pPr>
        <w:ind w:left="320" w:right="1740" w:hanging="154"/>
        <w:spacing w:after="0" w:line="236" w:lineRule="auto"/>
        <w:rPr>
          <w:sz w:val="20"/>
          <w:szCs w:val="20"/>
          <w:color w:val="auto"/>
        </w:rPr>
      </w:pPr>
      <w:r>
        <w:rPr>
          <w:rFonts w:ascii="Times New Roman" w:cs="Times New Roman" w:eastAsia="Times New Roman" w:hAnsi="Times New Roman"/>
          <w:sz w:val="15"/>
          <w:szCs w:val="15"/>
          <w:color w:val="auto"/>
        </w:rPr>
        <w:t>Pay-fixed interest rate swap agreements - securities available for sale</w:t>
      </w:r>
    </w:p>
    <w:p>
      <w:pPr>
        <w:spacing w:after="0" w:line="5" w:lineRule="exact"/>
        <w:rPr>
          <w:sz w:val="20"/>
          <w:szCs w:val="20"/>
          <w:color w:val="auto"/>
        </w:rPr>
      </w:pPr>
    </w:p>
    <w:p>
      <w:pPr>
        <w:jc w:val="right"/>
        <w:ind w:right="2180"/>
        <w:spacing w:after="0"/>
        <w:rPr>
          <w:sz w:val="20"/>
          <w:szCs w:val="20"/>
          <w:color w:val="auto"/>
        </w:rPr>
      </w:pPr>
      <w:r>
        <w:rPr>
          <w:rFonts w:ascii="Times New Roman" w:cs="Times New Roman" w:eastAsia="Times New Roman" w:hAnsi="Times New Roman"/>
          <w:sz w:val="15"/>
          <w:szCs w:val="15"/>
          <w:color w:val="auto"/>
        </w:rPr>
        <w:t>Pay-fixed interest rate swap</w:t>
      </w:r>
    </w:p>
    <w:p>
      <w:pPr>
        <w:jc w:val="right"/>
        <w:ind w:right="2220"/>
        <w:spacing w:after="0"/>
        <w:rPr>
          <w:sz w:val="20"/>
          <w:szCs w:val="20"/>
          <w:color w:val="auto"/>
        </w:rPr>
      </w:pPr>
      <w:r>
        <w:rPr>
          <w:rFonts w:ascii="Times New Roman" w:cs="Times New Roman" w:eastAsia="Times New Roman" w:hAnsi="Times New Roman"/>
          <w:sz w:val="15"/>
          <w:szCs w:val="15"/>
          <w:color w:val="auto"/>
        </w:rPr>
        <w:t>agreements - installment</w:t>
      </w:r>
    </w:p>
    <w:p>
      <w:pPr>
        <w:spacing w:after="0" w:line="16"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5"/>
          <w:szCs w:val="15"/>
          <w:color w:val="auto"/>
        </w:rPr>
        <w:t>Pay-fixed interest rate swap</w:t>
      </w:r>
    </w:p>
    <w:p>
      <w:pPr>
        <w:jc w:val="center"/>
        <w:ind w:right="2000"/>
        <w:spacing w:after="0"/>
        <w:rPr>
          <w:sz w:val="20"/>
          <w:szCs w:val="20"/>
          <w:color w:val="auto"/>
        </w:rPr>
      </w:pPr>
      <w:r>
        <w:rPr>
          <w:rFonts w:ascii="Times New Roman" w:cs="Times New Roman" w:eastAsia="Times New Roman" w:hAnsi="Times New Roman"/>
          <w:sz w:val="15"/>
          <w:szCs w:val="15"/>
          <w:color w:val="auto"/>
        </w:rPr>
        <w:t>agreements - mortgage</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Pay-variable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agreements - FHLB Advance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line="225" w:lineRule="auto"/>
        <w:rPr>
          <w:sz w:val="20"/>
          <w:szCs w:val="20"/>
          <w:color w:val="auto"/>
        </w:rPr>
      </w:pPr>
      <w:r>
        <w:rPr>
          <w:rFonts w:ascii="Times New Roman" w:cs="Times New Roman" w:eastAsia="Times New Roman" w:hAnsi="Times New Roman"/>
          <w:sz w:val="15"/>
          <w:szCs w:val="15"/>
          <w:color w:val="auto"/>
        </w:rPr>
        <w:t>Location of Gain (Loss) Reclassified from Accumulated Other Comprehensive Loss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144780</wp:posOffset>
            </wp:positionV>
            <wp:extent cx="7138670" cy="1308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504825</wp:posOffset>
            </wp:positionV>
            <wp:extent cx="7138670" cy="327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1061720</wp:posOffset>
            </wp:positionV>
            <wp:extent cx="7138670" cy="229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1716405</wp:posOffset>
            </wp:positionV>
            <wp:extent cx="7138670" cy="229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5715</wp:posOffset>
            </wp:positionV>
            <wp:extent cx="949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Loss Reclassified from</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55"/>
        </w:trPr>
        <w:tc>
          <w:tcPr>
            <w:tcW w:w="17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203"/>
        </w:trPr>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229"/>
        </w:trPr>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Three Month</w:t>
            </w:r>
          </w:p>
        </w:tc>
        <w:tc>
          <w:tcPr>
            <w:tcW w:w="160" w:type="dxa"/>
            <w:vAlign w:val="bottom"/>
          </w:tcPr>
          <w:p>
            <w:pPr>
              <w:spacing w:after="0"/>
              <w:rPr>
                <w:sz w:val="19"/>
                <w:szCs w:val="19"/>
                <w:color w:val="auto"/>
              </w:rPr>
            </w:pPr>
          </w:p>
        </w:tc>
        <w:tc>
          <w:tcPr>
            <w:tcW w:w="1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color w:val="auto"/>
              </w:rPr>
              <w:t>Location of</w:t>
            </w:r>
          </w:p>
        </w:tc>
        <w:tc>
          <w:tcPr>
            <w:tcW w:w="180" w:type="dxa"/>
            <w:vAlign w:val="bottom"/>
          </w:tcPr>
          <w:p>
            <w:pPr>
              <w:spacing w:after="0"/>
              <w:rPr>
                <w:sz w:val="19"/>
                <w:szCs w:val="19"/>
                <w:color w:val="auto"/>
              </w:rPr>
            </w:pPr>
          </w:p>
        </w:tc>
        <w:tc>
          <w:tcPr>
            <w:tcW w:w="1540" w:type="dxa"/>
            <w:vAlign w:val="bottom"/>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Three Month</w:t>
            </w:r>
          </w:p>
        </w:tc>
        <w:tc>
          <w:tcPr>
            <w:tcW w:w="0" w:type="dxa"/>
            <w:vAlign w:val="bottom"/>
          </w:tcPr>
          <w:p>
            <w:pPr>
              <w:spacing w:after="0"/>
              <w:rPr>
                <w:sz w:val="1"/>
                <w:szCs w:val="1"/>
                <w:color w:val="auto"/>
              </w:rPr>
            </w:pPr>
          </w:p>
        </w:tc>
      </w:tr>
      <w:tr>
        <w:trPr>
          <w:trHeight w:val="103"/>
        </w:trPr>
        <w:tc>
          <w:tcPr>
            <w:tcW w:w="1700" w:type="dxa"/>
            <w:vAlign w:val="bottom"/>
            <w:gridSpan w:val="3"/>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16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gridSpan w:val="3"/>
            <w:vMerge w:val="restart"/>
          </w:tcPr>
          <w:p>
            <w:pPr>
              <w:jc w:val="center"/>
              <w:ind w:right="8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17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18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auto"/>
              </w:rPr>
              <w:t>March 31,</w:t>
            </w:r>
          </w:p>
        </w:tc>
        <w:tc>
          <w:tcPr>
            <w:tcW w:w="16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gridSpan w:val="3"/>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March 31,</w:t>
            </w:r>
          </w:p>
        </w:tc>
        <w:tc>
          <w:tcPr>
            <w:tcW w:w="0" w:type="dxa"/>
            <w:vAlign w:val="bottom"/>
          </w:tcPr>
          <w:p>
            <w:pPr>
              <w:spacing w:after="0"/>
              <w:rPr>
                <w:sz w:val="1"/>
                <w:szCs w:val="1"/>
                <w:color w:val="auto"/>
              </w:rPr>
            </w:pPr>
          </w:p>
        </w:tc>
      </w:tr>
      <w:tr>
        <w:trPr>
          <w:trHeight w:val="97"/>
        </w:trPr>
        <w:tc>
          <w:tcPr>
            <w:tcW w:w="1700" w:type="dxa"/>
            <w:vAlign w:val="bottom"/>
            <w:tcBorders>
              <w:bottom w:val="single" w:sz="8" w:color="auto"/>
            </w:tcBorders>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8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8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tcPr>
          <w:p>
            <w:pPr>
              <w:spacing w:after="0"/>
              <w:rPr>
                <w:sz w:val="3"/>
                <w:szCs w:val="3"/>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line="20" w:lineRule="exact"/>
              <w:rPr>
                <w:sz w:val="1"/>
                <w:szCs w:val="1"/>
                <w:color w:val="auto"/>
              </w:rPr>
            </w:pPr>
          </w:p>
        </w:tc>
      </w:tr>
      <w:tr>
        <w:trPr>
          <w:trHeight w:val="203"/>
        </w:trPr>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in Income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center"/>
              <w:ind w:right="103"/>
              <w:spacing w:after="0"/>
              <w:rPr>
                <w:sz w:val="20"/>
                <w:szCs w:val="20"/>
                <w:color w:val="auto"/>
              </w:rPr>
            </w:pPr>
            <w:r>
              <w:rPr>
                <w:rFonts w:ascii="Times New Roman" w:cs="Times New Roman" w:eastAsia="Times New Roman" w:hAnsi="Times New Roman"/>
                <w:sz w:val="15"/>
                <w:szCs w:val="15"/>
                <w:color w:val="auto"/>
              </w:rPr>
              <w:t>(In thousands)</w:t>
            </w:r>
          </w:p>
        </w:tc>
        <w:tc>
          <w:tcPr>
            <w:tcW w:w="0" w:type="dxa"/>
            <w:vAlign w:val="bottom"/>
          </w:tcPr>
          <w:p>
            <w:pPr>
              <w:spacing w:after="0"/>
              <w:rPr>
                <w:sz w:val="1"/>
                <w:szCs w:val="1"/>
                <w:color w:val="auto"/>
              </w:rPr>
            </w:pPr>
          </w:p>
        </w:tc>
      </w:tr>
      <w:tr>
        <w:trPr>
          <w:trHeight w:val="367"/>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2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(2,375)</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1,688</w:t>
            </w: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(965)</w:t>
            </w: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2,002</w:t>
            </w: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expense - other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5"/>
                <w:szCs w:val="15"/>
                <w:color w:val="auto"/>
              </w:rPr>
              <w:t>borrowings and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5"/>
                <w:szCs w:val="15"/>
                <w:color w:val="auto"/>
              </w:rPr>
              <w:t>subordinated debt</w:t>
            </w:r>
          </w:p>
        </w:tc>
        <w:tc>
          <w:tcPr>
            <w:tcW w:w="180" w:type="dxa"/>
            <w:vAlign w:val="bottom"/>
          </w:tcPr>
          <w:p>
            <w:pPr>
              <w:spacing w:after="0"/>
              <w:rPr>
                <w:sz w:val="13"/>
                <w:szCs w:val="13"/>
                <w:color w:val="auto"/>
              </w:rPr>
            </w:pPr>
          </w:p>
        </w:tc>
        <w:tc>
          <w:tcPr>
            <w:tcW w:w="6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and debentures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4080" w:space="260"/>
            <w:col w:w="1360" w:space="240"/>
            <w:col w:w="530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center"/>
              <w:ind w:left="83"/>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14"/>
                <w:szCs w:val="1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46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205"/>
        </w:trPr>
        <w:tc>
          <w:tcPr>
            <w:tcW w:w="2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2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Flow Hedges</w:t>
            </w: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6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center"/>
              <w:ind w:left="103"/>
              <w:spacing w:after="0"/>
              <w:rPr>
                <w:sz w:val="20"/>
                <w:szCs w:val="20"/>
                <w:color w:val="auto"/>
              </w:rPr>
            </w:pPr>
            <w:r>
              <w:rPr>
                <w:rFonts w:ascii="Times New Roman" w:cs="Times New Roman" w:eastAsia="Times New Roman" w:hAnsi="Times New Roman"/>
                <w:sz w:val="15"/>
                <w:szCs w:val="15"/>
                <w:color w:val="auto"/>
              </w:rPr>
              <w:t>752</w:t>
            </w:r>
          </w:p>
        </w:tc>
        <w:tc>
          <w:tcPr>
            <w:tcW w:w="80" w:type="dxa"/>
            <w:vAlign w:val="bottom"/>
          </w:tcPr>
          <w:p>
            <w:pPr>
              <w:spacing w:after="0"/>
              <w:rPr>
                <w:sz w:val="14"/>
                <w:szCs w:val="1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(2,267)</w:t>
            </w:r>
          </w:p>
        </w:tc>
        <w:tc>
          <w:tcPr>
            <w:tcW w:w="146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w:t>
            </w:r>
          </w:p>
        </w:tc>
        <w:tc>
          <w:tcPr>
            <w:tcW w:w="2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36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280" w:type="dxa"/>
            <w:vAlign w:val="bottom"/>
          </w:tcPr>
          <w:p>
            <w:pPr>
              <w:spacing w:after="0"/>
              <w:rPr>
                <w:sz w:val="14"/>
                <w:szCs w:val="14"/>
                <w:color w:val="auto"/>
              </w:rPr>
            </w:pPr>
          </w:p>
        </w:tc>
        <w:tc>
          <w:tcPr>
            <w:tcW w:w="540" w:type="dxa"/>
            <w:vAlign w:val="bottom"/>
            <w:vMerge w:val="restart"/>
          </w:tcPr>
          <w:p>
            <w:pPr>
              <w:jc w:val="center"/>
              <w:ind w:left="83"/>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0" w:type="dxa"/>
            <w:vAlign w:val="bottom"/>
          </w:tcPr>
          <w:p>
            <w:pPr>
              <w:spacing w:after="0"/>
              <w:rPr>
                <w:sz w:val="1"/>
                <w:szCs w:val="1"/>
                <w:color w:val="auto"/>
              </w:rPr>
            </w:pPr>
          </w:p>
        </w:tc>
      </w:tr>
      <w:tr>
        <w:trPr>
          <w:trHeight w:val="200"/>
        </w:trPr>
        <w:tc>
          <w:tcPr>
            <w:tcW w:w="2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short-term funding liabilities</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center"/>
              <w:ind w:left="103"/>
              <w:spacing w:after="0"/>
              <w:rPr>
                <w:sz w:val="20"/>
                <w:szCs w:val="20"/>
                <w:color w:val="auto"/>
              </w:rPr>
            </w:pPr>
            <w:r>
              <w:rPr>
                <w:rFonts w:ascii="Times New Roman" w:cs="Times New Roman" w:eastAsia="Times New Roman" w:hAnsi="Times New Roman"/>
                <w:sz w:val="15"/>
                <w:szCs w:val="15"/>
                <w:color w:val="auto"/>
              </w:rPr>
              <w:t>621</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-924560</wp:posOffset>
            </wp:positionV>
            <wp:extent cx="7138670" cy="163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-629920</wp:posOffset>
            </wp:positionV>
            <wp:extent cx="7138670" cy="229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155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7138670" cy="1308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No hedge designation</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Rate-lock mortgage loan</w:t>
      </w:r>
    </w:p>
    <w:p>
      <w:pPr>
        <w:ind w:left="320"/>
        <w:spacing w:after="0"/>
        <w:rPr>
          <w:sz w:val="20"/>
          <w:szCs w:val="20"/>
          <w:color w:val="auto"/>
        </w:rPr>
      </w:pPr>
      <w:r>
        <w:rPr>
          <w:rFonts w:ascii="Times New Roman" w:cs="Times New Roman" w:eastAsia="Times New Roman" w:hAnsi="Times New Roman"/>
          <w:sz w:val="15"/>
          <w:szCs w:val="15"/>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38670" cy="229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5"/>
          <w:szCs w:val="15"/>
          <w:color w:val="auto"/>
        </w:rPr>
        <w:t>Mandatory commitments to sell</w:t>
      </w:r>
    </w:p>
    <w:p>
      <w:pPr>
        <w:ind w:left="320"/>
        <w:spacing w:after="0"/>
        <w:rPr>
          <w:sz w:val="20"/>
          <w:szCs w:val="20"/>
          <w:color w:val="auto"/>
        </w:rPr>
      </w:pPr>
      <w:r>
        <w:rPr>
          <w:rFonts w:ascii="Times New Roman" w:cs="Times New Roman" w:eastAsia="Times New Roman" w:hAnsi="Times New Roman"/>
          <w:sz w:val="15"/>
          <w:szCs w:val="15"/>
          <w:color w:val="auto"/>
        </w:rPr>
        <w:t>mortgage loans</w:t>
      </w:r>
    </w:p>
    <w:p>
      <w:pPr>
        <w:spacing w:after="0" w:line="16" w:lineRule="exact"/>
        <w:rPr>
          <w:sz w:val="20"/>
          <w:szCs w:val="20"/>
          <w:color w:val="auto"/>
        </w:rPr>
      </w:pPr>
    </w:p>
    <w:p>
      <w:pPr>
        <w:jc w:val="right"/>
        <w:ind w:right="3660"/>
        <w:spacing w:after="0"/>
        <w:rPr>
          <w:sz w:val="20"/>
          <w:szCs w:val="20"/>
          <w:color w:val="auto"/>
        </w:rPr>
      </w:pPr>
      <w:r>
        <w:rPr>
          <w:rFonts w:ascii="Times New Roman" w:cs="Times New Roman" w:eastAsia="Times New Roman" w:hAnsi="Times New Roman"/>
          <w:sz w:val="15"/>
          <w:szCs w:val="15"/>
          <w:color w:val="auto"/>
        </w:rPr>
        <w:t>Pay-fixed interest rate swap</w:t>
      </w:r>
    </w:p>
    <w:p>
      <w:pPr>
        <w:jc w:val="right"/>
        <w:ind w:right="3660"/>
        <w:spacing w:after="0"/>
        <w:rPr>
          <w:sz w:val="20"/>
          <w:szCs w:val="20"/>
          <w:color w:val="auto"/>
        </w:rPr>
      </w:pPr>
      <w:r>
        <w:rPr>
          <w:rFonts w:ascii="Times New Roman" w:cs="Times New Roman" w:eastAsia="Times New Roman" w:hAnsi="Times New Roman"/>
          <w:sz w:val="15"/>
          <w:szCs w:val="15"/>
          <w:color w:val="auto"/>
        </w:rPr>
        <w:t>agreements -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38670" cy="229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5"/>
          <w:szCs w:val="15"/>
          <w:color w:val="auto"/>
        </w:rPr>
        <w:t>Pay-variable interest rate swap</w:t>
      </w:r>
    </w:p>
    <w:p>
      <w:pPr>
        <w:ind w:left="320"/>
        <w:spacing w:after="0"/>
        <w:rPr>
          <w:sz w:val="20"/>
          <w:szCs w:val="20"/>
          <w:color w:val="auto"/>
        </w:rPr>
      </w:pPr>
      <w:r>
        <w:rPr>
          <w:rFonts w:ascii="Times New Roman" w:cs="Times New Roman" w:eastAsia="Times New Roman" w:hAnsi="Times New Roman"/>
          <w:sz w:val="15"/>
          <w:szCs w:val="15"/>
          <w:color w:val="auto"/>
        </w:rPr>
        <w:t>agreements - commercial</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6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on securities</w:t>
            </w:r>
          </w:p>
        </w:tc>
        <w:tc>
          <w:tcPr>
            <w:tcW w:w="220" w:type="dxa"/>
            <w:vAlign w:val="bottom"/>
          </w:tcPr>
          <w:p>
            <w:pPr>
              <w:spacing w:after="0"/>
              <w:rPr>
                <w:sz w:val="17"/>
                <w:szCs w:val="17"/>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57"/>
        </w:trPr>
        <w:tc>
          <w:tcPr>
            <w:tcW w:w="2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8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(4,107)</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5,332</w:t>
            </w: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Interest and fees on</w:t>
            </w: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7"/>
        </w:trPr>
        <w:tc>
          <w:tcPr>
            <w:tcW w:w="26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80" w:type="dxa"/>
            <w:vAlign w:val="bottom"/>
          </w:tcPr>
          <w:p>
            <w:pPr>
              <w:spacing w:after="0"/>
              <w:rPr>
                <w:sz w:val="24"/>
                <w:szCs w:val="24"/>
                <w:color w:val="auto"/>
              </w:rPr>
            </w:pP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880" w:type="dxa"/>
            <w:vAlign w:val="bottom"/>
            <w:vMerge w:val="continue"/>
          </w:tcPr>
          <w:p>
            <w:pPr>
              <w:spacing w:after="0"/>
              <w:rPr>
                <w:sz w:val="24"/>
                <w:szCs w:val="2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80" w:type="dxa"/>
            <w:vAlign w:val="bottom"/>
          </w:tcPr>
          <w:p>
            <w:pPr>
              <w:spacing w:after="0"/>
              <w:rPr>
                <w:sz w:val="24"/>
                <w:szCs w:val="2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200"/>
        </w:trPr>
        <w:tc>
          <w:tcPr>
            <w:tcW w:w="2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8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Net gains on mortgage</w:t>
            </w: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7"/>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80" w:type="dxa"/>
            <w:vAlign w:val="bottom"/>
          </w:tcPr>
          <w:p>
            <w:pPr>
              <w:spacing w:after="0"/>
              <w:rPr>
                <w:sz w:val="24"/>
                <w:szCs w:val="2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5,970</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(5,970)</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loans</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60" w:space="380"/>
            <w:col w:w="530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  Goodwill and Other Intangibles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7"/>
                <w:szCs w:val="17"/>
                <w:color w:val="auto"/>
              </w:rPr>
              <w:t>March 31, 2025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2024</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3"/>
                <w:szCs w:val="13"/>
                <w:color w:val="auto"/>
              </w:rPr>
            </w:pPr>
          </w:p>
        </w:tc>
        <w:tc>
          <w:tcPr>
            <w:tcW w:w="122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core deposits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5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 summary of estimated core deposits intangible amortization at March 31, 2025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57"/>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ending December 31, 2025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5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Based Compensation</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0.3 million shares of common stock as of March 31, 2025. The non-employee director stock purchase plan permits the issuance of additional share based payments for up to 0.1 million shares of common stock as of March 31, 2025. Share based awards and payments are measured at fair value at the date of grant and are expensed over the requisite service period. Common shares issued upon exercise of stock options come from currently authorized but unissued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and performance stock units (“PSU”) granted pursuant to our long-term incentive plan follows:</w:t>
      </w:r>
    </w:p>
    <w:p>
      <w:pPr>
        <w:spacing w:after="0" w:line="2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8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9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52,019</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80,355</w:t>
            </w:r>
          </w:p>
        </w:tc>
      </w:tr>
      <w:tr>
        <w:trPr>
          <w:trHeight w:val="20"/>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1"/>
        </w:trPr>
        <w:tc>
          <w:tcPr>
            <w:tcW w:w="91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PSU</w:t>
            </w:r>
          </w:p>
        </w:tc>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16,364</w:t>
            </w:r>
          </w:p>
        </w:tc>
        <w:tc>
          <w:tcPr>
            <w:tcW w:w="8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18,822</w:t>
            </w:r>
          </w:p>
        </w:tc>
      </w:tr>
      <w:tr>
        <w:trPr>
          <w:trHeight w:val="20"/>
        </w:trPr>
        <w:tc>
          <w:tcPr>
            <w:tcW w:w="8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three month periods ended March 31, 2025 and 2024 we issued 0.002 million and 0.002 million shares, respectively and expensed their value during those same periods.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Total compensation expense recognized for grants pursuant to our long-term incentive plan was $0.7 million during both three month periods ended March 31, 2025 and 2024, respectively. The corresponding tax benefit relating to this expense was $0.1 million during both three month periods ended March 31, 2025 and 2024, respectively. Total expense recognized for non-employee director share based payments was $0.06 million and $0.07 million during three month periods</w:t>
      </w:r>
    </w:p>
    <w:p>
      <w:pPr>
        <w:jc w:val="both"/>
        <w:spacing w:after="0" w:line="302" w:lineRule="auto"/>
        <w:rPr>
          <w:sz w:val="20"/>
          <w:szCs w:val="20"/>
          <w:color w:val="auto"/>
        </w:rPr>
      </w:pPr>
      <w:r>
        <w:rPr>
          <w:rFonts w:ascii="Times New Roman" w:cs="Times New Roman" w:eastAsia="Times New Roman" w:hAnsi="Times New Roman"/>
          <w:sz w:val="17"/>
          <w:szCs w:val="17"/>
          <w:color w:val="auto"/>
        </w:rPr>
        <w:t>ended March 31, 2025 and 2024, respectively. The corresponding tax benefit relating to this expense was $0.01 million and $0.01 million for three month periods ended March 31, 2025 and 2024, respectively.</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2025, the total expected compensation cost related to non-vested restricted stock and PSUs not yet recognized was $4.7 million. The weighted-average period over which this amount will be recognized is 2.3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stock option grants and related transactions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Weighted-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w w:val="99"/>
              </w:rPr>
              <w:t>Number of</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7"/>
                <w:szCs w:val="17"/>
                <w:color w:val="auto"/>
                <w:w w:val="97"/>
              </w:rPr>
              <w:t>Average</w:t>
            </w:r>
          </w:p>
        </w:tc>
        <w:tc>
          <w:tcPr>
            <w:tcW w:w="1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5"/>
                <w:szCs w:val="15"/>
                <w:color w:val="auto"/>
              </w:rPr>
            </w:pPr>
          </w:p>
        </w:tc>
        <w:tc>
          <w:tcPr>
            <w:tcW w:w="130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7"/>
                <w:szCs w:val="17"/>
                <w:color w:val="auto"/>
              </w:rPr>
              <w:t>Exercise</w:t>
            </w:r>
          </w:p>
        </w:tc>
        <w:tc>
          <w:tcPr>
            <w:tcW w:w="15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7"/>
                <w:szCs w:val="17"/>
                <w:color w:val="auto"/>
              </w:rPr>
              <w:t>Contractual</w:t>
            </w:r>
          </w:p>
        </w:tc>
        <w:tc>
          <w:tcPr>
            <w:tcW w:w="18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Term (Years)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March 31, 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March 31,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outstanding non-vested stock and related transactions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18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Shares</w:t>
            </w:r>
          </w:p>
        </w:tc>
        <w:tc>
          <w:tcPr>
            <w:tcW w:w="180" w:type="dxa"/>
            <w:vAlign w:val="bottom"/>
          </w:tcPr>
          <w:p>
            <w:pPr>
              <w:spacing w:after="0"/>
              <w:rPr>
                <w:sz w:val="20"/>
                <w:szCs w:val="20"/>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12"/>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0" w:type="dxa"/>
            <w:vAlign w:val="bottom"/>
          </w:tcPr>
          <w:p>
            <w:pPr>
              <w:spacing w:after="0"/>
              <w:rPr>
                <w:sz w:val="1"/>
                <w:szCs w:val="1"/>
                <w:color w:val="auto"/>
              </w:rPr>
            </w:pPr>
          </w:p>
        </w:tc>
      </w:tr>
      <w:tr>
        <w:trPr>
          <w:trHeight w:val="219"/>
        </w:trPr>
        <w:tc>
          <w:tcPr>
            <w:tcW w:w="5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267,853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regarding options exercised during the periods follows:</w:t>
      </w:r>
    </w:p>
    <w:p>
      <w:pPr>
        <w:spacing w:after="0" w:line="207"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color w:val="auto"/>
        </w:rPr>
        <w:t>Three Months Ended</w:t>
      </w:r>
    </w:p>
    <w:p>
      <w:pPr>
        <w:jc w:val="center"/>
        <w:ind w:left="8180"/>
        <w:spacing w:after="0"/>
        <w:rPr>
          <w:sz w:val="20"/>
          <w:szCs w:val="20"/>
          <w:color w:val="auto"/>
        </w:rPr>
      </w:pPr>
      <w:r>
        <w:rPr>
          <w:rFonts w:ascii="Times New Roman" w:cs="Times New Roman" w:eastAsia="Times New Roman" w:hAnsi="Times New Roman"/>
          <w:sz w:val="17"/>
          <w:szCs w:val="17"/>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w:t>
            </w:r>
          </w:p>
        </w:tc>
        <w:tc>
          <w:tcPr>
            <w:tcW w:w="4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Cash proceeds received</w:t>
            </w:r>
          </w:p>
        </w:tc>
        <w:tc>
          <w:tcPr>
            <w:tcW w:w="45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7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realized</w:t>
            </w:r>
          </w:p>
        </w:tc>
        <w:tc>
          <w:tcPr>
            <w:tcW w:w="4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234"/>
              <w:spacing w:after="0"/>
              <w:rPr>
                <w:sz w:val="20"/>
                <w:szCs w:val="20"/>
                <w:color w:val="auto"/>
              </w:rPr>
            </w:pPr>
            <w:r>
              <w:rPr>
                <w:rFonts w:ascii="Times New Roman" w:cs="Times New Roman" w:eastAsia="Times New Roman" w:hAnsi="Times New Roman"/>
                <w:sz w:val="17"/>
                <w:szCs w:val="17"/>
                <w:color w:val="auto"/>
              </w:rPr>
              <w:t>39</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6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Income Tax</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Income tax expense was $3.5 million and $3.8 million during the three month periods ended March 31, 2025 and 2024,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month periods ending March 31, 2025 and 2024 include reductions of $0.30 million and $0.11 million, respectively, of income tax expense related to the impact of the excess value of stock awards that vested and stock options that were exercised as compared to the initial fair values that were expensed.</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2025, March 31, 2024 and December 31, 2024 that the realization of substantially all of our deferred tax assets continues to be more likely than not.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both March 31, 2025 and December 31, 2024, we had approximately $0.2 million, respectively, of gross unrecognized tax benefits. We do not expect the total amount of unrecognized tax benefits to significantly increase or decrease during the remainder of 2025.</w:t>
      </w:r>
    </w:p>
    <w:p>
      <w:pPr>
        <w:spacing w:after="0" w:line="125" w:lineRule="exact"/>
        <w:rPr>
          <w:sz w:val="20"/>
          <w:szCs w:val="20"/>
          <w:color w:val="auto"/>
        </w:rPr>
      </w:pPr>
    </w:p>
    <w:p>
      <w:pPr>
        <w:ind w:left="380" w:hanging="377"/>
        <w:spacing w:after="0"/>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2025, the Bank had positive undivided profits of $228.5 million. It is not our intent to have dividends paid in amounts that would reduce the capital of our Bank to levels below those which we consider prudent or that would not be in accordance with guidelines of regulatory authorities.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March 31, 2025 and December 31, 2024, categorized our Bank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actual capital amounts and ratios follow (1):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w w:val="99"/>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Adequately Capitalized</w:t>
            </w:r>
          </w:p>
        </w:tc>
        <w:tc>
          <w:tcPr>
            <w:tcW w:w="240" w:type="dxa"/>
            <w:vAlign w:val="bottom"/>
          </w:tcPr>
          <w:p>
            <w:pPr>
              <w:spacing w:after="0"/>
              <w:rPr>
                <w:sz w:val="14"/>
                <w:szCs w:val="14"/>
                <w:color w:val="auto"/>
              </w:rPr>
            </w:pPr>
          </w:p>
        </w:tc>
        <w:tc>
          <w:tcPr>
            <w:tcW w:w="2600" w:type="dxa"/>
            <w:vAlign w:val="bottom"/>
            <w:gridSpan w:val="2"/>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9"/>
              </w:rPr>
              <w:t>Well-Capitalized</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Actual</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Amount</w:t>
            </w: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Ratio</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7"/>
              </w:rPr>
              <w:t>Ratio</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632,083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348,557</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573,522</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347,964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434,955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537,485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261,418</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519,015</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260,973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347,964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498,896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196,063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519,015</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195,730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282,721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537,485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217,485</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519,015</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217,153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271,441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622,444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350,113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567,254</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349,335</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436,668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527,616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262,585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262,001</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349,335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489,044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196,939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196,501</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283,834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527,616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214,332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214,112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267,640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ind w:right="3160" w:firstLine="20"/>
        <w:spacing w:after="0" w:line="413" w:lineRule="auto"/>
        <w:tabs>
          <w:tab w:leader="none" w:pos="58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ratios do not reflect a capital conservation buffer of 2.50% at March 31, 2025 and December 31, 2024. NA - Not applicable</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our regulatory capital are as follows: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auto"/>
              </w:rPr>
              <w:t>Consolidated</w:t>
            </w:r>
          </w:p>
        </w:tc>
        <w:tc>
          <w:tcPr>
            <w:tcW w:w="260" w:type="dxa"/>
            <w:vAlign w:val="bottom"/>
          </w:tcPr>
          <w:p>
            <w:pPr>
              <w:spacing w:after="0"/>
              <w:rPr>
                <w:sz w:val="24"/>
                <w:szCs w:val="24"/>
                <w:color w:val="auto"/>
              </w:rPr>
            </w:pPr>
          </w:p>
        </w:tc>
        <w:tc>
          <w:tcPr>
            <w:tcW w:w="2800" w:type="dxa"/>
            <w:vAlign w:val="bottom"/>
            <w:gridSpan w:val="4"/>
          </w:tcPr>
          <w:p>
            <w:pPr>
              <w:jc w:val="right"/>
              <w:ind w:right="814"/>
              <w:spacing w:after="0"/>
              <w:rPr>
                <w:sz w:val="20"/>
                <w:szCs w:val="20"/>
                <w:color w:val="auto"/>
              </w:rPr>
            </w:pPr>
            <w:r>
              <w:rPr>
                <w:rFonts w:ascii="Times New Roman" w:cs="Times New Roman" w:eastAsia="Times New Roman" w:hAnsi="Times New Roman"/>
                <w:sz w:val="17"/>
                <w:szCs w:val="17"/>
                <w:color w:val="auto"/>
              </w:rPr>
              <w:t>Independent Bank</w:t>
            </w:r>
          </w:p>
        </w:tc>
      </w:tr>
      <w:tr>
        <w:trPr>
          <w:trHeight w:val="160"/>
        </w:trPr>
        <w:tc>
          <w:tcPr>
            <w:tcW w:w="5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60"/>
              <w:spacing w:after="0" w:line="161" w:lineRule="exact"/>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40"/>
              <w:spacing w:after="0" w:line="161" w:lineRule="exact"/>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454,686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487,396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478,188</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 for regulatory purposes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64,146</w:t>
            </w:r>
          </w:p>
        </w:tc>
      </w:tr>
      <w:tr>
        <w:trPr>
          <w:trHeight w:val="245"/>
        </w:trPr>
        <w:tc>
          <w:tcPr>
            <w:tcW w:w="5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Goodwill and other intangibles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(29,788)</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(29,666)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(29,788)</w:t>
            </w:r>
          </w:p>
        </w:tc>
      </w:tr>
      <w:tr>
        <w:trPr>
          <w:trHeight w:val="21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498,896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489,044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512,546</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Qualifying trust preferred securities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Tier 1 capital</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537,485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527,616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519,015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512,546</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Subordinated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504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Allowance for credit losses and allowance for unfunded lending</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commitments limited to 1.25% of total risk-weighted assets</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54,598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54,828</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54,507</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54,708</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risk-based capital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632,083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622,444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573,522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567,254</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hanging="377"/>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Disclosures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standard describes three levels of inputs that may be used to measure fair value:</w:t>
      </w:r>
    </w:p>
    <w:p>
      <w:pPr>
        <w:spacing w:after="0" w:line="17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4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primarily include agency securities, private label mortgage-backed securities, other asset backed securities, obligations of states and political subdivisions, trust preferred securities, corporate securities and foreign government securities.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The fair value of mortgage loans held for sale, carried at fair value is based on agency cash window loan pricing for comparable assets (recurring Level 2).</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dependent loans with specific loss allocations based on collateral value</w:t>
      </w:r>
      <w:r>
        <w:rPr>
          <w:rFonts w:ascii="Times New Roman" w:cs="Times New Roman" w:eastAsia="Times New Roman" w:hAnsi="Times New Roman"/>
          <w:sz w:val="17"/>
          <w:szCs w:val="17"/>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Other real estate</w:t>
      </w:r>
      <w:r>
        <w:rPr>
          <w:rFonts w:ascii="Times New Roman" w:cs="Times New Roman" w:eastAsia="Times New Roman" w:hAnsi="Times New Roman"/>
          <w:sz w:val="17"/>
          <w:szCs w:val="17"/>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7"/>
          <w:szCs w:val="17"/>
          <w:color w:val="auto"/>
        </w:rPr>
        <w:t xml:space="preserve"> Subsequent write-downs to reflect declines in value since the time of acquisition may occur from time to time and are recorded in net gains on other real estate and repossessed assets, which is part of non-interest expense - other in the interim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Capitalized mortgage loan servicing rights</w:t>
      </w:r>
      <w:r>
        <w:rPr>
          <w:rFonts w:ascii="Times New Roman" w:cs="Times New Roman" w:eastAsia="Times New Roman" w:hAnsi="Times New Roman"/>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highlight w:val="white"/>
        </w:rPr>
        <w:t>: The fair value of rate-lock mortgage loan commitments is based on agency cash window loan pricing for comparable assets and the fair value of</w:t>
      </w:r>
      <w:r>
        <w:rPr>
          <w:rFonts w:ascii="Times New Roman" w:cs="Times New Roman" w:eastAsia="Times New Roman" w:hAnsi="Times New Roman"/>
          <w:sz w:val="17"/>
          <w:szCs w:val="17"/>
          <w:color w:val="auto"/>
        </w:rPr>
        <w:t xml:space="preserve"> mandatory commitments to sell mortgage loans is based on mortgage 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w w:val="99"/>
              </w:rPr>
              <w:t>Fair Value Measurements Using</w:t>
            </w: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center"/>
              <w:ind w:left="194"/>
              <w:spacing w:after="0" w:line="161" w:lineRule="exact"/>
              <w:rPr>
                <w:sz w:val="20"/>
                <w:szCs w:val="20"/>
                <w:color w:val="auto"/>
              </w:rPr>
            </w:pPr>
            <w:r>
              <w:rPr>
                <w:rFonts w:ascii="Times New Roman" w:cs="Times New Roman" w:eastAsia="Times New Roman" w:hAnsi="Times New Roman"/>
                <w:sz w:val="17"/>
                <w:szCs w:val="17"/>
                <w:color w:val="auto"/>
              </w:rPr>
              <w:t>Quoted</w:t>
            </w: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color w:val="auto"/>
              </w:rPr>
              <w:t>Prices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center"/>
              <w:ind w:left="194"/>
              <w:spacing w:after="0" w:line="177" w:lineRule="exact"/>
              <w:rPr>
                <w:sz w:val="20"/>
                <w:szCs w:val="20"/>
                <w:color w:val="auto"/>
              </w:rPr>
            </w:pPr>
            <w:r>
              <w:rPr>
                <w:rFonts w:ascii="Times New Roman" w:cs="Times New Roman" w:eastAsia="Times New Roman" w:hAnsi="Times New Roman"/>
                <w:sz w:val="17"/>
                <w:szCs w:val="17"/>
                <w:color w:val="auto"/>
              </w:rPr>
              <w:t>in Active</w:t>
            </w: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72" w:lineRule="exact"/>
              <w:rPr>
                <w:sz w:val="20"/>
                <w:szCs w:val="20"/>
                <w:color w:val="auto"/>
              </w:rPr>
            </w:pPr>
            <w:r>
              <w:rPr>
                <w:rFonts w:ascii="Times New Roman" w:cs="Times New Roman" w:eastAsia="Times New Roman" w:hAnsi="Times New Roman"/>
                <w:sz w:val="17"/>
                <w:szCs w:val="17"/>
                <w:color w:val="auto"/>
              </w:rPr>
              <w:t>Markets</w:t>
            </w:r>
          </w:p>
        </w:tc>
        <w:tc>
          <w:tcPr>
            <w:tcW w:w="540" w:type="dxa"/>
            <w:vAlign w:val="bottom"/>
          </w:tcPr>
          <w:p>
            <w:pPr>
              <w:spacing w:after="0"/>
              <w:rPr>
                <w:sz w:val="14"/>
                <w:szCs w:val="14"/>
                <w:color w:val="auto"/>
              </w:rPr>
            </w:pPr>
          </w:p>
        </w:tc>
        <w:tc>
          <w:tcPr>
            <w:tcW w:w="112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Significant</w:t>
            </w:r>
          </w:p>
        </w:tc>
        <w:tc>
          <w:tcPr>
            <w:tcW w:w="260" w:type="dxa"/>
            <w:vAlign w:val="bottom"/>
          </w:tcPr>
          <w:p>
            <w:pPr>
              <w:spacing w:after="0"/>
              <w:rPr>
                <w:sz w:val="14"/>
                <w:szCs w:val="14"/>
                <w:color w:val="auto"/>
              </w:rPr>
            </w:pPr>
          </w:p>
        </w:tc>
        <w:tc>
          <w:tcPr>
            <w:tcW w:w="110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rPr>
              <w:t>for</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Un-</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color w:val="auto"/>
                <w:w w:val="96"/>
              </w:rPr>
              <w:t>Fair Value</w:t>
            </w:r>
          </w:p>
        </w:tc>
        <w:tc>
          <w:tcPr>
            <w:tcW w:w="1000" w:type="dxa"/>
            <w:vAlign w:val="bottom"/>
          </w:tcPr>
          <w:p>
            <w:pPr>
              <w:jc w:val="center"/>
              <w:ind w:left="194"/>
              <w:spacing w:after="0" w:line="181" w:lineRule="exact"/>
              <w:rPr>
                <w:sz w:val="20"/>
                <w:szCs w:val="20"/>
                <w:color w:val="auto"/>
              </w:rPr>
            </w:pPr>
            <w:r>
              <w:rPr>
                <w:rFonts w:ascii="Times New Roman" w:cs="Times New Roman" w:eastAsia="Times New Roman" w:hAnsi="Times New Roman"/>
                <w:sz w:val="17"/>
                <w:szCs w:val="17"/>
                <w:color w:val="auto"/>
              </w:rPr>
              <w:t>Identical</w:t>
            </w:r>
          </w:p>
        </w:tc>
        <w:tc>
          <w:tcPr>
            <w:tcW w:w="540" w:type="dxa"/>
            <w:vAlign w:val="bottom"/>
          </w:tcPr>
          <w:p>
            <w:pPr>
              <w:spacing w:after="0"/>
              <w:rPr>
                <w:sz w:val="15"/>
                <w:szCs w:val="15"/>
                <w:color w:val="auto"/>
              </w:rPr>
            </w:pPr>
          </w:p>
        </w:tc>
        <w:tc>
          <w:tcPr>
            <w:tcW w:w="112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260" w:type="dxa"/>
            <w:vAlign w:val="bottom"/>
          </w:tcPr>
          <w:p>
            <w:pPr>
              <w:spacing w:after="0"/>
              <w:rPr>
                <w:sz w:val="15"/>
                <w:szCs w:val="15"/>
                <w:color w:val="auto"/>
              </w:rPr>
            </w:pPr>
          </w:p>
        </w:tc>
        <w:tc>
          <w:tcPr>
            <w:tcW w:w="110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Measure-</w:t>
            </w: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ments</w:t>
            </w:r>
          </w:p>
        </w:tc>
        <w:tc>
          <w:tcPr>
            <w:tcW w:w="10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7"/>
                <w:szCs w:val="17"/>
                <w:color w:val="auto"/>
              </w:rPr>
              <w:t>(Level 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gridSpan w:val="3"/>
          </w:tcPr>
          <w:p>
            <w:pPr>
              <w:jc w:val="right"/>
              <w:ind w:right="75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8,674</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8,674</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69,582</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69,582</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11,276</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49,259</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49,259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36,036</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36,036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284,250</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284,250</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69,620</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979</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9,514</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32,171</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33,631</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18,699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3,802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323</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634</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112</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172</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21"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income and other assets</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includes individually evaluated loans with specific allocations of the ACL based on collateral value.</w:t>
      </w: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51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jc w:val="center"/>
              <w:ind w:left="254"/>
              <w:spacing w:after="0" w:line="161" w:lineRule="exact"/>
              <w:rPr>
                <w:sz w:val="20"/>
                <w:szCs w:val="20"/>
                <w:color w:val="auto"/>
              </w:rPr>
            </w:pPr>
            <w:r>
              <w:rPr>
                <w:rFonts w:ascii="Times New Roman" w:cs="Times New Roman" w:eastAsia="Times New Roman" w:hAnsi="Times New Roman"/>
                <w:sz w:val="17"/>
                <w:szCs w:val="17"/>
                <w:color w:val="auto"/>
                <w:w w:val="99"/>
              </w:rPr>
              <w:t>Quoted</w:t>
            </w: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in Active</w:t>
            </w:r>
          </w:p>
        </w:tc>
        <w:tc>
          <w:tcPr>
            <w:tcW w:w="680" w:type="dxa"/>
            <w:vAlign w:val="bottom"/>
          </w:tcPr>
          <w:p>
            <w:pPr>
              <w:spacing w:after="0"/>
              <w:rPr>
                <w:sz w:val="14"/>
                <w:szCs w:val="14"/>
                <w:color w:val="auto"/>
              </w:rPr>
            </w:pPr>
          </w:p>
        </w:tc>
        <w:tc>
          <w:tcPr>
            <w:tcW w:w="12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9"/>
              </w:rPr>
              <w:t>Significant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rPr>
              <w:t>Markets</w:t>
            </w: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74"/>
              <w:spacing w:after="0" w:line="177" w:lineRule="exact"/>
              <w:rPr>
                <w:sz w:val="20"/>
                <w:szCs w:val="20"/>
                <w:color w:val="auto"/>
              </w:rPr>
            </w:pPr>
            <w:r>
              <w:rPr>
                <w:rFonts w:ascii="Times New Roman" w:cs="Times New Roman" w:eastAsia="Times New Roman" w:hAnsi="Times New Roman"/>
                <w:sz w:val="17"/>
                <w:szCs w:val="17"/>
                <w:color w:val="auto"/>
              </w:rPr>
              <w:t>for</w:t>
            </w:r>
          </w:p>
        </w:tc>
        <w:tc>
          <w:tcPr>
            <w:tcW w:w="680" w:type="dxa"/>
            <w:vAlign w:val="bottom"/>
          </w:tcPr>
          <w:p>
            <w:pPr>
              <w:spacing w:after="0"/>
              <w:rPr>
                <w:sz w:val="15"/>
                <w:szCs w:val="15"/>
                <w:color w:val="auto"/>
              </w:rPr>
            </w:pPr>
          </w:p>
        </w:tc>
        <w:tc>
          <w:tcPr>
            <w:tcW w:w="1280" w:type="dxa"/>
            <w:vAlign w:val="bottom"/>
          </w:tcPr>
          <w:p>
            <w:pPr>
              <w:jc w:val="center"/>
              <w:ind w:right="174"/>
              <w:spacing w:after="0" w:line="177" w:lineRule="exact"/>
              <w:rPr>
                <w:sz w:val="20"/>
                <w:szCs w:val="20"/>
                <w:color w:val="auto"/>
              </w:rPr>
            </w:pPr>
            <w:r>
              <w:rPr>
                <w:rFonts w:ascii="Times New Roman" w:cs="Times New Roman" w:eastAsia="Times New Roman" w:hAnsi="Times New Roman"/>
                <w:sz w:val="17"/>
                <w:szCs w:val="17"/>
                <w:color w:val="auto"/>
                <w:w w:val="98"/>
              </w:rPr>
              <w:t>Other</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72" w:lineRule="exact"/>
              <w:rPr>
                <w:sz w:val="20"/>
                <w:szCs w:val="20"/>
                <w:color w:val="auto"/>
              </w:rPr>
            </w:pPr>
            <w:r>
              <w:rPr>
                <w:rFonts w:ascii="Times New Roman" w:cs="Times New Roman" w:eastAsia="Times New Roman" w:hAnsi="Times New Roman"/>
                <w:sz w:val="17"/>
                <w:szCs w:val="17"/>
                <w:color w:val="auto"/>
                <w:w w:val="99"/>
              </w:rPr>
              <w:t>Fair Value</w:t>
            </w: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Identical</w:t>
            </w:r>
          </w:p>
        </w:tc>
        <w:tc>
          <w:tcPr>
            <w:tcW w:w="68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Observable</w:t>
            </w: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8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10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w w:val="98"/>
              </w:rPr>
              <w:t>ments</w:t>
            </w:r>
          </w:p>
        </w:tc>
        <w:tc>
          <w:tcPr>
            <w:tcW w:w="11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8,159</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8,159</w:t>
            </w:r>
          </w:p>
        </w:tc>
        <w:tc>
          <w:tcPr>
            <w:tcW w:w="10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71,137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71,137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11,641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11,641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70,035</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70,035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38,516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38,516</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288,791</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288,791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69,921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69,921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982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7,643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7,643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46,796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37,059</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37,059</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18,623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18,623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4,205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627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172</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includes individually evaluated loans with specific allocations of the ACL based on collateral value.</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fair values for financial assets which we have elected the fair value option for the periods presented were as follows:</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Changes in Fair Values for the three</w:t>
      </w:r>
    </w:p>
    <w:p>
      <w:pPr>
        <w:jc w:val="center"/>
        <w:ind w:left="6600"/>
        <w:spacing w:after="0" w:line="205" w:lineRule="auto"/>
        <w:rPr>
          <w:sz w:val="20"/>
          <w:szCs w:val="20"/>
          <w:color w:val="auto"/>
        </w:rPr>
      </w:pPr>
      <w:r>
        <w:rPr>
          <w:rFonts w:ascii="Times New Roman" w:cs="Times New Roman" w:eastAsia="Times New Roman" w:hAnsi="Times New Roman"/>
          <w:sz w:val="17"/>
          <w:szCs w:val="17"/>
          <w:color w:val="auto"/>
        </w:rPr>
        <w:t>Month Periods Ended March 31 for</w:t>
      </w:r>
    </w:p>
    <w:p>
      <w:pPr>
        <w:jc w:val="center"/>
        <w:ind w:left="6600"/>
        <w:spacing w:after="0" w:line="222" w:lineRule="auto"/>
        <w:rPr>
          <w:sz w:val="20"/>
          <w:szCs w:val="20"/>
          <w:color w:val="auto"/>
        </w:rPr>
      </w:pPr>
      <w:r>
        <w:rPr>
          <w:rFonts w:ascii="Times New Roman" w:cs="Times New Roman" w:eastAsia="Times New Roman" w:hAnsi="Times New Roman"/>
          <w:sz w:val="17"/>
          <w:szCs w:val="17"/>
          <w:color w:val="auto"/>
        </w:rPr>
        <w:t>items Measured at Fair Value Pursuant</w:t>
      </w:r>
    </w:p>
    <w:p>
      <w:pPr>
        <w:ind w:left="7700"/>
        <w:spacing w:after="0"/>
        <w:rPr>
          <w:sz w:val="20"/>
          <w:szCs w:val="20"/>
          <w:color w:val="auto"/>
        </w:rPr>
      </w:pPr>
      <w:r>
        <w:rPr>
          <w:rFonts w:ascii="Times New Roman" w:cs="Times New Roman" w:eastAsia="Times New Roman" w:hAnsi="Times New Roman"/>
          <w:sz w:val="17"/>
          <w:szCs w:val="17"/>
          <w:color w:val="auto"/>
        </w:rPr>
        <w:t>to Election of the Fair Value 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77" w:lineRule="exact"/>
              <w:rPr>
                <w:sz w:val="20"/>
                <w:szCs w:val="20"/>
                <w:color w:val="auto"/>
              </w:rPr>
            </w:pPr>
            <w:r>
              <w:rPr>
                <w:rFonts w:ascii="Times New Roman" w:cs="Times New Roman" w:eastAsia="Times New Roman" w:hAnsi="Times New Roman"/>
                <w:sz w:val="17"/>
                <w:szCs w:val="17"/>
                <w:color w:val="auto"/>
              </w:rPr>
              <w:t>in 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160" w:type="dxa"/>
            <w:vAlign w:val="bottom"/>
            <w:vMerge w:val="restart"/>
          </w:tcPr>
          <w:p>
            <w:pPr>
              <w:jc w:val="center"/>
              <w:ind w:left="234"/>
              <w:spacing w:after="0"/>
              <w:rPr>
                <w:sz w:val="20"/>
                <w:szCs w:val="20"/>
                <w:color w:val="auto"/>
              </w:rPr>
            </w:pPr>
            <w:r>
              <w:rPr>
                <w:rFonts w:ascii="Times New Roman" w:cs="Times New Roman" w:eastAsia="Times New Roman" w:hAnsi="Times New Roman"/>
                <w:sz w:val="17"/>
                <w:szCs w:val="17"/>
                <w:color w:val="auto"/>
                <w:w w:val="99"/>
              </w:rPr>
              <w:t>Net Gains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7"/>
              </w:rPr>
              <w:t>Values</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Included</w:t>
            </w:r>
          </w:p>
        </w:tc>
        <w:tc>
          <w:tcPr>
            <w:tcW w:w="0" w:type="dxa"/>
            <w:vAlign w:val="bottom"/>
          </w:tcPr>
          <w:p>
            <w:pPr>
              <w:spacing w:after="0"/>
              <w:rPr>
                <w:sz w:val="1"/>
                <w:szCs w:val="1"/>
                <w:color w:val="auto"/>
              </w:rPr>
            </w:pPr>
          </w:p>
        </w:tc>
      </w:tr>
      <w:tr>
        <w:trPr>
          <w:trHeight w:val="64"/>
        </w:trPr>
        <w:tc>
          <w:tcPr>
            <w:tcW w:w="6620" w:type="dxa"/>
            <w:vAlign w:val="bottom"/>
          </w:tcPr>
          <w:p>
            <w:pPr>
              <w:spacing w:after="0"/>
              <w:rPr>
                <w:sz w:val="5"/>
                <w:szCs w:val="5"/>
                <w:color w:val="auto"/>
              </w:rPr>
            </w:pPr>
          </w:p>
        </w:tc>
        <w:tc>
          <w:tcPr>
            <w:tcW w:w="116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auto"/>
              </w:rPr>
              <w:t>on Assets</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9"/>
              </w:rPr>
              <w:t>Mortgage</w:t>
            </w:r>
          </w:p>
        </w:tc>
        <w:tc>
          <w:tcPr>
            <w:tcW w:w="124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color w:val="auto"/>
              </w:rPr>
              <w:t>in Current</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1160" w:type="dxa"/>
            <w:vAlign w:val="bottom"/>
          </w:tcPr>
          <w:p>
            <w:pPr>
              <w:jc w:val="center"/>
              <w:ind w:left="234"/>
              <w:spacing w:after="0" w:line="161" w:lineRule="exact"/>
              <w:rPr>
                <w:sz w:val="20"/>
                <w:szCs w:val="20"/>
                <w:color w:val="auto"/>
              </w:rPr>
            </w:pPr>
            <w:r>
              <w:rPr>
                <w:rFonts w:ascii="Times New Roman" w:cs="Times New Roman" w:eastAsia="Times New Roman" w:hAnsi="Times New Roman"/>
                <w:sz w:val="17"/>
                <w:szCs w:val="17"/>
                <w:color w:val="auto"/>
              </w:rPr>
              <w:t>Mortgage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7"/>
              </w:rPr>
              <w:t>Loan</w:t>
            </w: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w w:val="99"/>
              </w:rPr>
              <w:t>Period</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116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Loans</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9"/>
              </w:rPr>
              <w:t>Servicing, net</w:t>
            </w: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w w:val="99"/>
              </w:rPr>
              <w:t>Earnings</w:t>
            </w:r>
          </w:p>
        </w:tc>
        <w:tc>
          <w:tcPr>
            <w:tcW w:w="0" w:type="dxa"/>
            <w:vAlign w:val="bottom"/>
          </w:tcPr>
          <w:p>
            <w:pPr>
              <w:spacing w:after="0"/>
              <w:rPr>
                <w:sz w:val="1"/>
                <w:szCs w:val="1"/>
                <w:color w:val="auto"/>
              </w:rPr>
            </w:pPr>
          </w:p>
        </w:tc>
      </w:tr>
      <w:tr>
        <w:trPr>
          <w:trHeight w:val="2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(2,424)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506</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those items measured at fair value pursuant to our election of the fair value option, interest income is recorded within the interim Condensed Consolidated Statements of Operations based on the contractual amount of interest income earned on these financial assets and dividend income is recorded based on cash dividends received.</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represent impairment charges recognized during the three month periods ended March 31, 2025 and 2024 relating to assets measured at fair value on a non-recurring basis:</w:t>
      </w:r>
    </w:p>
    <w:p>
      <w:pPr>
        <w:spacing w:after="0" w:line="1" w:lineRule="exact"/>
        <w:rPr>
          <w:sz w:val="20"/>
          <w:szCs w:val="20"/>
          <w:color w:val="auto"/>
        </w:rPr>
      </w:pPr>
    </w:p>
    <w:p>
      <w:pPr>
        <w:jc w:val="both"/>
        <w:ind w:left="620" w:hanging="307"/>
        <w:spacing w:after="0" w:line="25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that are individually evaluated using the fair value of collateral for collateral dependent loans had a carrying amount of $5.3 million, which is net of a valuation allowance of $3.7 million at March 31, 2025, and had a carrying amount of $5.5 million, which is net of a valuation allowance of $2.3 million at December 31, 2024. The provision for credit losses included in our results of operations relating to collateral dependent loans was a net expense of $1.7 million and $1.6 million for the three month periods ending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for all assets measured at fair value on a recurring basis using significant unobservable inputs (Level 3) follows:</w:t>
      </w:r>
    </w:p>
    <w:p>
      <w:pPr>
        <w:spacing w:after="0" w:line="2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color w:val="auto"/>
        </w:rPr>
        <w:t>Capitalized Mortgage Loan Servicing</w:t>
      </w:r>
    </w:p>
    <w:p>
      <w:pPr>
        <w:jc w:val="center"/>
        <w:ind w:left="8160"/>
        <w:spacing w:after="0"/>
        <w:rPr>
          <w:sz w:val="20"/>
          <w:szCs w:val="20"/>
          <w:color w:val="auto"/>
        </w:rPr>
      </w:pPr>
      <w:r>
        <w:rPr>
          <w:rFonts w:ascii="Times New Roman" w:cs="Times New Roman" w:eastAsia="Times New Roman" w:hAnsi="Times New Roman"/>
          <w:sz w:val="17"/>
          <w:szCs w:val="17"/>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13970</wp:posOffset>
            </wp:positionV>
            <wp:extent cx="19399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color w:val="auto"/>
        </w:rPr>
        <w:t>Three Months Ended</w:t>
      </w:r>
    </w:p>
    <w:p>
      <w:pPr>
        <w:jc w:val="center"/>
        <w:ind w:left="8160"/>
        <w:spacing w:after="0"/>
        <w:rPr>
          <w:sz w:val="20"/>
          <w:szCs w:val="20"/>
          <w:color w:val="auto"/>
        </w:rPr>
      </w:pPr>
      <w:r>
        <w:rPr>
          <w:rFonts w:ascii="Times New Roman" w:cs="Times New Roman" w:eastAsia="Times New Roman" w:hAnsi="Times New Roman"/>
          <w:sz w:val="17"/>
          <w:szCs w:val="17"/>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gains (losses) realized and unrealized: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19"/>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 - gain on sale(1)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other comprehensive loss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issuances, settlements, maturities and calls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1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 of total gains (losses) for the period included in earnings attributable to the change in unrealized gains</w:t>
            </w:r>
          </w:p>
        </w:tc>
        <w:tc>
          <w:tcPr>
            <w:tcW w:w="3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2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(losses) relating to assets and liabilities still held at March 31</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320" w:hanging="317"/>
        <w:spacing w:after="0" w:line="258" w:lineRule="auto"/>
        <w:tabs>
          <w:tab w:leader="none" w:pos="46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$0.5 million relating to this transaction, we are not aware of any issues that will have a material impact on this final payment. Transaction expenses relating to this sale were approximately $0.3 million and was expensed during the first quarter of 2025.</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mortgage loan servicing rights. Quantitative information about our Level 3 fair value measurements measured on a recurring basis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Asset</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Valuation</w:t>
            </w:r>
          </w:p>
        </w:tc>
        <w:tc>
          <w:tcPr>
            <w:tcW w:w="100" w:type="dxa"/>
            <w:vAlign w:val="bottom"/>
          </w:tcPr>
          <w:p>
            <w:pPr>
              <w:spacing w:after="0"/>
              <w:rPr>
                <w:sz w:val="17"/>
                <w:szCs w:val="17"/>
                <w:color w:val="auto"/>
              </w:rPr>
            </w:pPr>
          </w:p>
        </w:tc>
        <w:tc>
          <w:tcPr>
            <w:tcW w:w="19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auto"/>
              </w:rPr>
              <w:t>Unobservable</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68"/>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7"/>
                <w:szCs w:val="17"/>
                <w:color w:val="auto"/>
              </w:rPr>
              <w:t>Fair</w:t>
            </w:r>
          </w:p>
        </w:tc>
        <w:tc>
          <w:tcPr>
            <w:tcW w:w="2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Value</w:t>
            </w: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Technique</w:t>
            </w:r>
          </w:p>
        </w:tc>
        <w:tc>
          <w:tcPr>
            <w:tcW w:w="100" w:type="dxa"/>
            <w:vAlign w:val="bottom"/>
          </w:tcPr>
          <w:p>
            <w:pPr>
              <w:spacing w:after="0"/>
              <w:rPr>
                <w:sz w:val="20"/>
                <w:szCs w:val="20"/>
                <w:color w:val="auto"/>
              </w:rPr>
            </w:pPr>
          </w:p>
        </w:tc>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Inputs</w:t>
            </w:r>
          </w:p>
        </w:tc>
        <w:tc>
          <w:tcPr>
            <w:tcW w:w="19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Range</w:t>
            </w:r>
          </w:p>
        </w:tc>
        <w:tc>
          <w:tcPr>
            <w:tcW w:w="280" w:type="dxa"/>
            <w:vAlign w:val="bottom"/>
          </w:tcPr>
          <w:p>
            <w:pPr>
              <w:spacing w:after="0"/>
              <w:rPr>
                <w:sz w:val="20"/>
                <w:szCs w:val="20"/>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216"/>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8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Capitalized mortgage loan</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rPr>
              <w:t>Present value of net servicing</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servicing rights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32,171</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 to 17.51%</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10.38 %</w:t>
            </w:r>
          </w:p>
        </w:tc>
        <w:tc>
          <w:tcPr>
            <w:tcW w:w="0" w:type="dxa"/>
            <w:vAlign w:val="bottom"/>
          </w:tcPr>
          <w:p>
            <w:pPr>
              <w:spacing w:after="0"/>
              <w:rPr>
                <w:sz w:val="1"/>
                <w:szCs w:val="1"/>
                <w:color w:val="auto"/>
              </w:rPr>
            </w:pPr>
          </w:p>
        </w:tc>
      </w:tr>
      <w:tr>
        <w:trPr>
          <w:trHeight w:val="219"/>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 to $227</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 to 30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Float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3.93 %</w:t>
            </w: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5.33% to 29.15%</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8.62 %</w:t>
            </w:r>
          </w:p>
        </w:tc>
        <w:tc>
          <w:tcPr>
            <w:tcW w:w="0" w:type="dxa"/>
            <w:vAlign w:val="bottom"/>
          </w:tcPr>
          <w:p>
            <w:pPr>
              <w:spacing w:after="0"/>
              <w:rPr>
                <w:sz w:val="1"/>
                <w:szCs w:val="1"/>
                <w:color w:val="auto"/>
              </w:rPr>
            </w:pPr>
          </w:p>
        </w:tc>
      </w:tr>
      <w:tr>
        <w:trPr>
          <w:trHeight w:val="219"/>
        </w:trPr>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8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Capitalized mortgage loan</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rPr>
              <w:t>Present value of net servicing</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servicing rights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 to 19.15%</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10.37 %</w:t>
            </w:r>
          </w:p>
        </w:tc>
        <w:tc>
          <w:tcPr>
            <w:tcW w:w="0" w:type="dxa"/>
            <w:vAlign w:val="bottom"/>
          </w:tcPr>
          <w:p>
            <w:pPr>
              <w:spacing w:after="0"/>
              <w:rPr>
                <w:sz w:val="1"/>
                <w:szCs w:val="1"/>
                <w:color w:val="auto"/>
              </w:rPr>
            </w:pPr>
          </w:p>
        </w:tc>
      </w:tr>
      <w:tr>
        <w:trPr>
          <w:trHeight w:val="219"/>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 to $817</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 to 30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Float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4.33 %</w:t>
            </w: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5.40% to 28.28%</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0" w:type="dxa"/>
            <w:vAlign w:val="bottom"/>
          </w:tcPr>
          <w:p>
            <w:pPr>
              <w:spacing w:after="0"/>
              <w:rPr>
                <w:sz w:val="1"/>
                <w:szCs w:val="1"/>
                <w:color w:val="auto"/>
              </w:rPr>
            </w:pPr>
          </w:p>
        </w:tc>
      </w:tr>
      <w:tr>
        <w:trPr>
          <w:trHeight w:val="851"/>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00" w:type="dxa"/>
            <w:vAlign w:val="bottom"/>
            <w:gridSpan w:val="2"/>
          </w:tcPr>
          <w:p>
            <w:pPr>
              <w:jc w:val="right"/>
              <w:ind w:right="1634"/>
              <w:spacing w:after="0"/>
              <w:rPr>
                <w:sz w:val="20"/>
                <w:szCs w:val="20"/>
                <w:color w:val="auto"/>
              </w:rPr>
            </w:pPr>
            <w:r>
              <w:rPr>
                <w:rFonts w:ascii="Times New Roman" w:cs="Times New Roman" w:eastAsia="Times New Roman" w:hAnsi="Times New Roman"/>
                <w:sz w:val="17"/>
                <w:szCs w:val="17"/>
                <w:color w:val="auto"/>
                <w:w w:val="93"/>
              </w:rPr>
              <w:t>48</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Asset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Fair</w:t>
            </w:r>
          </w:p>
        </w:tc>
        <w:tc>
          <w:tcPr>
            <w:tcW w:w="2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Valuation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Unobservable</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3"/>
              </w:rPr>
              <w:t>Value</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Technique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r>
      <w:tr>
        <w:trPr>
          <w:trHeight w:val="25"/>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5"/>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45"/>
        </w:trPr>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7"/>
                <w:szCs w:val="17"/>
                <w:color w:val="auto"/>
                <w:w w:val="99"/>
              </w:rPr>
              <w:t>March 31, 2025</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w w:val="99"/>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28"/>
        </w:trPr>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503"/>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rPr>
              <w:t>December 31, 2024</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w w:val="99"/>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4,337</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28"/>
        </w:trPr>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-2758440</wp:posOffset>
            </wp:positionV>
            <wp:extent cx="7138670" cy="556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-1906905</wp:posOffset>
            </wp:positionV>
            <wp:extent cx="7138670" cy="294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-1448435</wp:posOffset>
            </wp:positionV>
            <wp:extent cx="7138670" cy="155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-1137285</wp:posOffset>
            </wp:positionV>
            <wp:extent cx="7138670" cy="556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7138670" cy="294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Weighted</w:t>
      </w:r>
    </w:p>
    <w:p>
      <w:pPr>
        <w:spacing w:after="0" w:line="28"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7"/>
          <w:szCs w:val="17"/>
          <w:color w:val="auto"/>
        </w:rPr>
        <w:t>Range</w:t>
      </w:r>
      <w:r>
        <w:rPr>
          <w:sz w:val="20"/>
          <w:szCs w:val="20"/>
          <w:color w:val="auto"/>
        </w:rPr>
        <w:tab/>
      </w:r>
      <w:r>
        <w:rPr>
          <w:rFonts w:ascii="Times New Roman" w:cs="Times New Roman" w:eastAsia="Times New Roman" w:hAnsi="Times New Roman"/>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22860</wp:posOffset>
            </wp:positionV>
            <wp:extent cx="20059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50.0% to 65.0%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58.7 %</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(20.0) to 65.0</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(3.3)</w:t>
            </w:r>
          </w:p>
        </w:tc>
      </w:tr>
      <w:tr>
        <w:trPr>
          <w:trHeight w:val="477"/>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(22.0) to 21.7</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45.0% to 55.0%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5"/>
              </w:rPr>
              <w:t>50.5 %</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(20.0) to 35.0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(1.4)</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(22.0) to 21.7</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(0.4)</w:t>
            </w:r>
          </w:p>
        </w:tc>
      </w:tr>
    </w:tbl>
    <w:p>
      <w:pPr>
        <w:spacing w:after="0" w:line="200" w:lineRule="exact"/>
        <w:rPr>
          <w:sz w:val="20"/>
          <w:szCs w:val="20"/>
          <w:color w:val="auto"/>
        </w:rPr>
      </w:pPr>
    </w:p>
    <w:p>
      <w:pPr>
        <w:sectPr>
          <w:pgSz w:w="11900" w:h="16838" w:orient="portrait"/>
          <w:cols w:equalWidth="0" w:num="2">
            <w:col w:w="8000" w:space="720"/>
            <w:col w:w="2520"/>
          </w:cols>
          <w:pgMar w:left="320" w:top="119" w:right="339" w:bottom="1440" w:gutter="0" w:footer="0" w:header="0"/>
          <w:type w:val="continuous"/>
        </w:sectPr>
      </w:pPr>
    </w:p>
    <w:p>
      <w:pPr>
        <w:spacing w:after="0" w:line="105" w:lineRule="exact"/>
        <w:rPr>
          <w:sz w:val="20"/>
          <w:szCs w:val="20"/>
          <w:color w:val="auto"/>
        </w:rPr>
      </w:pPr>
    </w:p>
    <w:p>
      <w:pPr>
        <w:jc w:val="both"/>
        <w:ind w:left="580" w:right="20" w:hanging="560"/>
        <w:spacing w:after="0" w:line="270" w:lineRule="auto"/>
        <w:tabs>
          <w:tab w:leader="none" w:pos="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valuation techniques and unobservable inputs discussed above, at March 31, 2025 and December 31, 2024 certain collateral dependent installment loans totaling approximately $0.35 million and $0.29 million, respectively, are secured by collateral other than real estate. For the majority of these loans, we apply internal discount rates to industry valuation guides.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Aggregate</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Contractual</w:t>
            </w:r>
          </w:p>
        </w:tc>
      </w:tr>
      <w:tr>
        <w:trPr>
          <w:trHeight w:val="232"/>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Difference</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Principal</w:t>
            </w:r>
          </w:p>
        </w:tc>
      </w:tr>
      <w:tr>
        <w:trPr>
          <w:trHeight w:val="225"/>
        </w:trPr>
        <w:tc>
          <w:tcPr>
            <w:tcW w:w="36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1"/>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2025</w:t>
            </w:r>
          </w:p>
        </w:tc>
        <w:tc>
          <w:tcPr>
            <w:tcW w:w="3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133</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9,381</w:t>
            </w:r>
          </w:p>
        </w:tc>
      </w:tr>
      <w:tr>
        <w:trPr>
          <w:trHeight w:val="232"/>
        </w:trPr>
        <w:tc>
          <w:tcPr>
            <w:tcW w:w="3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7,643</w:t>
            </w:r>
          </w:p>
        </w:tc>
        <w:tc>
          <w:tcPr>
            <w:tcW w:w="2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78</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w:t>
            </w:r>
          </w:p>
        </w:tc>
      </w:tr>
      <w:tr>
        <w:trPr>
          <w:trHeight w:val="877"/>
        </w:trPr>
        <w:tc>
          <w:tcPr>
            <w:tcW w:w="3600" w:type="dxa"/>
            <w:vAlign w:val="bottom"/>
          </w:tcPr>
          <w:p>
            <w:pPr>
              <w:spacing w:after="0"/>
              <w:rPr>
                <w:sz w:val="24"/>
                <w:szCs w:val="24"/>
                <w:color w:val="auto"/>
              </w:rPr>
            </w:pPr>
          </w:p>
        </w:tc>
        <w:tc>
          <w:tcPr>
            <w:tcW w:w="302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49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Values of Financial Instruments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estimated recorded book balances and fair values follow:</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9"/>
              </w:rPr>
              <w:t>Fair Value Using</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76" w:lineRule="exact"/>
              <w:rPr>
                <w:sz w:val="20"/>
                <w:szCs w:val="20"/>
                <w:color w:val="auto"/>
              </w:rPr>
            </w:pPr>
            <w:r>
              <w:rPr>
                <w:rFonts w:ascii="Times New Roman" w:cs="Times New Roman" w:eastAsia="Times New Roman" w:hAnsi="Times New Roman"/>
                <w:sz w:val="17"/>
                <w:szCs w:val="17"/>
                <w:color w:val="auto"/>
                <w:w w:val="99"/>
              </w:rPr>
              <w:t>Quoted</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Prices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4"/>
                <w:szCs w:val="14"/>
                <w:color w:val="auto"/>
              </w:rPr>
            </w:pPr>
          </w:p>
        </w:tc>
        <w:tc>
          <w:tcPr>
            <w:tcW w:w="13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20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rPr>
              <w:t>Markets</w:t>
            </w: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color w:val="auto"/>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40" w:type="dxa"/>
            <w:vAlign w:val="bottom"/>
          </w:tcPr>
          <w:p>
            <w:pPr>
              <w:spacing w:after="0"/>
              <w:rPr>
                <w:sz w:val="14"/>
                <w:szCs w:val="14"/>
                <w:color w:val="auto"/>
              </w:rPr>
            </w:pPr>
          </w:p>
        </w:tc>
        <w:tc>
          <w:tcPr>
            <w:tcW w:w="13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14"/>
                <w:szCs w:val="14"/>
                <w:color w:val="auto"/>
              </w:rPr>
            </w:pPr>
          </w:p>
        </w:tc>
        <w:tc>
          <w:tcPr>
            <w:tcW w:w="11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4"/>
                <w:szCs w:val="14"/>
                <w:color w:val="auto"/>
              </w:rPr>
            </w:pPr>
          </w:p>
        </w:tc>
        <w:tc>
          <w:tcPr>
            <w:tcW w:w="136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20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color w:val="auto"/>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36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w w:val="98"/>
              </w:rPr>
              <w:t>Inputs</w:t>
            </w:r>
          </w:p>
        </w:tc>
        <w:tc>
          <w:tcPr>
            <w:tcW w:w="200" w:type="dxa"/>
            <w:vAlign w:val="bottom"/>
          </w:tcPr>
          <w:p>
            <w:pPr>
              <w:spacing w:after="0"/>
              <w:rPr>
                <w:sz w:val="15"/>
                <w:szCs w:val="15"/>
                <w:color w:val="auto"/>
              </w:rPr>
            </w:pPr>
          </w:p>
        </w:tc>
        <w:tc>
          <w:tcPr>
            <w:tcW w:w="116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rPr>
              <w:t>Balance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60,566</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60,566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60,566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67,579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67,579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67,579</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529,676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529,676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529,676</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336,928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302,579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302,579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15,587</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4,022,170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3,825,830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9,514</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3,816,316</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18,807</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18,807</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5,245</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13,423</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33,631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33,631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33,631</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3,810,665</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3,810,665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3,810,665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823,266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821,048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821,048</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45,014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45,014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45,014</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39,605</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40,226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40,226</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39,813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39,899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39,899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3,992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3,992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362</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3,630</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18,699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18,699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18,699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56,984</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56,984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56,984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62,898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62,898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62,898</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559,182</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559,182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559,182</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339,436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301,860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301,860</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16,099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3,987,089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3,772,862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7,643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3,765,219</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19,113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19,113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5,606</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13,461</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37,059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37,059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37,059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3,806,185</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3,806,185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3,806,185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847,903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845,534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845,534</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45,009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44,996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44,996</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39,586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40,412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40,412</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39,796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40,235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40,235</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3,109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3,109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374</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2,735</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18,623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18,623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18,623</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80" w:right="20" w:hanging="560"/>
        <w:spacing w:after="0" w:line="180" w:lineRule="auto"/>
        <w:tabs>
          <w:tab w:leader="none" w:pos="580" w:val="left"/>
        </w:tabs>
        <w:numPr>
          <w:ilvl w:val="0"/>
          <w:numId w:val="2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2"/>
          <w:szCs w:val="12"/>
          <w:color w:val="auto"/>
        </w:rPr>
        <w:t>Deposits with no stated maturity include reciprocal deposits with a recorded book balance of $802.937 million and $797.224 million at March 31, 2025 and December 31, 2024, respectively. Deposits with a stated maturity include reciprocal deposits with a recorded book balance of $107.589 million and $109.807 million at March 31, 2025 and December 31, 2024,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for commitments to extend credit and standby letters of credit are estimated to approximate their aggregate book balance, which is nominal and therefore are not disclosed.</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Contingencies</w:t>
      </w:r>
    </w:p>
    <w:p>
      <w:pPr>
        <w:spacing w:after="0" w:line="230" w:lineRule="exact"/>
        <w:rPr>
          <w:sz w:val="20"/>
          <w:szCs w:val="20"/>
          <w:color w:val="auto"/>
        </w:rPr>
      </w:pPr>
    </w:p>
    <w:p>
      <w:pPr>
        <w:jc w:val="both"/>
        <w:ind w:firstLine="309"/>
        <w:spacing w:after="0" w:line="235" w:lineRule="auto"/>
        <w:rPr>
          <w:sz w:val="20"/>
          <w:szCs w:val="20"/>
          <w:color w:val="auto"/>
        </w:rPr>
      </w:pPr>
      <w:r>
        <w:rPr>
          <w:rFonts w:ascii="Times New Roman" w:cs="Times New Roman" w:eastAsia="Times New Roman" w:hAnsi="Times New Roman"/>
          <w:sz w:val="17"/>
          <w:szCs w:val="17"/>
          <w:color w:val="auto"/>
        </w:rPr>
        <w:t>Pressures from various global and national macroeconomic conditions, including significant volatility and uncertainty with U.S. and global market conditions, the direct and indirect impacts of potential changes to U.S. trade policies, recessionary concerns, uncertainty regarding future interest rates, foreign currency exchange rate fluctuations, the continuation of the Russia-Ukraine war, ongoing and potentially increasing conflict in the Middle East, and potential governmental responses to these events, continue to create significant economic uncertainty. In addition, pursuit of various initiatives announced by the Trump administration may create some degree of volatility in our customers’ businesses, regulation of the financial services industry, and the markets in which we operate.</w:t>
      </w:r>
    </w:p>
    <w:p>
      <w:pPr>
        <w:spacing w:after="0" w:line="203" w:lineRule="exact"/>
        <w:rPr>
          <w:sz w:val="20"/>
          <w:szCs w:val="20"/>
          <w:color w:val="auto"/>
        </w:rPr>
      </w:pPr>
    </w:p>
    <w:p>
      <w:pPr>
        <w:jc w:val="both"/>
        <w:ind w:firstLine="309"/>
        <w:spacing w:after="0" w:line="234" w:lineRule="auto"/>
        <w:rPr>
          <w:sz w:val="20"/>
          <w:szCs w:val="20"/>
          <w:color w:val="auto"/>
        </w:rPr>
      </w:pPr>
      <w:r>
        <w:rPr>
          <w:rFonts w:ascii="Times New Roman" w:cs="Times New Roman" w:eastAsia="Times New Roman" w:hAnsi="Times New Roman"/>
          <w:sz w:val="17"/>
          <w:szCs w:val="17"/>
          <w:color w:val="auto"/>
        </w:rPr>
        <w:t>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securities held to maturity, loans, capitalized mortgage loan servicing rights or deferred tax assets.</w:t>
      </w:r>
    </w:p>
    <w:p>
      <w:pPr>
        <w:spacing w:after="0" w:line="205" w:lineRule="exact"/>
        <w:rPr>
          <w:sz w:val="20"/>
          <w:szCs w:val="20"/>
          <w:color w:val="auto"/>
        </w:rPr>
      </w:pPr>
    </w:p>
    <w:p>
      <w:pPr>
        <w:jc w:val="both"/>
        <w:ind w:firstLine="309"/>
        <w:spacing w:after="0" w:line="238" w:lineRule="auto"/>
        <w:rPr>
          <w:sz w:val="20"/>
          <w:szCs w:val="20"/>
          <w:color w:val="auto"/>
        </w:rPr>
      </w:pPr>
      <w:r>
        <w:rPr>
          <w:rFonts w:ascii="Times New Roman" w:cs="Times New Roman" w:eastAsia="Times New Roman" w:hAnsi="Times New Roman"/>
          <w:sz w:val="17"/>
          <w:szCs w:val="17"/>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not 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Visa Stock</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Each Class C share automatically converts to 4 shares of Visa Inc. Class A common stock upon a transfer to anyone other than a Visa member or an affiliate of a Visa member. The Class B-2 shares have the same transfer restrictions as the transfer restrictions on the Class B-1 shares and can only be sold to other Class B shareholders.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of the very limited liquidity for the Class B-1 shares (prior to completion of the exchange offer) and uncertainty regarding the likelihood, ultimate timing, and eventual exchange rate for Class B-1 shares into Class A shares, we were carrying these shares at zero, representing cost basis less impairment. In light of the continued uncertainty regarding the likelihood, ultimate timing, and eventual exchange rate for Class B-2 shares into Class A shares, we are carrying the Class B-2 shares at zero, representing cost basis less impairment. However, given the current conversion ratio of 1.5342 Class A shares for every 1 Class B-2 share and the closing price of Visa Class A shares on May 2, 2025 of $347.60 per share, our 6,283 Class B-2 shares would have a current “value” of approximately $3.4 million.</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condition to our participation in the exchange offer,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 are designed to equal the decline in value we would have experienced had we not participated in Visa’s exchange offer. Based on the disclosures that have been made by Visa regarding the status of this litigation and other circumstances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relating to the exchange offer and potential future, similar exchange offers, we believe the likelihood we will have to make any payments under the Makewhole Agreement is remote.</w:t>
      </w:r>
    </w:p>
    <w:p>
      <w:pPr>
        <w:spacing w:after="0" w:line="125" w:lineRule="exact"/>
        <w:rPr>
          <w:sz w:val="20"/>
          <w:szCs w:val="20"/>
          <w:color w:val="auto"/>
        </w:rPr>
      </w:pPr>
    </w:p>
    <w:p>
      <w:pPr>
        <w:ind w:right="7240" w:firstLine="3"/>
        <w:spacing w:after="0" w:line="490" w:lineRule="auto"/>
        <w:tabs>
          <w:tab w:leader="none" w:pos="38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Accumulated Other Comprehensive Loss (“AOCL”) </w:t>
      </w:r>
      <w:r>
        <w:rPr>
          <w:rFonts w:ascii="Times New Roman" w:cs="Times New Roman" w:eastAsia="Times New Roman" w:hAnsi="Times New Roman"/>
          <w:sz w:val="17"/>
          <w:szCs w:val="17"/>
          <w:color w:val="auto"/>
        </w:rPr>
        <w:t>A summary of changes in AOCL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 Effects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Unrealized Gains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three months ended March 31,</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(69,944)</w:t>
            </w:r>
          </w:p>
        </w:tc>
        <w:tc>
          <w:tcPr>
            <w:tcW w:w="0" w:type="dxa"/>
            <w:vAlign w:val="bottom"/>
          </w:tcPr>
          <w:p>
            <w:pPr>
              <w:spacing w:after="0"/>
              <w:rPr>
                <w:sz w:val="1"/>
                <w:szCs w:val="1"/>
                <w:color w:val="auto"/>
              </w:rPr>
            </w:pPr>
          </w:p>
        </w:tc>
      </w:tr>
      <w:tr>
        <w:trPr>
          <w:trHeight w:val="21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2,265</w:t>
            </w:r>
          </w:p>
        </w:tc>
        <w:tc>
          <w:tcPr>
            <w:tcW w:w="0" w:type="dxa"/>
            <w:vAlign w:val="bottom"/>
          </w:tcPr>
          <w:p>
            <w:pPr>
              <w:spacing w:after="0"/>
              <w:rPr>
                <w:sz w:val="1"/>
                <w:szCs w:val="1"/>
                <w:color w:val="auto"/>
              </w:rPr>
            </w:pPr>
          </w:p>
        </w:tc>
      </w:tr>
      <w:tr>
        <w:trPr>
          <w:trHeight w:val="223"/>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32"/>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0" w:type="dxa"/>
            <w:vAlign w:val="bottom"/>
          </w:tcPr>
          <w:p>
            <w:pPr>
              <w:spacing w:after="0"/>
              <w:rPr>
                <w:sz w:val="1"/>
                <w:szCs w:val="1"/>
                <w:color w:val="auto"/>
              </w:rPr>
            </w:pP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(67,083)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(72,142)</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(49,697)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(71,629)</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AFS.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three months ended March 31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Interim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5940" w:hanging="1059"/>
        <w:spacing w:after="0"/>
        <w:tabs>
          <w:tab w:leader="none" w:pos="5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(330)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(261)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422  Interest income</w:t>
      </w:r>
    </w:p>
    <w:p>
      <w:pPr>
        <w:spacing w:after="0" w:line="49"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424</w:t>
      </w:r>
    </w:p>
    <w:p>
      <w:pPr>
        <w:spacing w:after="0" w:line="49" w:lineRule="exact"/>
        <w:rPr>
          <w:sz w:val="20"/>
          <w:szCs w:val="20"/>
          <w:color w:val="auto"/>
        </w:rPr>
      </w:pPr>
    </w:p>
    <w:p>
      <w:pPr>
        <w:ind w:left="6100"/>
        <w:spacing w:after="0"/>
        <w:tabs>
          <w:tab w:leader="none" w:pos="6440" w:val="left"/>
        </w:tabs>
        <w:rPr>
          <w:sz w:val="20"/>
          <w:szCs w:val="20"/>
          <w:color w:val="auto"/>
        </w:rPr>
      </w:pPr>
      <w:r>
        <w:rPr>
          <w:rFonts w:ascii="Times New Roman" w:cs="Times New Roman" w:eastAsia="Times New Roman" w:hAnsi="Times New Roman"/>
          <w:sz w:val="17"/>
          <w:szCs w:val="17"/>
          <w:color w:val="auto"/>
        </w:rPr>
        <w:t>89</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(596)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(269)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6020" w:hanging="1139"/>
        <w:spacing w:after="0"/>
        <w:tabs>
          <w:tab w:leader="none" w:pos="6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266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55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29" w:lineRule="exact"/>
        <w:rPr>
          <w:sz w:val="20"/>
          <w:szCs w:val="20"/>
          <w:color w:val="auto"/>
        </w:rPr>
      </w:pPr>
    </w:p>
    <w:p>
      <w:pPr>
        <w:ind w:left="6100"/>
        <w:spacing w:after="0"/>
        <w:tabs>
          <w:tab w:leader="none" w:pos="6440" w:val="left"/>
        </w:tabs>
        <w:rPr>
          <w:sz w:val="20"/>
          <w:szCs w:val="20"/>
          <w:color w:val="auto"/>
        </w:rPr>
      </w:pPr>
      <w:r>
        <w:rPr>
          <w:rFonts w:ascii="Times New Roman" w:cs="Times New Roman" w:eastAsia="Times New Roman" w:hAnsi="Times New Roman"/>
          <w:sz w:val="17"/>
          <w:szCs w:val="17"/>
          <w:color w:val="auto"/>
        </w:rPr>
        <w:t>56</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(423)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hanging="377"/>
        <w:spacing w:after="0"/>
        <w:tabs>
          <w:tab w:leader="none" w:pos="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 from Contracts with Customers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losses on securities AFS, mortgage loan servicing, net and bank owned life insurance and were approximately 88.5% and 89.0% of total revenues for the three month periods ending March 31, 2025 and 2024, respectively.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March 31, 2025 and December 31, 2024, respectively.</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Service charges on deposit accounts and other deposit related income</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Revenues are earned on depository accounts for commercial and retail customers and</w:t>
      </w:r>
      <w:r>
        <w:rPr>
          <w:rFonts w:ascii="Times New Roman" w:cs="Times New Roman" w:eastAsia="Times New Roman" w:hAnsi="Times New Roman"/>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Interchange income</w:t>
      </w:r>
      <w:r>
        <w:rPr>
          <w:rFonts w:ascii="Times New Roman" w:cs="Times New Roman" w:eastAsia="Times New Roman" w:hAnsi="Times New Roman"/>
          <w:sz w:val="17"/>
          <w:szCs w:val="17"/>
          <w:color w:val="auto"/>
          <w:highlight w:val="white"/>
        </w:rPr>
        <w:t>: Interchange income primarily includes debit card interchange and network revenues. Debit card interchange and network revenues are earned</w:t>
      </w:r>
      <w:r>
        <w:rPr>
          <w:rFonts w:ascii="Times New Roman" w:cs="Times New Roman" w:eastAsia="Times New Roman" w:hAnsi="Times New Roman"/>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Investment and insurance commissions</w:t>
      </w:r>
      <w:r>
        <w:rPr>
          <w:rFonts w:ascii="Times New Roman" w:cs="Times New Roman" w:eastAsia="Times New Roman" w:hAnsi="Times New Roman"/>
          <w:sz w:val="17"/>
          <w:szCs w:val="17"/>
          <w:color w:val="auto"/>
          <w:highlight w:val="white"/>
        </w:rPr>
        <w:t>: Investment and insurance commissions include fees and commissions from asset management, custody, recordkeeping,</w:t>
      </w:r>
      <w:r>
        <w:rPr>
          <w:rFonts w:ascii="Times New Roman" w:cs="Times New Roman" w:eastAsia="Times New Roman" w:hAnsi="Times New Roman"/>
          <w:sz w:val="17"/>
          <w:szCs w:val="17"/>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Net (gains) losses on other real estate and repossessed assets</w:t>
      </w:r>
      <w:r>
        <w:rPr>
          <w:rFonts w:ascii="Times New Roman" w:cs="Times New Roman" w:eastAsia="Times New Roman" w:hAnsi="Times New Roman"/>
          <w:sz w:val="17"/>
          <w:szCs w:val="17"/>
          <w:color w:val="auto"/>
          <w:highlight w:val="white"/>
        </w:rPr>
        <w:t>: We record a gain or loss from the sale of other real estate when control of the property transfers to the</w:t>
      </w:r>
      <w:r>
        <w:rPr>
          <w:rFonts w:ascii="Times New Roman" w:cs="Times New Roman" w:eastAsia="Times New Roman" w:hAnsi="Times New Roman"/>
          <w:sz w:val="17"/>
          <w:szCs w:val="17"/>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March 31, 2025 and 2024 that were financed by us.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Service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Investment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Charges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Deposit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on Deposit</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Related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Interchange</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2"/>
        </w:trPr>
        <w:tc>
          <w:tcPr>
            <w:tcW w:w="3500" w:type="dxa"/>
            <w:vAlign w:val="bottom"/>
          </w:tcPr>
          <w:p>
            <w:pPr>
              <w:spacing w:after="0"/>
              <w:rPr>
                <w:sz w:val="21"/>
                <w:szCs w:val="21"/>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auto"/>
                <w:w w:val="99"/>
              </w:rPr>
              <w:t>Accounts</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rPr>
              <w:t>Income</w:t>
            </w: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Income</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March 31, 2025</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2,108</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45"/>
        </w:trPr>
        <w:tc>
          <w:tcPr>
            <w:tcW w:w="35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2,814</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7,342</w:t>
            </w:r>
          </w:p>
        </w:tc>
      </w:tr>
      <w:tr>
        <w:trPr>
          <w:trHeight w:val="20"/>
        </w:trPr>
        <w:tc>
          <w:tcPr>
            <w:tcW w:w="4980" w:type="dxa"/>
            <w:vAlign w:val="bottom"/>
            <w:tcBorders>
              <w:top w:val="single" w:sz="8" w:color="CCEEFF"/>
            </w:tcBorders>
            <w:gridSpan w:val="3"/>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61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r>
      <w:tr>
        <w:trPr>
          <w:trHeight w:val="264"/>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65"/>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10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1,449</w:t>
            </w:r>
          </w:p>
        </w:tc>
      </w:tr>
      <w:tr>
        <w:trPr>
          <w:trHeight w:val="269"/>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Service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Investment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Charges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Deposit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3500" w:type="dxa"/>
            <w:vAlign w:val="bottom"/>
          </w:tcPr>
          <w:p>
            <w:pPr>
              <w:spacing w:after="0"/>
              <w:rPr>
                <w:sz w:val="19"/>
                <w:szCs w:val="19"/>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on Deposit</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Related</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Interchange</w:t>
            </w: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35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auto"/>
                <w:w w:val="99"/>
              </w:rPr>
              <w:t>Accounts</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rPr>
              <w:t>Income</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March 31, 2024</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2,189</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51"/>
        </w:trPr>
        <w:tc>
          <w:tcPr>
            <w:tcW w:w="35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2,872</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7,575</w:t>
            </w:r>
          </w:p>
        </w:tc>
      </w:tr>
      <w:tr>
        <w:trPr>
          <w:trHeight w:val="20"/>
        </w:trPr>
        <w:tc>
          <w:tcPr>
            <w:tcW w:w="4980" w:type="dxa"/>
            <w:vAlign w:val="bottom"/>
            <w:tcBorders>
              <w:top w:val="single" w:sz="8" w:color="CCEEFF"/>
            </w:tcBorders>
            <w:gridSpan w:val="3"/>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61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64"/>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10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w:t>
            </w:r>
          </w:p>
        </w:tc>
      </w:tr>
      <w:tr>
        <w:trPr>
          <w:trHeight w:val="270"/>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interim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operating or finance leases at the lease commencement date (we did not have any finance leases as of March 31, 2025).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cost components of our operating leases follows:</w:t>
      </w:r>
    </w:p>
    <w:p>
      <w:pPr>
        <w:spacing w:after="0" w:line="230"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8"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color w:val="auto"/>
        </w:rPr>
        <w:t>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8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20"/>
                <w:szCs w:val="20"/>
                <w:color w:val="auto"/>
              </w:rPr>
            </w:pPr>
          </w:p>
        </w:tc>
      </w:tr>
      <w:tr>
        <w:trPr>
          <w:trHeight w:val="25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4"/>
        </w:trPr>
        <w:tc>
          <w:tcPr>
            <w:tcW w:w="8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our operating leases follows: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3"/>
        </w:trPr>
        <w:tc>
          <w:tcPr>
            <w:tcW w:w="7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38"/>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r>
      <w:tr>
        <w:trPr>
          <w:trHeight w:val="219"/>
        </w:trPr>
        <w:tc>
          <w:tcPr>
            <w:tcW w:w="7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right of use asset (1)</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5,971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(2)</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6,366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6,338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 in our interim Condensed Consolidated Statements of Financial Condition.</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interim Condensed Consolidated Statements of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analysis of our lease liabilities at March 31, 2025 based on required contractual payments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ending December 31, 2025</w:t>
            </w:r>
          </w:p>
        </w:tc>
        <w:tc>
          <w:tcPr>
            <w:tcW w:w="5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0" w:type="dxa"/>
            <w:vAlign w:val="bottom"/>
          </w:tcPr>
          <w:p>
            <w:pPr>
              <w:spacing w:after="0"/>
              <w:rPr>
                <w:sz w:val="1"/>
                <w:szCs w:val="1"/>
                <w:color w:val="auto"/>
              </w:rPr>
            </w:pPr>
          </w:p>
        </w:tc>
      </w:tr>
      <w:tr>
        <w:trPr>
          <w:trHeight w:val="25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0" w:type="dxa"/>
            <w:vAlign w:val="bottom"/>
          </w:tcPr>
          <w:p>
            <w:pPr>
              <w:spacing w:after="0"/>
              <w:rPr>
                <w:sz w:val="1"/>
                <w:szCs w:val="1"/>
                <w:color w:val="auto"/>
              </w:rPr>
            </w:pPr>
          </w:p>
        </w:tc>
      </w:tr>
      <w:tr>
        <w:trPr>
          <w:trHeight w:val="25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0" w:type="dxa"/>
            <w:vAlign w:val="bottom"/>
          </w:tcPr>
          <w:p>
            <w:pPr>
              <w:spacing w:after="0"/>
              <w:rPr>
                <w:sz w:val="1"/>
                <w:szCs w:val="1"/>
                <w:color w:val="auto"/>
              </w:rPr>
            </w:pPr>
          </w:p>
        </w:tc>
      </w:tr>
      <w:tr>
        <w:trPr>
          <w:trHeight w:val="23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2030 and thereafter</w:t>
            </w:r>
          </w:p>
        </w:tc>
        <w:tc>
          <w:tcPr>
            <w:tcW w:w="55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0" w:type="dxa"/>
            <w:vAlign w:val="bottom"/>
          </w:tcPr>
          <w:p>
            <w:pPr>
              <w:spacing w:after="0"/>
              <w:rPr>
                <w:sz w:val="1"/>
                <w:szCs w:val="1"/>
                <w:color w:val="auto"/>
              </w:rPr>
            </w:pPr>
          </w:p>
        </w:tc>
      </w:tr>
      <w:tr>
        <w:trPr>
          <w:trHeight w:val="244"/>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payments</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w:t>
            </w: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5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65"/>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814"/>
              <w:spacing w:after="0"/>
              <w:rPr>
                <w:sz w:val="20"/>
                <w:szCs w:val="20"/>
                <w:color w:val="auto"/>
              </w:rPr>
            </w:pPr>
            <w:r>
              <w:rPr>
                <w:rFonts w:ascii="Times New Roman" w:cs="Times New Roman" w:eastAsia="Times New Roman" w:hAnsi="Times New Roman"/>
                <w:sz w:val="17"/>
                <w:szCs w:val="17"/>
                <w:color w:val="auto"/>
              </w:rPr>
              <w:t>59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24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9A9A9A"/>
            </w:tcBorders>
          </w:tcPr>
          <w:p>
            <w:pPr>
              <w:spacing w:after="0"/>
              <w:rPr>
                <w:sz w:val="9"/>
                <w:szCs w:val="9"/>
                <w:color w:val="auto"/>
              </w:rPr>
            </w:pPr>
          </w:p>
        </w:tc>
        <w:tc>
          <w:tcPr>
            <w:tcW w:w="5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42" w:lineRule="exact"/>
        <w:rPr>
          <w:sz w:val="20"/>
          <w:szCs w:val="20"/>
          <w:color w:val="auto"/>
        </w:rPr>
      </w:pPr>
    </w:p>
    <w:p>
      <w:pPr>
        <w:ind w:left="380" w:hanging="377"/>
        <w:spacing w:after="0"/>
        <w:tabs>
          <w:tab w:leader="none" w:pos="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Segment Reporting</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Independent Bank Corporation is a bank holding company, whose principal activity is the ownership and management of its wholly-owned subsidiaries, including Independent Bank. As a community-oriented financial institution, substantially all of our operations involve the delivery of loan and deposit products to customers.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reportable segment is determined by the Chief Executive Officer, who is the designated chief operating decision maker, based upon information provided about the products and services we offer, primarily banking operations. The segment is also distinguished by the level of information provided to the chief operating decision maker, who uses such information to review performance of various components of the business, which are then aggregated if the operating performance, products/services, and customers are similar. The chief operating decision maker will evaluate the performance of our business components such as evaluating revenue streams, significant expenses, and budget to actual results assessing our segment and in the determination of allocating resources. The chief operating decision maker uses revenue streams to evaluate product pricing and significant expenses to assess performance and evaluate return on assets. The chief operating decision maker uses consolidated net income, earnings per share, and return on average assets to benchmark us against our competitors. The benchmarking analysis coupled with monitoring of budget to actual results are used in assessing performance and in establishing compensation. Loans, investments, and deposits provide the majority of revenues in the banking operation. Interest expense, provisions for credit losses, and compensation and employee benefits provide the significant expenses in the banking operation. All operations are domestic.</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Segment performance is evaluated using consolidated net income, earnings per share, and return on average assets. Information reported internally for performance assessment by the chief operating decision maker is as follows, inclusive of reconciliations of significant segment totals to the interim condensed consolidated financial statements for the three-month periods ended March 31, 2025 and 2024.</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Three Months Ended March 31, 2025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57,768</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6,806</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66,144</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20,955</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21,467</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22,459</w:t>
            </w:r>
          </w:p>
        </w:tc>
      </w:tr>
      <w:tr>
        <w:trPr>
          <w:trHeight w:val="244"/>
        </w:trPr>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44,617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43,685</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43,896</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42,964</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10,424</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20,383</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w:t>
            </w:r>
          </w:p>
        </w:tc>
      </w:tr>
      <w:tr>
        <w:trPr>
          <w:trHeight w:val="238"/>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33,817</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34,262</w:t>
            </w:r>
          </w:p>
        </w:tc>
      </w:tr>
      <w:tr>
        <w:trPr>
          <w:trHeight w:val="238"/>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19,126</w:t>
            </w:r>
          </w:p>
        </w:tc>
      </w:tr>
      <w:tr>
        <w:trPr>
          <w:trHeight w:val="24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3,536</w:t>
            </w:r>
          </w:p>
        </w:tc>
      </w:tr>
      <w:tr>
        <w:trPr>
          <w:trHeight w:val="244"/>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16,347</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15,590</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w:t>
            </w: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5,321,109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562,848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(555,529)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5,328,428</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8"/>
          </w:tcPr>
          <w:p>
            <w:pPr>
              <w:jc w:val="center"/>
              <w:ind w:left="1114"/>
              <w:spacing w:after="0"/>
              <w:rPr>
                <w:sz w:val="20"/>
                <w:szCs w:val="20"/>
                <w:color w:val="auto"/>
              </w:rPr>
            </w:pPr>
            <w:r>
              <w:rPr>
                <w:rFonts w:ascii="Times New Roman" w:cs="Times New Roman" w:eastAsia="Times New Roman" w:hAnsi="Times New Roman"/>
                <w:sz w:val="17"/>
                <w:szCs w:val="17"/>
                <w:b w:val="1"/>
                <w:bCs w:val="1"/>
                <w:color w:val="auto"/>
              </w:rPr>
              <w:t>Three Months Ended March 31, 2024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54,987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55,043</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8,642</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65,070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65,126</w:t>
            </w: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22,810</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8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23,857</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24,929</w:t>
            </w:r>
          </w:p>
        </w:tc>
      </w:tr>
      <w:tr>
        <w:trPr>
          <w:trHeight w:val="244"/>
        </w:trPr>
        <w:tc>
          <w:tcPr>
            <w:tcW w:w="5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40,197</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r>
      <w:tr>
        <w:trPr>
          <w:trHeight w:val="244"/>
        </w:trPr>
        <w:tc>
          <w:tcPr>
            <w:tcW w:w="5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39,453</w:t>
            </w: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12,561</w:t>
            </w: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20,770</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w:t>
            </w:r>
          </w:p>
        </w:tc>
      </w:tr>
      <w:tr>
        <w:trPr>
          <w:trHeight w:val="245"/>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r>
      <w:tr>
        <w:trPr>
          <w:trHeight w:val="238"/>
        </w:trPr>
        <w:tc>
          <w:tcPr>
            <w:tcW w:w="5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31,734</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32,193</w:t>
            </w:r>
          </w:p>
        </w:tc>
      </w:tr>
      <w:tr>
        <w:trPr>
          <w:trHeight w:val="238"/>
        </w:trPr>
        <w:tc>
          <w:tcPr>
            <w:tcW w:w="5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19,821</w:t>
            </w:r>
          </w:p>
        </w:tc>
      </w:tr>
      <w:tr>
        <w:trPr>
          <w:trHeight w:val="24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3,830</w:t>
            </w:r>
          </w:p>
        </w:tc>
      </w:tr>
      <w:tr>
        <w:trPr>
          <w:trHeight w:val="244"/>
        </w:trPr>
        <w:tc>
          <w:tcPr>
            <w:tcW w:w="5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15,991</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r>
      <w:tr>
        <w:trPr>
          <w:trHeight w:val="245"/>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4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5,227,008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506,759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(502,512)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5,231,255</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TEM</w:t>
      </w:r>
      <w:r>
        <w:rPr>
          <w:rFonts w:ascii="Times New Roman" w:cs="Times New Roman" w:eastAsia="Times New Roman" w:hAnsi="Times New Roman"/>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ANAGEMENT’S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ISCUSSION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 The following section presents additional information to assess the financial condition and results of operations of Independent Bank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(“IBCP”), its wholly-owned bank, Independent Bank (the “Bank”), and their subsidiaries. This section should be read in conjunction with the interim Condensed Consolidated Financial Statements. We also encourage you to read our 2024 Annual Report on Form 10-K filed with the U.S. Securities and Exchange Commission (“SEC”). That report includes a list of risk factors that you should consider in connection with any decision to buy or sell our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We provide banking services to customers located primarily in Michigan’s Lower Peninsula. We also have a loan production office in Fairlawn, Ohio.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success depends to a great extent upon the economic conditions in Michigan’s Lower Peninsula.</w:t>
      </w: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b w:val="1"/>
          <w:bCs w:val="1"/>
          <w:color w:val="auto"/>
        </w:rPr>
        <w:t xml:space="preserve">Recent Developments. </w:t>
      </w:r>
      <w:r>
        <w:rPr>
          <w:rFonts w:ascii="Times New Roman" w:cs="Times New Roman" w:eastAsia="Times New Roman" w:hAnsi="Times New Roman"/>
          <w:sz w:val="17"/>
          <w:szCs w:val="17"/>
          <w:color w:val="auto"/>
        </w:rPr>
        <w:t>Pressures from various global and national macroeconomic conditions, including significant volatility and uncertainty with U.S. and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conditions, the direct and indirect impacts of potential changes to U.S. trade policies, recessionary concerns, uncertainty regarding future interest rates, foreign currency exchange rate fluctuations, the continuation of the Russia-Ukraine war, ongoing and potentially increasing conflict in the Middle East, and potential governmental responses to these events, continue to create significant economic uncertainty. In addition, pursuit of various initiatives announced by the Trump administration may create some degree of volatility in our customers’ businesses, regulation of the financial services industry, and the markets in which we operate. 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("AFS"), securities held to maturity ("HTM"), loans, capitalized mortgage loan servicing rights or deferred tax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against this backdrop that we discuss our results of operations and financial condition for the first quarter of 2025 as compared to earlier periods.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ESULTS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PERATIONS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We recorded net income of $15.6 million and $16.0 million during the three months ended March 31, 2025 and 2024, respectively. The decrease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first quarter results as compared to 2024 is due primarily to a $2.8 unfavorable change in the fair value due to price of capitalized mortgage loan servicing rights and a $0.9 million increase in costs (recoveries) related to unfunded lending commitments that were partially offset by a $3.5 million increase in net interest income.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Key performance ratios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5"/>
        </w:trPr>
        <w:tc>
          <w:tcPr>
            <w:tcW w:w="7580" w:type="dxa"/>
            <w:vAlign w:val="bottom"/>
          </w:tcPr>
          <w:p>
            <w:pPr>
              <w:spacing w:after="0"/>
              <w:rPr>
                <w:sz w:val="21"/>
                <w:szCs w:val="21"/>
                <w:color w:val="auto"/>
              </w:rPr>
            </w:pPr>
          </w:p>
        </w:tc>
        <w:tc>
          <w:tcPr>
            <w:tcW w:w="300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660" w:type="dxa"/>
            <w:vAlign w:val="bottom"/>
          </w:tcPr>
          <w:p>
            <w:pPr>
              <w:spacing w:after="0"/>
              <w:rPr>
                <w:sz w:val="21"/>
                <w:szCs w:val="21"/>
                <w:color w:val="auto"/>
              </w:rPr>
            </w:pPr>
          </w:p>
        </w:tc>
      </w:tr>
      <w:tr>
        <w:trPr>
          <w:trHeight w:val="237"/>
        </w:trPr>
        <w:tc>
          <w:tcPr>
            <w:tcW w:w="75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60" w:type="dxa"/>
            <w:vAlign w:val="bottom"/>
            <w:tcBorders>
              <w:bottom w:val="single" w:sz="8" w:color="auto"/>
            </w:tcBorders>
          </w:tcPr>
          <w:p>
            <w:pPr>
              <w:spacing w:after="0"/>
              <w:rPr>
                <w:sz w:val="20"/>
                <w:szCs w:val="20"/>
                <w:color w:val="auto"/>
              </w:rPr>
            </w:pPr>
          </w:p>
        </w:tc>
      </w:tr>
      <w:tr>
        <w:trPr>
          <w:trHeight w:val="226"/>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(annualized) to</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1"/>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assets</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r>
      <w:tr>
        <w:trPr>
          <w:trHeight w:val="239"/>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shareholders’ equity</w:t>
            </w: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15.95 %</w:t>
            </w:r>
          </w:p>
        </w:tc>
      </w:tr>
      <w:tr>
        <w:trPr>
          <w:trHeight w:val="264"/>
        </w:trPr>
        <w:tc>
          <w:tcPr>
            <w:tcW w:w="75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1"/>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0.74</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0.77</w:t>
            </w:r>
          </w:p>
        </w:tc>
      </w:tr>
      <w:tr>
        <w:trPr>
          <w:trHeight w:val="232"/>
        </w:trPr>
        <w:tc>
          <w:tcPr>
            <w:tcW w:w="7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120" w:type="dxa"/>
            <w:vAlign w:val="bottom"/>
          </w:tcPr>
          <w:p>
            <w:pPr>
              <w:spacing w:after="0"/>
              <w:rPr>
                <w:sz w:val="20"/>
                <w:szCs w:val="20"/>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0.74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Net interest income is the most important source of our earnings and thus is critical in evaluating our results of operations. Changes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interest income are primarily influenced by our level of interest-earning assets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totaled $43.7 million during the first quarter of 2025, an increase of $3.5 million, or 8.7% from the year-ago period. This increase primarily reflects a $167.9 million increase in average interest-earning assets and a 19 basis point increase in our tax equivalent net interest income as a percent of average interest-earning assets (the “net interest margin”).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average interest-earning assets in the first quarter of 2025 as compared to the same period in 2024 primarily reflects growth in commercial and mortgage loans funded from a decrease in securities available for sale and an increase in core deposits.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increases in our net interest margin during the three month period in 2025 is attributed to a 25 basis point decrease in interest expense as a percent of average interest-earning assets ("Cost of Funds") that was only partially offset by a six basis point decrease in interest income as a percent of average interest-earning assets ("Asset Yield") . These decreases are primarily attributed to the decreases in the federal funds rate since September of 2024. Our Cost of Funds has been positively impacted by deposit pricing sensitivity to the decreases in interest rates discussed above as well as changes in funding mix (such as shifting from generally higher cost brokered deposits and other borrowings to relatively lower cost core deposits). Our Asset Yield has been negatively impacted by lower rates on variable rate loans as well as new loans being originated at lower rates than existing loans being paid off that has been partially offset by a shift in earning asset mix from generally lower rate investment securities to higher rate loans. See Asset/liability management.</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is also impacted by our level of non-accrual loans. In the first quarter of 2025, non-accrual loans averaged $6.6 million. In the first quarter of 2024, non-accrual loans averaged $3.9 million. In addition, in the first quarter of 2025 we had net recoveries of $0.11 million of unpaid interest on loans placed on or taken off non-accrual or on loans previously charged-off compared to net recoveries of $0.29 million during the same period in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4,053,593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5.74 %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3,801,985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54,955</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5.80 %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5.23</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619,764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680,133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263,912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3,548</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4.45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7.13</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5,078,596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4,910,669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65,306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241,962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5,201,452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2,836,290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1.84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2,633,519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13,367</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864,672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9,443</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4.39</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92,185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129,255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3,799,852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22,459</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3,627,446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24,929</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1,007,665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1,063,454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109,214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461,291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5,378,022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5,201,452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44,137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40,377</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3.49 %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3.30 %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60"/>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4"/>
          </w:tcPr>
          <w:p>
            <w:pPr>
              <w:jc w:val="right"/>
              <w:ind w:right="45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50"/>
        </w:trPr>
        <w:tc>
          <w:tcPr>
            <w:tcW w:w="38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2024</w:t>
            </w:r>
          </w:p>
        </w:tc>
      </w:tr>
      <w:tr>
        <w:trPr>
          <w:trHeight w:val="232"/>
        </w:trPr>
        <w:tc>
          <w:tcPr>
            <w:tcW w:w="3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45"/>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Margin, Fully Taxable Equivalent ("FTE")</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78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5"/>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43,685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40,197</w:t>
            </w:r>
          </w:p>
        </w:tc>
      </w:tr>
      <w:tr>
        <w:trPr>
          <w:trHeight w:val="251"/>
        </w:trPr>
        <w:tc>
          <w:tcPr>
            <w:tcW w:w="7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Add: taxable equivalent adjustment</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180</w:t>
            </w:r>
          </w:p>
        </w:tc>
      </w:tr>
      <w:tr>
        <w:trPr>
          <w:trHeight w:val="27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 taxable equivalent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44,137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40,377</w:t>
            </w:r>
          </w:p>
        </w:tc>
      </w:tr>
      <w:tr>
        <w:trPr>
          <w:trHeight w:val="20"/>
        </w:trPr>
        <w:tc>
          <w:tcPr>
            <w:tcW w:w="78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interest margin (GAAP) (1)</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3.28 %</w:t>
            </w: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2"/>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margin (FTE) (1)</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3.30 %</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Annualized.</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Provision for credit losses. </w:t>
      </w:r>
      <w:r>
        <w:rPr>
          <w:rFonts w:ascii="Times New Roman" w:cs="Times New Roman" w:eastAsia="Times New Roman" w:hAnsi="Times New Roman"/>
          <w:sz w:val="17"/>
          <w:szCs w:val="17"/>
          <w:color w:val="auto"/>
        </w:rPr>
        <w:t>The provision for credit losses was an expense of $0.72 million and an expense of $0.74 million for the three months ended March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and 2024,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provision for credit losses on loans in 2025 and 2024 was an expense of $0.72 million and $1.87 million and reflects our assessment of the allowance for credit losses (the “ACL”) on loans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2025. The decrease in the provision for credit losses expense from the prior year period is primarily due to a decrease in pooled allocation rates on commercial and retail loans that was partially offset by increases in the adjustment to allocations based on subjective factors (due in part to an increase in economic uncertainty during the first quarter) and specific allocations of the ACL.</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provision for credit losses on securities HTM in 2025 and 2024 were credits of $0.003 million and $1.13 million, respectively. The change in provision for credit losses on securities HTM reflects a partial recovery during the first quarter of 2024 of one corporate security (Signature Bank) totaling $1.125 million. See “Securities” below and note #3 to the interim Condensed Consolidated Financial Statements.</w:t>
      </w:r>
    </w:p>
    <w:p>
      <w:pPr>
        <w:spacing w:after="0" w:line="12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Non-interest income. </w:t>
      </w:r>
      <w:r>
        <w:rPr>
          <w:rFonts w:ascii="Times New Roman" w:cs="Times New Roman" w:eastAsia="Times New Roman" w:hAnsi="Times New Roman"/>
          <w:sz w:val="17"/>
          <w:szCs w:val="17"/>
          <w:color w:val="auto"/>
        </w:rPr>
        <w:t>Non-interest income is a significant element in assessing our results of operations. Non-interest income totaled $10.4 million during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2025 compared to $12.6 million in the first quarter of 2024.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income are as follows: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5"/>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(In thousands)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income</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6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0" w:type="dxa"/>
            <w:vAlign w:val="bottom"/>
          </w:tcPr>
          <w:p>
            <w:pPr>
              <w:spacing w:after="0"/>
              <w:rPr>
                <w:sz w:val="1"/>
                <w:szCs w:val="1"/>
                <w:color w:val="auto"/>
              </w:rPr>
            </w:pPr>
          </w:p>
        </w:tc>
      </w:tr>
      <w:tr>
        <w:trPr>
          <w:trHeight w:val="23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0" w:type="dxa"/>
            <w:vAlign w:val="bottom"/>
          </w:tcPr>
          <w:p>
            <w:pPr>
              <w:spacing w:after="0"/>
              <w:rPr>
                <w:sz w:val="1"/>
                <w:szCs w:val="1"/>
                <w:color w:val="auto"/>
              </w:rPr>
            </w:pPr>
          </w:p>
        </w:tc>
      </w:tr>
      <w:tr>
        <w:trPr>
          <w:trHeight w:val="25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(losses) on assets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Mortgage loans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0" w:type="dxa"/>
            <w:vAlign w:val="bottom"/>
          </w:tcPr>
          <w:p>
            <w:pPr>
              <w:spacing w:after="0"/>
              <w:rPr>
                <w:sz w:val="1"/>
                <w:szCs w:val="1"/>
                <w:color w:val="auto"/>
              </w:rPr>
            </w:pPr>
          </w:p>
        </w:tc>
      </w:tr>
      <w:tr>
        <w:trPr>
          <w:trHeight w:val="251"/>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3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0" w:type="dxa"/>
            <w:vAlign w:val="bottom"/>
          </w:tcPr>
          <w:p>
            <w:pPr>
              <w:spacing w:after="0"/>
              <w:rPr>
                <w:sz w:val="1"/>
                <w:szCs w:val="1"/>
                <w:color w:val="auto"/>
              </w:rPr>
            </w:pPr>
          </w:p>
        </w:tc>
      </w:tr>
      <w:tr>
        <w:trPr>
          <w:trHeight w:val="25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3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5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0" w:type="dxa"/>
            <w:vAlign w:val="bottom"/>
          </w:tcPr>
          <w:p>
            <w:pPr>
              <w:spacing w:after="0"/>
              <w:rPr>
                <w:sz w:val="1"/>
                <w:szCs w:val="1"/>
                <w:color w:val="auto"/>
              </w:rPr>
            </w:pPr>
          </w:p>
        </w:tc>
      </w:tr>
      <w:tr>
        <w:trPr>
          <w:trHeight w:val="231"/>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62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12,561</w:t>
            </w:r>
          </w:p>
        </w:tc>
        <w:tc>
          <w:tcPr>
            <w:tcW w:w="0" w:type="dxa"/>
            <w:vAlign w:val="bottom"/>
          </w:tcPr>
          <w:p>
            <w:pPr>
              <w:spacing w:after="0"/>
              <w:rPr>
                <w:sz w:val="1"/>
                <w:szCs w:val="1"/>
                <w:color w:val="auto"/>
              </w:rPr>
            </w:pPr>
          </w:p>
        </w:tc>
      </w:tr>
      <w:tr>
        <w:trPr>
          <w:trHeight w:val="26"/>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Mortgage loan activity is summarized as follows:</w:t>
            </w:r>
          </w:p>
        </w:tc>
        <w:tc>
          <w:tcPr>
            <w:tcW w:w="3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7"/>
        </w:trPr>
        <w:tc>
          <w:tcPr>
            <w:tcW w:w="7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Mortgage Loan Activity</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5"/>
          </w:tcPr>
          <w:p>
            <w:pPr>
              <w:jc w:val="right"/>
              <w:ind w:right="5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w w:val="99"/>
              </w:rPr>
              <w:t>2024</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jc w:val="right"/>
              <w:ind w:right="834"/>
              <w:spacing w:after="0"/>
              <w:rPr>
                <w:sz w:val="20"/>
                <w:szCs w:val="20"/>
                <w:color w:val="auto"/>
              </w:rPr>
            </w:pPr>
            <w:r>
              <w:rPr>
                <w:rFonts w:ascii="Times New Roman" w:cs="Times New Roman" w:eastAsia="Times New Roman" w:hAnsi="Times New Roman"/>
                <w:sz w:val="17"/>
                <w:szCs w:val="17"/>
                <w:color w:val="auto"/>
              </w:rPr>
              <w:t>(Dollars in thousands)</w:t>
            </w:r>
          </w:p>
        </w:tc>
        <w:tc>
          <w:tcPr>
            <w:tcW w:w="0" w:type="dxa"/>
            <w:vAlign w:val="bottom"/>
          </w:tcPr>
          <w:p>
            <w:pPr>
              <w:spacing w:after="0"/>
              <w:rPr>
                <w:sz w:val="1"/>
                <w:szCs w:val="1"/>
                <w:color w:val="auto"/>
              </w:rPr>
            </w:pPr>
          </w:p>
        </w:tc>
      </w:tr>
      <w:tr>
        <w:trPr>
          <w:trHeight w:val="25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originated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107,779</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93,994</w:t>
            </w:r>
          </w:p>
        </w:tc>
        <w:tc>
          <w:tcPr>
            <w:tcW w:w="0" w:type="dxa"/>
            <w:vAlign w:val="bottom"/>
          </w:tcPr>
          <w:p>
            <w:pPr>
              <w:spacing w:after="0"/>
              <w:rPr>
                <w:sz w:val="1"/>
                <w:szCs w:val="1"/>
                <w:color w:val="auto"/>
              </w:rPr>
            </w:pPr>
          </w:p>
        </w:tc>
      </w:tr>
      <w:tr>
        <w:trPr>
          <w:trHeight w:val="23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loans sold (1)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82,618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80,818</w:t>
            </w:r>
          </w:p>
        </w:tc>
        <w:tc>
          <w:tcPr>
            <w:tcW w:w="0" w:type="dxa"/>
            <w:vAlign w:val="bottom"/>
          </w:tcPr>
          <w:p>
            <w:pPr>
              <w:spacing w:after="0"/>
              <w:rPr>
                <w:sz w:val="1"/>
                <w:szCs w:val="1"/>
                <w:color w:val="auto"/>
              </w:rPr>
            </w:pPr>
          </w:p>
        </w:tc>
      </w:tr>
      <w:tr>
        <w:trPr>
          <w:trHeight w:val="25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2,303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1,364</w:t>
            </w:r>
          </w:p>
        </w:tc>
        <w:tc>
          <w:tcPr>
            <w:tcW w:w="0" w:type="dxa"/>
            <w:vAlign w:val="bottom"/>
          </w:tcPr>
          <w:p>
            <w:pPr>
              <w:spacing w:after="0"/>
              <w:rPr>
                <w:sz w:val="1"/>
                <w:szCs w:val="1"/>
                <w:color w:val="auto"/>
              </w:rPr>
            </w:pPr>
          </w:p>
        </w:tc>
      </w:tr>
      <w:tr>
        <w:trPr>
          <w:trHeight w:val="25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gains as a percent of mortgage loans sold ("Loan Sales Margin")</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2.79 %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0" w:type="dxa"/>
            <w:vAlign w:val="bottom"/>
          </w:tcPr>
          <w:p>
            <w:pPr>
              <w:spacing w:after="0"/>
              <w:rPr>
                <w:sz w:val="1"/>
                <w:szCs w:val="1"/>
                <w:color w:val="auto"/>
              </w:rPr>
            </w:pPr>
          </w:p>
        </w:tc>
      </w:tr>
      <w:tr>
        <w:trPr>
          <w:trHeight w:val="264"/>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included in the Loan Sales Margin</w:t>
            </w: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0.88</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0.48</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20" w:hanging="317"/>
        <w:spacing w:after="0" w:line="289" w:lineRule="auto"/>
        <w:tabs>
          <w:tab w:leader="none" w:pos="22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 loan sales in the first quarters of 2025 and 2024 include $8.7 million and $6.8 million, respectively, of portfolio loan transactions. These transactions were performed for interest rate risk purposes.</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Mortgage loans originated increased in 2025 as compared to 2024 due primarily to an increase in construction loans. Mortgage loans sold were relative unchanged in 2025 as compared to 2024.</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gains on mortgage loans totaled $2.3 million and $1.4 million during the first quarters of 2025 and 2024, respectively. The increase from the prior year to date period was primarily due an increase in Loan Sales Margin.</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1.91% and 1.21% in the first quarters of 2025 and 2024, respectively. The increase in the Loan Sales Margin (excluding fair value adjustments) in the first quarter of 2025 was generally due in part to higher primary-to-secondary market pricing spreads relative to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recorded a net loss of $0.33 million and a net loss of $0.27 million on the sale of securities AFS for the first three months of 2025 and 2024, respectively. We recorded no credit related charges in either 2025 or 2024 on securities AFS. See “Securities” below and note #3 to the interim Condensed Consolidated Financial Statements.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Mortgage loan servicing, net, generated income (expense) of $(0.6) million and $2.7 million in the first quarters of 2025 and 2024,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 as well as a decline in servicing revenue. The decline in servicing revenue is attributed to the sale of approximately $931 million of mortgage servicing rights on January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 servicing, net activity is summarized in the following table: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8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Servicing Revenue</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7"/>
          </w:tcPr>
          <w:p>
            <w:pPr>
              <w:jc w:val="right"/>
              <w:ind w:right="35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63"/>
        </w:trPr>
        <w:tc>
          <w:tcPr>
            <w:tcW w:w="80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3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(In thousands)</w:t>
            </w: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net</w:t>
            </w:r>
          </w:p>
        </w:tc>
        <w:tc>
          <w:tcPr>
            <w:tcW w:w="1040" w:type="dxa"/>
            <w:vAlign w:val="bottom"/>
            <w:gridSpan w:val="2"/>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8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0" w:type="dxa"/>
            <w:vAlign w:val="bottom"/>
          </w:tcPr>
          <w:p>
            <w:pPr>
              <w:spacing w:after="0"/>
              <w:rPr>
                <w:sz w:val="1"/>
                <w:szCs w:val="1"/>
                <w:color w:val="auto"/>
              </w:rPr>
            </w:pPr>
          </w:p>
        </w:tc>
      </w:tr>
      <w:tr>
        <w:trPr>
          <w:trHeight w:val="239"/>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change due to price</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0" w:type="dxa"/>
            <w:vAlign w:val="bottom"/>
          </w:tcPr>
          <w:p>
            <w:pPr>
              <w:spacing w:after="0"/>
              <w:rPr>
                <w:sz w:val="1"/>
                <w:szCs w:val="1"/>
                <w:color w:val="auto"/>
              </w:rPr>
            </w:pPr>
          </w:p>
        </w:tc>
      </w:tr>
      <w:tr>
        <w:trPr>
          <w:trHeight w:val="251"/>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Fair value change due to pay-downs</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39"/>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Loss on sale of originated servicing rights</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gridSpan w:val="2"/>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8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Activity related to capitalized mortgage loan servicing rights is as follows:</w:t>
            </w: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8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Capitalized Mortgage Loan Servicing Rights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7"/>
          </w:tcPr>
          <w:p>
            <w:pPr>
              <w:jc w:val="right"/>
              <w:ind w:right="43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64"/>
        </w:trPr>
        <w:tc>
          <w:tcPr>
            <w:tcW w:w="8040" w:type="dxa"/>
            <w:vAlign w:val="bottom"/>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38"/>
        </w:trPr>
        <w:tc>
          <w:tcPr>
            <w:tcW w:w="8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17"/>
                <w:szCs w:val="17"/>
                <w:color w:val="auto"/>
              </w:rPr>
              <w:t>(In thousands)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04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46,796</w:t>
            </w:r>
          </w:p>
        </w:tc>
        <w:tc>
          <w:tcPr>
            <w:tcW w:w="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0" w:type="dxa"/>
            <w:vAlign w:val="bottom"/>
          </w:tcPr>
          <w:p>
            <w:pPr>
              <w:spacing w:after="0"/>
              <w:rPr>
                <w:sz w:val="1"/>
                <w:szCs w:val="1"/>
                <w:color w:val="auto"/>
              </w:rPr>
            </w:pPr>
          </w:p>
        </w:tc>
      </w:tr>
      <w:tr>
        <w:trPr>
          <w:trHeight w:val="239"/>
        </w:trPr>
        <w:tc>
          <w:tcPr>
            <w:tcW w:w="8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Originated servicing rights capitalized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51"/>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39"/>
        </w:trPr>
        <w:tc>
          <w:tcPr>
            <w:tcW w:w="8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Sale of originated servicing rights (1)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(12,962)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on sale of originated servicing rights (1)</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040" w:type="dxa"/>
            <w:vAlign w:val="bottom"/>
            <w:gridSpan w:val="2"/>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32,171</w:t>
            </w:r>
          </w:p>
        </w:tc>
        <w:tc>
          <w:tcPr>
            <w:tcW w:w="5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43,577</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320" w:hanging="317"/>
        <w:spacing w:after="0" w:line="252" w:lineRule="auto"/>
        <w:tabs>
          <w:tab w:leader="none" w:pos="46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$0.5 million relating to this transaction, we are not aware of any issues that will have a material impact on this final payment. Transaction expenses relating to this sale were approximately $0.3 million and was expensed during the first quarter of 2025.</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March 31, 2025 we were servicing approximately $2.61 billion in mortgage loans for others on which servicing rights have been capitalized. This servicing portfolio had a weighted average coupon rate of 4.35% and a weighted average service fee of approximately 25.7 basis points. Capitalized mortgage loan servicing rights at March 31, 2025 totaled $32.2 million, representing approximately 123.2 basis points on the related amount of mortgage loans serviced for others.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summarized in the table above, the decrease in capitalized mortgage loan servicing rights during the first quarter of 2025 is primarily attributed to the originated mortgage loan servicing rights sale. This transaction was executed in part to reduce the amount of exposure the bank had to rate variances that may impact the mortgage servicing right asset valuation in future periods. With this sale, it is expected mortgage servicing revenue, net will decrease commensurate with amount of servicing sold relative to the same periods in 2024. While the magnitude of fair value adjustments would also be expected to decrease, those adjustments are dependent upon factors that are harder to predict.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owned life insurance increased by $0.1 million in the first quarter of 2025, compared to the same prior year period due to an increase in crediting rate.</w:t>
      </w:r>
    </w:p>
    <w:p>
      <w:pPr>
        <w:spacing w:after="0" w:line="2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 the table above increased by $0.4 million in the first quarter of 2025, compared to the same prior year period. The increase in the first quarter of 2025 was primarily due to higher commercial loan swap fees.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Non-interest expense. </w:t>
      </w:r>
      <w:r>
        <w:rPr>
          <w:rFonts w:ascii="Times New Roman" w:cs="Times New Roman" w:eastAsia="Times New Roman" w:hAnsi="Times New Roman"/>
          <w:sz w:val="17"/>
          <w:szCs w:val="17"/>
          <w:color w:val="auto"/>
        </w:rPr>
        <w:t>Non-interest expense is an important component of our results of operations. We strive to efficiently manage our cost structure.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Non-interest expense increased by $2.1 million to $34.3 million during the three-month period ended March 31, 2025 compared to the same period in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non-interest expense are as follows: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74"/>
        </w:trPr>
        <w:tc>
          <w:tcPr>
            <w:tcW w:w="8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8"/>
        </w:trPr>
        <w:tc>
          <w:tcPr>
            <w:tcW w:w="8100" w:type="dxa"/>
            <w:vAlign w:val="bottom"/>
          </w:tcPr>
          <w:p>
            <w:pPr>
              <w:spacing w:after="0"/>
              <w:rPr>
                <w:sz w:val="24"/>
                <w:szCs w:val="24"/>
                <w:color w:val="auto"/>
              </w:rPr>
            </w:pPr>
          </w:p>
        </w:tc>
        <w:tc>
          <w:tcPr>
            <w:tcW w:w="3100" w:type="dxa"/>
            <w:vAlign w:val="bottom"/>
            <w:gridSpan w:val="5"/>
          </w:tcPr>
          <w:p>
            <w:pPr>
              <w:jc w:val="right"/>
              <w:ind w:right="35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64"/>
        </w:trPr>
        <w:tc>
          <w:tcPr>
            <w:tcW w:w="8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8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20"/>
                <w:szCs w:val="20"/>
                <w:color w:val="auto"/>
              </w:rPr>
            </w:pP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13,277</w:t>
            </w: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compensation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taxes and employee benefits</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w:t>
            </w:r>
          </w:p>
        </w:tc>
      </w:tr>
      <w:tr>
        <w:trPr>
          <w:trHeight w:val="232"/>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20,770</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processing</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w:t>
            </w: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Occupancy, net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expense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and collection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FDIC deposit insurance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professional</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licenses and fees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fees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5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(recoveries) related to unfunded lending commitments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(recovery) for loss reimbursement on sold loans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other real estate and repossessed assets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3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w:t>
            </w:r>
          </w:p>
        </w:tc>
      </w:tr>
      <w:tr>
        <w:trPr>
          <w:trHeight w:val="26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34,262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and employee benefits expenses, in total, decreased $0.4 million on a quarterly comparative basis.</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Compensation expense decreased by $0.1 million in the first quarter of 2025 compared to the same period in 2024. This comparative decrease in 2025 were primarily due to an increase in deferred loan origination costs due in part to higher commercial and mortgage loan volume.and a decrease in mortgage lending and other retail personnel that were only partially offset by salary increases that were predominantly effective on January 1, 2025.</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Payroll taxes and employee benefits decreased by $0.3 million in the first quarter of 2025, respectively compared to the same period in 2024. The decrease was primarily due to a decrease in employee medical insurance costs.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Data processing expense increased by $0.5 million in the first quarter of 2025 compared to the same prior year period due in part to core data processor annual asset growth and CPI related cost increases as well as new solutions implemented during this time frame.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Advertising increased by $0.4 million in the first quarter of 2025 compared to the same prior year period due primarily to the timing of strategic marketing spend relative to the prior year.</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Loan and collection increased by $0.3 million in the first quarter of 2025 compared to the same period in 2024 due primarily to higher attorney and other general collection related expenses.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Costs (recoveries) related to unfunded lending commitments increased by $0.8 million in the first quarter of 2025 compared to the same prior year period. The increase was primarily due to increases in the changes to both the balance of lending commitments and the loss rates applied to those lending commitments.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expense increased by $0.5 million in the first quarter of 2025 compared to the same prior year period due primarily to costs related to the capitalized mortgage loan servicing right sale and higher Michigan Corporate Income Tax (due to an increase in taxable base). See “Non-interest income” above.</w:t>
      </w:r>
    </w:p>
    <w:p>
      <w:pPr>
        <w:spacing w:after="0" w:line="1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We recorded an income tax expense of $3.5 million in the first quarter of 2025. This compares to an income tax expense of $3.8 million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first quarter of 2024. The change in expense in the first quarter of 2025 compared to the same period in 2024 is due in part to changes in pretax income.</w:t>
      </w:r>
    </w:p>
    <w:p>
      <w:pPr>
        <w:spacing w:after="0" w:line="1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2025 and 2024 and at December 31, 2024, that the realization of substantially all of our deferred tax assets continues to be more likely than not.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INANCIAL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ONDITION</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Our total assets decreased by $9.7 million during the first three months of 2025. Loans, excluding loans held for sale, were $4.07 billion at March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compared to $4.04 billion at December 31, 2024. Commercial loans increased while mortgage loans and installment loans each decreased during the first three months of 2025. (See “Portfolio Loans and asset quality.”) Securities available for sale and securities held to maturity together totaled $866.6 million at March 31, 2025, a decline of $32.0 million since December 31, 2024.</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Deposits totaled $4.63 billion at March 31, 2025, a decrease of $20.2 million from December 31, 2024. The decrease in deposits from December 31, 2024, is due to decreases in non-interest bearing and brokered time deposits that were partially offset by increases in savings and interest-bearing checking, reciprocal and time deposits .</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reverse.(See “Asset/liability management.”)</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below under "Liquidity and capital resources"), we believe that we have the ability and intent to hold these securities until they mature, at which time we expect to receive full value for these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Available for Sale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Gains</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2025</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590,156</w:t>
            </w:r>
          </w:p>
        </w:tc>
        <w:tc>
          <w:tcPr>
            <w:tcW w:w="880" w:type="dxa"/>
            <w:vAlign w:val="bottom"/>
            <w:gridSpan w:val="2"/>
            <w:shd w:val="clear" w:color="auto" w:fill="CCEEFF"/>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372</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529,676</w:t>
            </w: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621,588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343</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559,182</w:t>
            </w:r>
          </w:p>
        </w:tc>
        <w:tc>
          <w:tcPr>
            <w:tcW w:w="0" w:type="dxa"/>
            <w:vAlign w:val="bottom"/>
          </w:tcPr>
          <w:p>
            <w:pPr>
              <w:spacing w:after="0"/>
              <w:rPr>
                <w:sz w:val="1"/>
                <w:szCs w:val="1"/>
                <w:color w:val="auto"/>
              </w:rPr>
            </w:pPr>
          </w:p>
        </w:tc>
      </w:tr>
      <w:tr>
        <w:trPr>
          <w:trHeight w:val="461"/>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Held to Maturity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Transferred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Unrealized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94"/>
              <w:spacing w:after="0" w:line="177"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5"/>
                <w:szCs w:val="15"/>
                <w:color w:val="auto"/>
              </w:rPr>
            </w:pPr>
          </w:p>
        </w:tc>
        <w:tc>
          <w:tcPr>
            <w:tcW w:w="1100" w:type="dxa"/>
            <w:vAlign w:val="bottom"/>
          </w:tcPr>
          <w:p>
            <w:pPr>
              <w:jc w:val="center"/>
              <w:ind w:right="114"/>
              <w:spacing w:after="0" w:line="177" w:lineRule="exact"/>
              <w:rPr>
                <w:sz w:val="20"/>
                <w:szCs w:val="20"/>
                <w:color w:val="auto"/>
              </w:rPr>
            </w:pPr>
            <w:r>
              <w:rPr>
                <w:rFonts w:ascii="Times New Roman" w:cs="Times New Roman" w:eastAsia="Times New Roman" w:hAnsi="Times New Roman"/>
                <w:sz w:val="17"/>
                <w:szCs w:val="17"/>
                <w:color w:val="auto"/>
                <w:w w:val="99"/>
              </w:rPr>
              <w:t>Unrealized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7"/>
                <w:szCs w:val="17"/>
                <w:color w:val="auto"/>
              </w:rPr>
              <w:t>Amortized</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Loss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ACL</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34"/>
              <w:spacing w:after="0"/>
              <w:rPr>
                <w:sz w:val="20"/>
                <w:szCs w:val="20"/>
                <w:color w:val="auto"/>
              </w:rPr>
            </w:pPr>
            <w:r>
              <w:rPr>
                <w:rFonts w:ascii="Times New Roman" w:cs="Times New Roman" w:eastAsia="Times New Roman" w:hAnsi="Times New Roman"/>
                <w:sz w:val="17"/>
                <w:szCs w:val="17"/>
                <w:color w:val="auto"/>
              </w:rPr>
              <w:t>Cost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336,928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15,365</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129</w:t>
            </w:r>
          </w:p>
        </w:tc>
        <w:tc>
          <w:tcPr>
            <w:tcW w:w="6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352,422</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w:t>
            </w:r>
          </w:p>
        </w:tc>
        <w:tc>
          <w:tcPr>
            <w:tcW w:w="3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49,877</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302,579</w:t>
            </w: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339,436</w:t>
            </w:r>
          </w:p>
        </w:tc>
        <w:tc>
          <w:tcPr>
            <w:tcW w:w="2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16,171</w:t>
            </w:r>
          </w:p>
        </w:tc>
        <w:tc>
          <w:tcPr>
            <w:tcW w:w="3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132</w:t>
            </w:r>
          </w:p>
        </w:tc>
        <w:tc>
          <w:tcPr>
            <w:tcW w:w="600" w:type="dxa"/>
            <w:vAlign w:val="bottom"/>
          </w:tcPr>
          <w:p>
            <w:pPr>
              <w:spacing w:after="0"/>
              <w:rPr>
                <w:sz w:val="19"/>
                <w:szCs w:val="19"/>
                <w:color w:val="auto"/>
              </w:rPr>
            </w:pPr>
          </w:p>
        </w:tc>
        <w:tc>
          <w:tcPr>
            <w:tcW w:w="8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355,739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301,860</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net of applicable taxes. No ACL for securities AFS was needed at March 31, 2025. See note #3 to the interim Condensed Consolidated Financial Statements included within this report for further discussion.</w:t>
      </w: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w:t>
      </w:r>
    </w:p>
    <w:p>
      <w:pPr>
        <w:spacing w:after="0" w:line="1" w:lineRule="exact"/>
        <w:rPr>
          <w:sz w:val="20"/>
          <w:szCs w:val="20"/>
          <w:color w:val="auto"/>
        </w:rPr>
      </w:pPr>
    </w:p>
    <w:p>
      <w:pPr>
        <w:jc w:val="both"/>
        <w:ind w:firstLine="3"/>
        <w:spacing w:after="0" w:line="256" w:lineRule="auto"/>
        <w:tabs>
          <w:tab w:leader="none" w:pos="25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full charge-off. Subsequent to this security's charge-off, a portion of its fair value had recovered and was subsequently sold during the first quarter of 2024 for $1.1 million during which period we recorded that amount as a recovery to the ACL. See note #3 to the interim Condensed Consolidated Financial Statements included within this report for further discussion.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960"/>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of securities available for sale were as follows (See “Non-interest income.”):</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7"/>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Sales of Securities Available for Sale</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980" w:type="dxa"/>
            <w:vAlign w:val="bottom"/>
            <w:gridSpan w:val="5"/>
          </w:tcPr>
          <w:p>
            <w:pPr>
              <w:jc w:val="right"/>
              <w:ind w:right="29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45"/>
        </w:trPr>
        <w:tc>
          <w:tcPr>
            <w:tcW w:w="38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38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18"/>
                <w:szCs w:val="18"/>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22,503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37,273</w:t>
            </w:r>
          </w:p>
        </w:tc>
      </w:tr>
      <w:tr>
        <w:trPr>
          <w:trHeight w:val="219"/>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Gross gains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8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losses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losses</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0"/>
        </w:trPr>
        <w:tc>
          <w:tcPr>
            <w:tcW w:w="3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Portfolio Loans and asset quality. </w:t>
      </w:r>
      <w:r>
        <w:rPr>
          <w:rFonts w:ascii="Times New Roman" w:cs="Times New Roman" w:eastAsia="Times New Roman" w:hAnsi="Times New Roman"/>
          <w:sz w:val="17"/>
          <w:szCs w:val="17"/>
          <w:color w:val="auto"/>
        </w:rPr>
        <w:t>In addition to the communities served by our Bank branch and loan production office network, our principal lending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and “Asset/liability management.”).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our Portfolio Loans follows: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16"/>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Real estate(1)</w:t>
            </w:r>
          </w:p>
        </w:tc>
        <w:tc>
          <w:tcPr>
            <w:tcW w:w="260" w:type="dxa"/>
            <w:vAlign w:val="bottom"/>
          </w:tcPr>
          <w:p>
            <w:pPr>
              <w:spacing w:after="0"/>
              <w:rPr>
                <w:sz w:val="18"/>
                <w:szCs w:val="18"/>
                <w:color w:val="auto"/>
              </w:rPr>
            </w:pPr>
          </w:p>
        </w:tc>
        <w:tc>
          <w:tcPr>
            <w:tcW w:w="280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5"/>
        </w:trPr>
        <w:tc>
          <w:tcPr>
            <w:tcW w:w="8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Residential first mortgages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1,295,174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1,284,322</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Residential home equity and other junior mortgages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179,857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and land development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322,092</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1,229,059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1,126,720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579,345</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548,687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542,742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0" w:type="dxa"/>
            <w:vAlign w:val="bottom"/>
          </w:tcPr>
          <w:p>
            <w:pPr>
              <w:spacing w:after="0"/>
              <w:rPr>
                <w:sz w:val="1"/>
                <w:szCs w:val="1"/>
                <w:color w:val="auto"/>
              </w:rPr>
            </w:pPr>
          </w:p>
        </w:tc>
      </w:tr>
      <w:tr>
        <w:trPr>
          <w:trHeight w:val="21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loans</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4,072,691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4,038,825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78" w:lineRule="exact"/>
        <w:rPr>
          <w:sz w:val="20"/>
          <w:szCs w:val="20"/>
          <w:color w:val="auto"/>
        </w:rPr>
      </w:pPr>
    </w:p>
    <w:p>
      <w:pPr>
        <w:ind w:left="300" w:hanging="297"/>
        <w:spacing w:after="0"/>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residential and non-residential commercial loans secured by real estate.</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loans secured by multi-family residential and non-farm, non-residential property.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60"/>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Non-performing assets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3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Non-accrual loans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7,792</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Loans 90 days or more past due and still accruing interest</w:t>
            </w:r>
          </w:p>
        </w:tc>
        <w:tc>
          <w:tcPr>
            <w:tcW w:w="2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80" w:type="dxa"/>
            <w:vAlign w:val="bottom"/>
            <w:tcBorders>
              <w:top w:val="single" w:sz="8" w:color="CCEEFF"/>
            </w:tcBorders>
            <w:shd w:val="clear" w:color="auto" w:fill="CCEEFF"/>
          </w:tcPr>
          <w:p>
            <w:pPr>
              <w:spacing w:after="0"/>
              <w:rPr>
                <w:sz w:val="18"/>
                <w:szCs w:val="18"/>
                <w:color w:val="auto"/>
              </w:rPr>
            </w:pPr>
          </w:p>
        </w:tc>
        <w:tc>
          <w:tcPr>
            <w:tcW w:w="75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7,792</w:t>
            </w:r>
          </w:p>
        </w:tc>
      </w:tr>
      <w:tr>
        <w:trPr>
          <w:trHeight w:val="219"/>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Government guaranteed loans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1,940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1,790</w:t>
            </w:r>
          </w:p>
        </w:tc>
      </w:tr>
      <w:tr>
        <w:trPr>
          <w:trHeight w:val="212"/>
        </w:trPr>
        <w:tc>
          <w:tcPr>
            <w:tcW w:w="380" w:type="dxa"/>
            <w:vAlign w:val="bottom"/>
            <w:shd w:val="clear" w:color="auto" w:fill="CCEEFF"/>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loans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6,002</w:t>
            </w:r>
          </w:p>
        </w:tc>
      </w:tr>
      <w:tr>
        <w:trPr>
          <w:trHeight w:val="219"/>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real estate and repossessed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938</w:t>
            </w:r>
          </w:p>
        </w:tc>
      </w:tr>
      <w:tr>
        <w:trPr>
          <w:trHeight w:val="237"/>
        </w:trPr>
        <w:tc>
          <w:tcPr>
            <w:tcW w:w="38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6,940</w:t>
            </w:r>
          </w:p>
        </w:tc>
      </w:tr>
      <w:tr>
        <w:trPr>
          <w:trHeight w:val="20"/>
        </w:trPr>
        <w:tc>
          <w:tcPr>
            <w:tcW w:w="79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 percent of Portfolio Loans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Non-performing loans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0.15 %</w:t>
            </w:r>
          </w:p>
        </w:tc>
      </w:tr>
      <w:tr>
        <w:trPr>
          <w:trHeight w:val="219"/>
        </w:trPr>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1.47</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Non-performing assets to total assets</w:t>
            </w:r>
          </w:p>
        </w:tc>
        <w:tc>
          <w:tcPr>
            <w:tcW w:w="28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0.13</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a percent of non-performing loans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989.32 %</w:t>
            </w:r>
          </w:p>
        </w:tc>
      </w:tr>
    </w:tbl>
    <w:p>
      <w:pPr>
        <w:spacing w:after="0" w:line="2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Non-performing loans have increased modestly as a percent of Portfolio Loans since year-end 2024, reflecting a modest increase in non-performing mortgage loans.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real estate and repossessed assets totaled $0.41 million and $0.94 million at March 31, 2025, and December 31, 2024, respectively.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25" w:lineRule="exact"/>
        <w:rPr>
          <w:sz w:val="20"/>
          <w:szCs w:val="20"/>
          <w:color w:val="auto"/>
        </w:rPr>
      </w:pPr>
    </w:p>
    <w:p>
      <w:pPr>
        <w:ind w:right="880"/>
        <w:spacing w:after="0" w:line="482" w:lineRule="auto"/>
        <w:rPr>
          <w:sz w:val="20"/>
          <w:szCs w:val="20"/>
          <w:color w:val="auto"/>
        </w:rPr>
      </w:pPr>
      <w:r>
        <w:rPr>
          <w:rFonts w:ascii="Times New Roman" w:cs="Times New Roman" w:eastAsia="Times New Roman" w:hAnsi="Times New Roman"/>
          <w:sz w:val="17"/>
          <w:szCs w:val="17"/>
          <w:color w:val="auto"/>
        </w:rPr>
        <w:t xml:space="preserve">The following tables reflect activity in our ACL on loans, securities and unfunded lending commitments as well as the allocation of our ACL on loans. </w:t>
      </w:r>
      <w:r>
        <w:rPr>
          <w:rFonts w:ascii="Times New Roman" w:cs="Times New Roman" w:eastAsia="Times New Roman" w:hAnsi="Times New Roman"/>
          <w:sz w:val="17"/>
          <w:szCs w:val="17"/>
          <w:b w:val="1"/>
          <w:bCs w:val="1"/>
          <w:color w:val="auto"/>
        </w:rPr>
        <w:t>Allowance for credit losses on loans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240" w:type="dxa"/>
            <w:vAlign w:val="bottom"/>
          </w:tcPr>
          <w:p>
            <w:pPr>
              <w:spacing w:after="0"/>
              <w:rPr>
                <w:sz w:val="19"/>
                <w:szCs w:val="19"/>
                <w:color w:val="auto"/>
              </w:rPr>
            </w:pP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Unfunded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4"/>
              <w:spacing w:after="0" w:line="170" w:lineRule="exact"/>
              <w:rPr>
                <w:sz w:val="20"/>
                <w:szCs w:val="20"/>
                <w:color w:val="auto"/>
              </w:rPr>
            </w:pPr>
            <w:r>
              <w:rPr>
                <w:rFonts w:ascii="Times New Roman" w:cs="Times New Roman" w:eastAsia="Times New Roman" w:hAnsi="Times New Roman"/>
                <w:sz w:val="17"/>
                <w:szCs w:val="17"/>
                <w:color w:val="auto"/>
                <w:w w:val="99"/>
              </w:rPr>
              <w:t>Unfunded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Commitments</w:t>
            </w: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Commitments</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59,379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(deductions)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Recoveries credited to allowance</w:t>
            </w:r>
          </w:p>
        </w:tc>
        <w:tc>
          <w:tcPr>
            <w:tcW w:w="2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included in non-interest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60,035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Net loans charged against the allowance to</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Portfolio Loans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60"/>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Allocation of the Allowance for Credit Losses on Loans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3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Specific allocations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r>
      <w:tr>
        <w:trPr>
          <w:trHeight w:val="21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Pooled analysis allocations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45,929</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allocations based on subjective factors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w:t>
            </w:r>
          </w:p>
        </w:tc>
      </w:t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60,035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59,379</w:t>
            </w:r>
          </w:p>
        </w:tc>
      </w:tr>
      <w:tr>
        <w:trPr>
          <w:trHeight w:val="20"/>
        </w:trPr>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interim Condensed Consolidated Financial Statements included within this report for further discussion on the ACL on loans.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ACL increased $0.7 million to $60.0 million at March 31, 2025 from $59.4 million at December 31, 2024, and was equal to 1.47% and 1.47% of total Portfolio Loans at March 31, 2025, and December 31, 2024, respectively.</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Since December 31, 2024, the ACL related to specific loans increased $1.4 million due primarily to one commercial loan addition and an increase to one existing commercial loan reserve during the first quarter of 2025. The ACL related to pooled analysis of loans decreased $2.4 million due primarily to a refinement in prepayment assumptions on mortgage loans.that included a breakdown between fixed and variable rate loans. The ACL related to subjective factors increased $1.7 million due primarily to an increase in economic uncertainty during the first quarter of 2025.</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Deposits and borrowings. </w:t>
      </w:r>
      <w:r>
        <w:rPr>
          <w:rFonts w:ascii="Times New Roman" w:cs="Times New Roman" w:eastAsia="Times New Roman" w:hAnsi="Times New Roman"/>
          <w:sz w:val="17"/>
          <w:szCs w:val="17"/>
          <w:color w:val="auto"/>
        </w:rPr>
        <w:t>Historically, the loyalty of our customer base has allowed us to price deposits competitively, contributing to a net interest margin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Deposits totaled $4.63 billion and $4.65 billion at March 31, 2025, and December 31, 2024, respectively. The decrease in deposits is primarily due to decreases in non-interest bearing and brokered time deposits that were partially offset by increases in savings and interest-bearing checking, reciprocal and time deposits. Reciprocal deposits totaled $910.5 million and $907.0 million at March 31, 2025 and December 31, 2024,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be sure that we will be able to maintain our current level of core deposits. In particular, those deposits that are uninsured may be susceptible to outflow.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relating to our deposit portfolios (excluding brokered time) follows: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March 31,</w:t>
            </w:r>
          </w:p>
        </w:tc>
        <w:tc>
          <w:tcPr>
            <w:tcW w:w="320" w:type="dxa"/>
            <w:vAlign w:val="bottom"/>
          </w:tcPr>
          <w:p>
            <w:pPr>
              <w:spacing w:after="0"/>
              <w:rPr>
                <w:sz w:val="17"/>
                <w:szCs w:val="17"/>
                <w:color w:val="auto"/>
              </w:rPr>
            </w:pP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7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gridSpan w:val="3"/>
          </w:tcPr>
          <w:p>
            <w:pPr>
              <w:jc w:val="right"/>
              <w:ind w:right="105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Uninsured deposits (1)</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1,048,043</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1,059,909</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Uninsured deposits as a percentage of deposits</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23.3 %</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Average deposit account size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21.07</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21.14</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Balance of top 100 largest depositors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1,069,874</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1,062,255</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of top 100 depositors as a percentage of deposits, excluding brokered time deposits</w:t>
            </w: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23.4 %</w:t>
            </w:r>
          </w:p>
        </w:tc>
      </w:tr>
    </w:tbl>
    <w:p>
      <w:pPr>
        <w:spacing w:after="0" w:line="241" w:lineRule="exact"/>
        <w:rPr>
          <w:sz w:val="20"/>
          <w:szCs w:val="20"/>
          <w:color w:val="auto"/>
        </w:rPr>
      </w:pPr>
    </w:p>
    <w:p>
      <w:pPr>
        <w:ind w:firstLine="3"/>
        <w:spacing w:after="0" w:line="287" w:lineRule="auto"/>
        <w:tabs>
          <w:tab w:leader="none" w:pos="26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exclude intercompany related deposits of $55.8 million and $54.8 million respectively. Uninsured deposits reported in our Call Report at March 31, 2025 and December 31, 2024 totaled $1,103.9 million and $1,114.7 million,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borrowings, comprised primarily of FRB and FHLB borrowings, totaled $45.0 million at both March 31, 2025, and December 31, 2024.</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described above, we have utilized wholesale funding, including federal funds purchased, FHLB and FRB borrowings and Brokered CDs to augment our core deposits and fund a portion of our assets. At March 31, 2025, our use of such wholesale funding sources (including reciprocal deposits) amounted to approximately $1.04 billion, or 22.1%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employ certain derivative financial instruments to manage our exposure to changes in interest rates. During the first three months of 2025 and 2024, we entered into $67.4 million and $29.5 million (aggregate notional amounts), respectively, of interest rate swaps with commercial loan customers, which were offset with interest rate swaps that the Bank entered into with a broker-dealer. We recorded $0.75 million and $0.35 million of fee income related to these transactions during the first three months of 2025 and 2024, respectively. See note #6 to the interim Condensed Consolidated Financial Statements included within this report for more information on our derivative financial instruments.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Liquidity and capital resources. </w:t>
      </w:r>
      <w:r>
        <w:rPr>
          <w:rFonts w:ascii="Times New Roman" w:cs="Times New Roman" w:eastAsia="Times New Roman" w:hAnsi="Times New Roman"/>
          <w:sz w:val="17"/>
          <w:szCs w:val="17"/>
          <w:color w:val="auto"/>
        </w:rPr>
        <w:t>Liquidity risk is the risk of being unable to timely meet obligations as they come due at a reasonable funding cost or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incurring unacceptable losses. Our liquidity management involves the measurement and monitoring of a variety of sources and uses of funds. Our interim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sources of funds include our deposit base, secured advances from the FHLB and FRB, federal funds purchased, borrowing facilities with other banks, and access to the capital markets (for Brokered CDs). At March 31, 2025, in addition to liquidity available from our normal operating, funding and investing activities we had unused credit lines with the FHLB and FRB of approximately $1.101 billion and $486.1 million, respectively. We also had approximately $501.0 million in fair value of unpledged securities AFS and HTM at March 31, 2025, which could be pledged for an estimated additional borrowing capacity at the FHLB and FRB of approximately $469.7 million.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2025, we had $776.7 million of time deposits that mature in the next 12 months. Historically, a majority of these maturing time deposits are renewed by our customers. Additionally, $3.81 billion of our deposits at March 31, 2025,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believe that the available cash on hand at the parent company (including time deposits) of approximately $50.8 million as of March 31, 2025,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0"/>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8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Subordinated debt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39,586</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debentures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39,796</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not qualifying as regulatory capital</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r>
      <w:tr>
        <w:trPr>
          <w:trHeight w:val="212"/>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Amount qualifying as regulatory capital</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78,589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78,572</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318,365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318,777</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205,853</w:t>
            </w:r>
          </w:p>
        </w:tc>
      </w:tr>
      <w:tr>
        <w:trPr>
          <w:trHeight w:val="219"/>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(67,083)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(69,944)</w:t>
            </w:r>
          </w:p>
        </w:tc>
      </w:tr>
      <w:tr>
        <w:trPr>
          <w:trHeight w:val="212"/>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467,277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454,686</w:t>
            </w:r>
          </w:p>
        </w:tc>
      </w:tr>
      <w:tr>
        <w:trPr>
          <w:trHeight w:val="212"/>
        </w:trPr>
        <w:tc>
          <w:tcPr>
            <w:tcW w:w="8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capitalization</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545,866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533,258</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interim Condensed Consolidated Statement of Financial Condition under the caption “Subordinated debt” and the March 31, 2025, balance of $39.6 million is net of remaining unamortized deferred issuance costs of approximately $0.4 million that are being amortized through the maturity date into interest expense on other borrowings and subordinated debt and debentures in our interim Condensed Consolidated Statements of Operations. Beginning May 31, 2025, the coupon rate on the subordinated debt will float at the SOFR plus 5.825% and the balance included in Tier 2 capital will decline by 20% and continue to decline by an additional 20% each year until maturity.</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four special purpose entities with $39.8 million of outstanding cumulative trust preferred securities as of March 31, 2025.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interim Condensed Consolidated Statements of Financial Condition.</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2025, and December 31, 2024.</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Common shareholders’ equity increased to $467.3 million at March 31, 2025, from $454.7 million at December 31, 2024. The increase is primarily due to earnings retention and a decrease in accumulated other comprehensive loss. Our tangible common equity (“TCE”) totaled $437.6 million and $424.9 million, respectively, at those same dates. Our ratio of TCE to tangible assets was 8.26% and 8.00% at March 31, 2025, and December 31, 2024, respectively. TCE and the ratio of TCE to tangible assets are non-GAAP measures. TCE represents total common equity less goodwill and other intangible assets.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2024, our Board of Directors authorized a 2025 share repurchase plan. Under the terms of the 2025 share repurchase plan, we are authorized to buy back up to 1,100,000, or approximately 5% of our outstanding common stock. During the first three months of 2025, we repurchased 1,093 shares of common stock, for an aggregate purchase price of $0.03 million. There were no shares repurchased during the first three months of 2024.</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pay a quarterly cash dividend on our common stock. These dividends totaled $0.26 per share and $0.24 per share in the first three months of 2025 and 2024, respectively. We generally favor a dividend payout ratio between 30% and 50% of net income.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2025 and December 31, 2024, our Bank (and holding company) continued to meet the requirements to be considered “well-capitalized” under federal regulatory standards (also see note #10 to the interim Condensed Consolidated Financial Statements included within this report).</w:t>
      </w:r>
    </w:p>
    <w:p>
      <w:pPr>
        <w:spacing w:after="0" w:line="1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Asset/liability management. </w:t>
      </w:r>
      <w:r>
        <w:rPr>
          <w:rFonts w:ascii="Times New Roman" w:cs="Times New Roman" w:eastAsia="Times New Roman" w:hAnsi="Times New Roman"/>
          <w:sz w:val="17"/>
          <w:szCs w:val="17"/>
          <w:color w:val="auto"/>
        </w:rPr>
        <w:t>Interest-rate risk is created by differences in the cash flow characteristics of our assets and liabilities. Options embedded in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instruments, including caps on adjustable-rate loans as well as borrowers’ rights to prepay fixed-rate loans, also create interest-rate risk.</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March 31, 2025, our interest rate risk profile as measured by our longer term interest rate risk measure based on changes in economic value indicates exposure to rising rates. This measure has decreased modestly from December 31, 2024 due to a decline in asset duration, an increase in liability duration and a higher base value. Asset duration declined given a shift in the asset mix to shorter duration loans. The increase in liability duration is due to duration extension on select non-maturity deposit accounts given the declining rate environment. In addition, at March 31, 2025 our simulation base-rate scenario for market value of portfolio equity increased from December 31, 2024. The increase was due primarily to an increase in the Bank’s tangible equity and an improvement in medium to long duration asset values given a decline in interest rates. The increase in asset values outpaced the increase in market value for longer duration deposits.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interest rate caps and interest rate floors) and may continue to sell some fixed rate jumbo and other portfolio mortgage loans in the future.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MARKET VALUE OF PORTFOLIO EQUITY, NET INTEREST INCOME AND NET INTEREST MARGIN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Net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Portfolio</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Net Interest</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52"/>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Interest Rates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Equity(1)</w:t>
            </w:r>
          </w:p>
        </w:tc>
        <w:tc>
          <w:tcPr>
            <w:tcW w:w="13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Income(2)</w:t>
            </w: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 w:type="dxa"/>
            <w:vAlign w:val="bottom"/>
          </w:tcPr>
          <w:p>
            <w:pPr>
              <w:spacing w:after="0"/>
              <w:rPr>
                <w:sz w:val="21"/>
                <w:szCs w:val="21"/>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Margin(3)</w:t>
            </w:r>
          </w:p>
        </w:tc>
        <w:tc>
          <w:tcPr>
            <w:tcW w:w="80" w:type="dxa"/>
            <w:vAlign w:val="bottom"/>
          </w:tcPr>
          <w:p>
            <w:pPr>
              <w:spacing w:after="0"/>
              <w:rPr>
                <w:sz w:val="21"/>
                <w:szCs w:val="21"/>
                <w:color w:val="auto"/>
              </w:rPr>
            </w:pPr>
          </w:p>
        </w:tc>
        <w:tc>
          <w:tcPr>
            <w:tcW w:w="14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0"/>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80" w:type="dxa"/>
            <w:vAlign w:val="bottom"/>
            <w:gridSpan w:val="3"/>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617,000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(8.67)%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187,300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3.69 %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647,200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(4.20)</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185,900</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675,600</w:t>
            </w:r>
          </w:p>
        </w:tc>
        <w:tc>
          <w:tcPr>
            <w:tcW w:w="1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183,700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696,800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3.14</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182,500</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(0.65)</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(0.55)</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703,800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4.17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182,200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(0.82)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(0.83)</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566,000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(9.76)%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185,500</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1.64 %</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3.65 %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598,600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(4.56)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184,400</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627,200</w:t>
            </w: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182,500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650,000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3.64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181,800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(0.38)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r>
        <w:trPr>
          <w:trHeight w:val="22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661,300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5.44</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181,600</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(0.49)</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jc w:val="both"/>
        <w:ind w:left="320" w:hanging="317"/>
        <w:spacing w:after="0" w:line="260" w:lineRule="auto"/>
        <w:tabs>
          <w:tab w:leader="none" w:pos="31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jc w:val="both"/>
        <w:ind w:left="320" w:hanging="317"/>
        <w:spacing w:after="0" w:line="253" w:lineRule="auto"/>
        <w:tabs>
          <w:tab w:leader="none" w:pos="31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 or loan origination costs.</w:t>
      </w:r>
    </w:p>
    <w:p>
      <w:pPr>
        <w:jc w:val="both"/>
        <w:ind w:left="320" w:hanging="317"/>
        <w:spacing w:after="0" w:line="259" w:lineRule="auto"/>
        <w:tabs>
          <w:tab w:leader="none" w:pos="31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 upon a static statement of financial condition, which includes debt and related financial derivative instruments, and do not consider loan fees or loan origination costs.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aggregate amount we have accrued for losses we consider probable as a result of litigation matters is not 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Accounting standards update. </w:t>
      </w:r>
      <w:r>
        <w:rPr>
          <w:rFonts w:ascii="Times New Roman" w:cs="Times New Roman" w:eastAsia="Times New Roman" w:hAnsi="Times New Roman"/>
          <w:sz w:val="17"/>
          <w:szCs w:val="17"/>
          <w:color w:val="auto"/>
        </w:rPr>
        <w:t>See note #2 to the interim Condensed Consolidated Financial Statements included elsewhere in this report for details on recently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accounting pronouncements and their impact on our interim interim condensed consolidated financial statements.</w:t>
      </w:r>
    </w:p>
    <w:p>
      <w:pPr>
        <w:spacing w:after="0" w:line="10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Fair valuation of financial instruments. </w:t>
      </w:r>
      <w:r>
        <w:rPr>
          <w:rFonts w:ascii="Times New Roman" w:cs="Times New Roman" w:eastAsia="Times New Roman" w:hAnsi="Times New Roman"/>
          <w:sz w:val="17"/>
          <w:szCs w:val="17"/>
          <w:color w:val="auto"/>
        </w:rPr>
        <w:t>Financial Accounting Standards Board (“FASB”) Accounting Standards Codification (“ASC”) Topic 820 - “Fair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Measurements and Disclosures” (“FASB ASC Topic 820”) defines fair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at fair value,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interim Condensed Consolidated Financial Statements included within this report for a complete discussion on our use of fair valuation of financial instruments and the related measurement techniques.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RITICAL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OLICIES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3"/>
          <w:szCs w:val="13"/>
          <w:b w:val="1"/>
          <w:bCs w:val="1"/>
          <w:color w:val="auto"/>
        </w:rPr>
        <w:t>UANTITATIVE AND</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3"/>
          <w:szCs w:val="13"/>
          <w:b w:val="1"/>
          <w:bCs w:val="1"/>
          <w:color w:val="auto"/>
        </w:rPr>
        <w:t>UALITATIVE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ISCLOSURES ABOUT</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ISK</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See applicable disclosures set forth in “Management’s Discussion and Analysis of Financial Condition and Results of Operations” in Item 2 under the caption “Asset/liability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ONTROLS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ROCEDURES</w:t>
      </w:r>
    </w:p>
    <w:p>
      <w:pPr>
        <w:spacing w:after="0" w:line="182" w:lineRule="exact"/>
        <w:rPr>
          <w:sz w:val="20"/>
          <w:szCs w:val="20"/>
          <w:color w:val="auto"/>
        </w:rPr>
      </w:pPr>
    </w:p>
    <w:p>
      <w:pPr>
        <w:ind w:left="300" w:hanging="297"/>
        <w:spacing w:after="0"/>
        <w:tabs>
          <w:tab w:leader="none" w:pos="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78" w:lineRule="exact"/>
        <w:rPr>
          <w:rFonts w:ascii="Times New Roman" w:cs="Times New Roman" w:eastAsia="Times New Roman" w:hAnsi="Times New Roman"/>
          <w:sz w:val="17"/>
          <w:szCs w:val="17"/>
          <w:color w:val="auto"/>
        </w:rPr>
      </w:pPr>
    </w:p>
    <w:p>
      <w:pPr>
        <w:jc w:val="both"/>
        <w:ind w:lef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2025, have concluded that, as of such date, our disclosure controls and procedures were effective.</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Controls.</w:t>
      </w:r>
    </w:p>
    <w:p>
      <w:pPr>
        <w:spacing w:after="0" w:line="178" w:lineRule="exact"/>
        <w:rPr>
          <w:rFonts w:ascii="Times New Roman" w:cs="Times New Roman" w:eastAsia="Times New Roman" w:hAnsi="Times New Roman"/>
          <w:sz w:val="17"/>
          <w:szCs w:val="17"/>
          <w:color w:val="auto"/>
        </w:rPr>
      </w:pPr>
    </w:p>
    <w:p>
      <w:pPr>
        <w:ind w:left="3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quarter ended March 31, 2025,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-113030</wp:posOffset>
            </wp:positionV>
            <wp:extent cx="581025" cy="1225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spacing w:after="0" w:line="1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risk factors disclosed in Item 1A. Risk Factors of our Annual Report on Form 10-K for the year ended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2025, the Company issued 266 shares of common stock to non-employee directors on a current basis and 1,397 shares of common stock to the trust for distribution to directors on a deferred basis. These shares were issued on January 1, 2025 representing aggregate fees of $0.05 million. The shares on a current basis were issued at a price of $34.83 per share and the shares on a deferred basis were issued at a price of $31.35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certain information relating to repurchases of common stock for the three-months ended March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Average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Purchase</w:t>
            </w:r>
          </w:p>
        </w:tc>
      </w:tr>
      <w:tr>
        <w:trPr>
          <w:trHeight w:val="248"/>
        </w:trPr>
        <w:tc>
          <w:tcPr>
            <w:tcW w:w="514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Paid Per 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Under the Plan</w:t>
            </w:r>
          </w:p>
        </w:tc>
      </w:tr>
      <w:tr>
        <w:trPr>
          <w:trHeight w:val="212"/>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1,098,907</w:t>
            </w:r>
          </w:p>
        </w:tc>
      </w:tr>
      <w:tr>
        <w:trPr>
          <w:trHeight w:val="212"/>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64,889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1,098,907</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both"/>
        <w:ind w:left="320" w:hanging="317"/>
        <w:spacing w:after="0" w:line="245" w:lineRule="auto"/>
        <w:tabs>
          <w:tab w:leader="none" w:pos="27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January, February and March include 18,982 shares, 13,625 shares and 791 shares, respectively, withheld from the shares that would otherwise have been issued to certain officers in order to satisfy the tax withholding obligations resulting from the vesting of restricted stock and performance share units as well as satisfy the tax withholding obligations and stock option exercise price resulting from the exercise of stock options. February also includes 30,398 shares of our common stock purchased in the open market by the Independent Bank Corporation Employee Stock Ownership Trust as part of our employee stock ownership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65"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Trading Arrangement," as each term is defined in Item 408(a) of Regulation S-K.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30" w:lineRule="exact"/>
        <w:rPr>
          <w:sz w:val="20"/>
          <w:szCs w:val="20"/>
          <w:color w:val="auto"/>
        </w:rPr>
      </w:pPr>
    </w:p>
    <w:p>
      <w:pPr>
        <w:ind w:left="920" w:hanging="561"/>
        <w:spacing w:after="0"/>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7"/>
          <w:szCs w:val="17"/>
          <w:color w:val="auto"/>
        </w:rPr>
      </w:pPr>
    </w:p>
    <w:p>
      <w:pPr>
        <w:ind w:left="1600" w:hanging="683"/>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 (18 U.S.C. 1350).</w:t>
      </w:r>
    </w:p>
    <w:p>
      <w:pPr>
        <w:spacing w:after="0" w:line="9"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-1005840</wp:posOffset>
            </wp:positionV>
            <wp:extent cx="7138670" cy="2540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2540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line="239" w:lineRule="auto"/>
        <w:tabs>
          <w:tab w:leader="none" w:pos="1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tabs>
          <w:tab w:leader="none" w:pos="1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600" w:hanging="677"/>
        <w:spacing w:after="0"/>
        <w:tabs>
          <w:tab w:leader="none" w:pos="1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Inline XBRL Taxonomy Extension Calculation Linkbase Document</w:t>
      </w:r>
    </w:p>
    <w:p>
      <w:pPr>
        <w:spacing w:after="0" w:line="24" w:lineRule="exact"/>
        <w:rPr>
          <w:sz w:val="20"/>
          <w:szCs w:val="20"/>
          <w:color w:val="auto"/>
        </w:rPr>
      </w:pPr>
    </w:p>
    <w:p>
      <w:pPr>
        <w:ind w:left="1600" w:hanging="677"/>
        <w:spacing w:after="0"/>
        <w:tabs>
          <w:tab w:leader="none" w:pos="1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Inline XBRL Taxonomy Extension Label Linkbase Document</w:t>
      </w:r>
    </w:p>
    <w:p>
      <w:pPr>
        <w:spacing w:after="0" w:line="24" w:lineRule="exact"/>
        <w:rPr>
          <w:sz w:val="20"/>
          <w:szCs w:val="20"/>
          <w:color w:val="auto"/>
        </w:rPr>
      </w:pPr>
    </w:p>
    <w:p>
      <w:pPr>
        <w:ind w:left="1600" w:hanging="677"/>
        <w:spacing w:after="0"/>
        <w:tabs>
          <w:tab w:leader="none" w:pos="1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20"/>
        <w:spacing w:after="0"/>
        <w:tabs>
          <w:tab w:leader="none" w:pos="2480" w:val="left"/>
          <w:tab w:leader="none" w:pos="6000" w:val="left"/>
          <w:tab w:leader="none" w:pos="82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color w:val="auto"/>
        </w:rPr>
        <w:t>Gavin A. Mohr, Principal Financial Officer</w:t>
      </w:r>
    </w:p>
    <w:p>
      <w:pPr>
        <w:spacing w:after="0" w:line="282" w:lineRule="exact"/>
        <w:rPr>
          <w:sz w:val="20"/>
          <w:szCs w:val="20"/>
          <w:color w:val="auto"/>
        </w:rPr>
      </w:pPr>
    </w:p>
    <w:p>
      <w:pPr>
        <w:ind w:left="20"/>
        <w:spacing w:after="0"/>
        <w:tabs>
          <w:tab w:leader="none" w:pos="2480" w:val="left"/>
          <w:tab w:leader="none" w:pos="6000" w:val="left"/>
          <w:tab w:leader="none" w:pos="7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1240"/>
          </w:cols>
          <w:pgMar w:left="320" w:top="11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7"/>
          <w:szCs w:val="17"/>
          <w:color w:val="auto"/>
        </w:rPr>
        <w:t>Date: May 7, 2025</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33655</wp:posOffset>
            </wp:positionV>
            <wp:extent cx="32251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2025</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106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William B. Kessel, President and Chief Executive Officer of Independent Bank Corporation, certify, to the best of my knowledge and belief,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(18 U.S.C. 1350) that:</w:t>
      </w:r>
    </w:p>
    <w:p>
      <w:pPr>
        <w:spacing w:after="0" w:line="174" w:lineRule="exact"/>
        <w:rPr>
          <w:sz w:val="20"/>
          <w:szCs w:val="20"/>
          <w:color w:val="auto"/>
        </w:rPr>
      </w:pPr>
    </w:p>
    <w:p>
      <w:pPr>
        <w:ind w:left="1240" w:hanging="618"/>
        <w:spacing w:after="0" w:line="287" w:lineRule="auto"/>
        <w:tabs>
          <w:tab w:leader="none" w:pos="123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March 31, 2025,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March 31, 2025,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2025</w:t>
            </w:r>
          </w:p>
        </w:tc>
        <w:tc>
          <w:tcPr>
            <w:tcW w:w="5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William B. Kessel</w:t>
            </w:r>
          </w:p>
        </w:tc>
      </w:tr>
      <w:tr>
        <w:trPr>
          <w:trHeight w:val="209"/>
        </w:trPr>
        <w:tc>
          <w:tcPr>
            <w:tcW w:w="618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William B. Kessel</w:t>
            </w:r>
          </w:p>
        </w:tc>
      </w:tr>
      <w:tr>
        <w:trPr>
          <w:trHeight w:val="223"/>
        </w:trPr>
        <w:tc>
          <w:tcPr>
            <w:tcW w:w="618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 Gavin A. Mohr, Chief Financial Officer of Independent Bank Corporation, certify, to the best of my knowledge and belief, pursuant to Section 906 of the Sarbanes-Oxley Act of 2002 (18 U.S.C. 1350) that:</w:t>
      </w:r>
    </w:p>
    <w:p>
      <w:pPr>
        <w:spacing w:after="0" w:line="125" w:lineRule="exact"/>
        <w:rPr>
          <w:sz w:val="20"/>
          <w:szCs w:val="20"/>
          <w:color w:val="auto"/>
        </w:rPr>
      </w:pPr>
    </w:p>
    <w:p>
      <w:pPr>
        <w:ind w:left="1240" w:hanging="618"/>
        <w:spacing w:after="0" w:line="287" w:lineRule="auto"/>
        <w:tabs>
          <w:tab w:leader="none" w:pos="123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March 31, 2025,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March 31, 2025,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2025</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1."/>
      <w:numFmt w:val="decimal"/>
      <w:start w:val="2"/>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4"/>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5"/>
    </w:lvl>
  </w:abstractNum>
  <w:abstractNum w:abstractNumId="8">
    <w:nsid w:val="614FD4A1"/>
    <w:multiLevelType w:val="hybridMultilevel"/>
    <w:lvl w:ilvl="0">
      <w:lvlJc w:val="left"/>
      <w:lvlText w:val="%1."/>
      <w:numFmt w:val="decimal"/>
      <w:start w:val="6"/>
    </w:lvl>
  </w:abstractNum>
  <w:abstractNum w:abstractNumId="9">
    <w:nsid w:val="419AC241"/>
    <w:multiLevelType w:val="hybridMultilevel"/>
    <w:lvl w:ilvl="0">
      <w:lvlJc w:val="left"/>
      <w:lvlText w:val="\endash "/>
      <w:numFmt w:val="bullet"/>
      <w:start w:val="1"/>
    </w:lvl>
  </w:abstractNum>
  <w:abstractNum w:abstractNumId="10">
    <w:nsid w:val="5577F8E1"/>
    <w:multiLevelType w:val="hybridMultilevel"/>
    <w:lvl w:ilvl="0">
      <w:lvlJc w:val="left"/>
      <w:lvlText w:val="%1."/>
      <w:numFmt w:val="decimal"/>
      <w:start w:val="8"/>
    </w:lvl>
  </w:abstractNum>
  <w:abstractNum w:abstractNumId="11">
    <w:nsid w:val="440BADFC"/>
    <w:multiLevelType w:val="hybridMultilevel"/>
    <w:lvl w:ilvl="0">
      <w:lvlJc w:val="left"/>
      <w:lvlText w:val="%1."/>
      <w:numFmt w:val="decimal"/>
      <w:start w:val="9"/>
    </w:lvl>
  </w:abstractNum>
  <w:abstractNum w:abstractNumId="12">
    <w:nsid w:val="5072367"/>
    <w:multiLevelType w:val="hybridMultilevel"/>
    <w:lvl w:ilvl="0">
      <w:lvlJc w:val="left"/>
      <w:lvlText w:val="%1."/>
      <w:numFmt w:val="decimal"/>
      <w:start w:val="10"/>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2"/>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3"/>
    </w:lvl>
  </w:abstractNum>
  <w:abstractNum w:abstractNumId="23">
    <w:nsid w:val="3855585C"/>
    <w:multiLevelType w:val="hybridMultilevel"/>
    <w:lvl w:ilvl="0">
      <w:lvlJc w:val="left"/>
      <w:lvlText w:val="%1."/>
      <w:numFmt w:val="decimal"/>
      <w:start w:val="14"/>
    </w:lvl>
  </w:abstractNum>
  <w:abstractNum w:abstractNumId="24">
    <w:nsid w:val="70A64E2A"/>
    <w:multiLevelType w:val="hybridMultilevel"/>
    <w:lvl w:ilvl="0">
      <w:lvlJc w:val="left"/>
      <w:lvlText w:val="$"/>
      <w:numFmt w:val="bullet"/>
      <w:start w:val="1"/>
    </w:lvl>
    <w:lvl w:ilvl="1">
      <w:lvlJc w:val="left"/>
      <w:lvlText w:val="(%2)"/>
      <w:numFmt w:val="decimal"/>
      <w:start w:val="69"/>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lvl w:ilvl="1">
      <w:lvlJc w:val="left"/>
      <w:lvlText w:val="(%2)"/>
      <w:numFmt w:val="decimal"/>
      <w:start w:val="56"/>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5"/>
    </w:lvl>
  </w:abstractNum>
  <w:abstractNum w:abstractNumId="33">
    <w:nsid w:val="542289EC"/>
    <w:multiLevelType w:val="hybridMultilevel"/>
    <w:lvl w:ilvl="0">
      <w:lvlJc w:val="left"/>
      <w:lvlText w:val="%1."/>
      <w:numFmt w:val="decimal"/>
      <w:start w:val="16"/>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7"/>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2"/>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decimal"/>
      <w:start w:val="101"/>
    </w:lvl>
  </w:abstractNum>
  <w:abstractNum w:abstractNumId="49">
    <w:nsid w:val="4F4EF005"/>
    <w:multiLevelType w:val="hybridMultilevel"/>
    <w:lvl w:ilvl="0">
      <w:lvlJc w:val="left"/>
      <w:lvlText w:val="%1."/>
      <w:numFmt w:val="decimal"/>
      <w:start w:val="101"/>
    </w:lvl>
  </w:abstractNum>
  <w:abstractNum w:abstractNumId="50">
    <w:nsid w:val="23F9C13C"/>
    <w:multiLevelType w:val="hybridMultilevel"/>
    <w:lvl w:ilvl="0">
      <w:lvlJc w:val="left"/>
      <w:lvlText w:val="%1."/>
      <w:numFmt w:val="decimal"/>
      <w:start w:val="101"/>
    </w:lvl>
  </w:abstractNum>
  <w:abstractNum w:abstractNumId="51">
    <w:nsid w:val="649BB77C"/>
    <w:multiLevelType w:val="hybridMultilevel"/>
    <w:lvl w:ilvl="0">
      <w:lvlJc w:val="left"/>
      <w:lvlText w:val="%1."/>
      <w:numFmt w:val="decimal"/>
      <w:start w:val="101"/>
    </w:lvl>
  </w:abstractNum>
  <w:abstractNum w:abstractNumId="52">
    <w:nsid w:val="275AC794"/>
    <w:multiLevelType w:val="hybridMultilevel"/>
    <w:lvl w:ilvl="0">
      <w:lvlJc w:val="left"/>
      <w:lvlText w:val="%1."/>
      <w:numFmt w:val="decimal"/>
      <w:start w:val="101"/>
    </w:lvl>
  </w:abstractNum>
  <w:abstractNum w:abstractNumId="53">
    <w:nsid w:val="39386575"/>
    <w:multiLevelType w:val="hybridMultilevel"/>
    <w:lvl w:ilvl="0">
      <w:lvlJc w:val="left"/>
      <w:lvlText w:val="%1."/>
      <w:numFmt w:val="decimal"/>
      <w:start w:val="101"/>
    </w:lvl>
  </w:abstractNum>
  <w:abstractNum w:abstractNumId="54">
    <w:nsid w:val="1CF10FD8"/>
    <w:multiLevelType w:val="hybridMultilevel"/>
    <w:lvl w:ilvl="0">
      <w:lvlJc w:val="left"/>
      <w:lvlText w:val="%1"/>
      <w:numFmt w:val="decimal"/>
      <w:start w:val="104"/>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2025-05-07T12:15:35Z</dcterms:created>
  <dcterms:modified xsi:type="dcterms:W3CDTF">2025-05-07T12:15:35Z</dcterms:modified>
</cp:coreProperties>
</file>