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SECURITIES AND EXCHANGE COMMISSION</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WASHINGTON, D.C. 20549</w:t>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color w:val="auto"/>
        </w:rPr>
        <w:t>FORM 10-Q</w:t>
      </w:r>
    </w:p>
    <w:p>
      <w:pPr>
        <w:spacing w:after="0" w:line="258" w:lineRule="exact"/>
        <w:rPr>
          <w:sz w:val="24"/>
          <w:szCs w:val="24"/>
          <w:color w:val="auto"/>
        </w:rPr>
      </w:pPr>
    </w:p>
    <w:p>
      <w:pPr>
        <w:ind w:right="660"/>
        <w:spacing w:after="0" w:line="277" w:lineRule="auto"/>
        <w:rPr>
          <w:sz w:val="20"/>
          <w:szCs w:val="20"/>
          <w:color w:val="auto"/>
        </w:rPr>
      </w:pPr>
      <w:r>
        <w:rPr>
          <w:rFonts w:ascii="Arial" w:cs="Arial" w:eastAsia="Arial" w:hAnsi="Arial"/>
          <w:sz w:val="18"/>
          <w:szCs w:val="18"/>
          <w:color w:val="auto"/>
        </w:rPr>
        <w:t xml:space="preserve">QUARTERLY REPORT PURSUANT TO SECTION 13 OR 15(d) OF THE SECURITIES EXCHANGE ACT OF 1934 FOR THE QUARTERLY PERIOD ENDED </w:t>
      </w:r>
      <w:r>
        <w:rPr>
          <w:rFonts w:ascii="Arial" w:cs="Arial" w:eastAsia="Arial" w:hAnsi="Arial"/>
          <w:sz w:val="18"/>
          <w:szCs w:val="18"/>
          <w:u w:val="single" w:color="auto"/>
          <w:color w:val="auto"/>
        </w:rPr>
        <w:t>June 30, 2021</w:t>
      </w:r>
    </w:p>
    <w:p>
      <w:pPr>
        <w:spacing w:after="0" w:line="197" w:lineRule="exact"/>
        <w:rPr>
          <w:sz w:val="24"/>
          <w:szCs w:val="24"/>
          <w:color w:val="auto"/>
        </w:rPr>
      </w:pPr>
    </w:p>
    <w:p>
      <w:pPr>
        <w:spacing w:after="0"/>
        <w:rPr>
          <w:sz w:val="20"/>
          <w:szCs w:val="20"/>
          <w:color w:val="auto"/>
        </w:rPr>
      </w:pPr>
      <w:r>
        <w:rPr>
          <w:rFonts w:ascii="Arial" w:cs="Arial" w:eastAsia="Arial" w:hAnsi="Arial"/>
          <w:sz w:val="18"/>
          <w:szCs w:val="18"/>
          <w:color w:val="auto"/>
        </w:rPr>
        <w:t>Commission file number  0-7818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1141095</wp:posOffset>
            </wp:positionH>
            <wp:positionV relativeFrom="paragraph">
              <wp:posOffset>-10160</wp:posOffset>
            </wp:positionV>
            <wp:extent cx="4089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08940" cy="8255"/>
                    </a:xfrm>
                    <a:prstGeom prst="rect">
                      <a:avLst/>
                    </a:prstGeom>
                    <a:noFill/>
                  </pic:spPr>
                </pic:pic>
              </a:graphicData>
            </a:graphic>
          </wp:anchor>
        </w:drawing>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43"/>
          <w:szCs w:val="43"/>
          <w:color w:val="auto"/>
        </w:rPr>
        <w:t>INDEPENDENT BANK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43"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574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Michigan</w:t>
            </w:r>
          </w:p>
        </w:tc>
        <w:tc>
          <w:tcPr>
            <w:tcW w:w="5500" w:type="dxa"/>
            <w:vAlign w:val="bottom"/>
          </w:tcPr>
          <w:p>
            <w:pPr>
              <w:jc w:val="right"/>
              <w:ind w:right="2230"/>
              <w:spacing w:after="0"/>
              <w:rPr>
                <w:sz w:val="20"/>
                <w:szCs w:val="20"/>
                <w:color w:val="auto"/>
              </w:rPr>
            </w:pPr>
            <w:r>
              <w:rPr>
                <w:rFonts w:ascii="Arial" w:cs="Arial" w:eastAsia="Arial" w:hAnsi="Arial"/>
                <w:sz w:val="18"/>
                <w:szCs w:val="18"/>
                <w:color w:val="auto"/>
              </w:rPr>
              <w:t>38-2032782</w:t>
            </w:r>
          </w:p>
        </w:tc>
      </w:tr>
      <w:tr>
        <w:trPr>
          <w:trHeight w:val="230"/>
        </w:trPr>
        <w:tc>
          <w:tcPr>
            <w:tcW w:w="5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jurisdiction of Incorporation or Organization)</w:t>
            </w:r>
          </w:p>
        </w:tc>
        <w:tc>
          <w:tcPr>
            <w:tcW w:w="220" w:type="dxa"/>
            <w:vAlign w:val="bottom"/>
          </w:tcPr>
          <w:p>
            <w:pPr>
              <w:spacing w:after="0"/>
              <w:rPr>
                <w:sz w:val="20"/>
                <w:szCs w:val="20"/>
                <w:color w:val="auto"/>
              </w:rPr>
            </w:pPr>
          </w:p>
        </w:tc>
        <w:tc>
          <w:tcPr>
            <w:tcW w:w="5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(I.R.S. Employer Identification Number)</w:t>
            </w:r>
          </w:p>
        </w:tc>
      </w:tr>
    </w:tbl>
    <w:p>
      <w:pPr>
        <w:spacing w:after="0" w:line="214" w:lineRule="exact"/>
        <w:rPr>
          <w:sz w:val="24"/>
          <w:szCs w:val="24"/>
          <w:color w:val="auto"/>
        </w:rPr>
      </w:pPr>
    </w:p>
    <w:p>
      <w:pPr>
        <w:ind w:left="3760"/>
        <w:spacing w:after="0"/>
        <w:rPr>
          <w:sz w:val="20"/>
          <w:szCs w:val="20"/>
          <w:color w:val="auto"/>
        </w:rPr>
      </w:pPr>
      <w:r>
        <w:rPr>
          <w:rFonts w:ascii="Arial" w:cs="Arial" w:eastAsia="Arial" w:hAnsi="Arial"/>
          <w:sz w:val="18"/>
          <w:szCs w:val="18"/>
          <w:color w:val="auto"/>
        </w:rPr>
        <w:t>4200 East Beltline, Grand Rapids, Michigan 49525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4"/>
          <w:szCs w:val="24"/>
          <w:color w:val="auto"/>
        </w:rPr>
      </w:pPr>
    </w:p>
    <w:p>
      <w:pPr>
        <w:ind w:left="4200"/>
        <w:spacing w:after="0"/>
        <w:rPr>
          <w:sz w:val="20"/>
          <w:szCs w:val="20"/>
          <w:color w:val="auto"/>
        </w:rPr>
      </w:pPr>
      <w:r>
        <w:rPr>
          <w:rFonts w:ascii="Arial" w:cs="Arial" w:eastAsia="Arial" w:hAnsi="Arial"/>
          <w:sz w:val="18"/>
          <w:szCs w:val="18"/>
          <w:color w:val="auto"/>
        </w:rPr>
        <w:t>(Address of principal executive offices)</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(616) 527-5820</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address and fiscal year, if changed since last report.</w:t>
      </w:r>
    </w:p>
    <w:p>
      <w:pPr>
        <w:spacing w:after="0" w:line="252"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620" w:type="dxa"/>
            <w:vAlign w:val="bottom"/>
            <w:gridSpan w:val="2"/>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80" w:type="dxa"/>
            <w:vAlign w:val="bottom"/>
          </w:tcPr>
          <w:p>
            <w:pPr>
              <w:spacing w:after="0"/>
              <w:rPr>
                <w:sz w:val="20"/>
                <w:szCs w:val="20"/>
                <w:color w:val="auto"/>
              </w:rPr>
            </w:pPr>
          </w:p>
        </w:tc>
      </w:tr>
      <w:tr>
        <w:trPr>
          <w:trHeight w:val="466"/>
        </w:trPr>
        <w:tc>
          <w:tcPr>
            <w:tcW w:w="46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Title of each Class</w:t>
            </w:r>
          </w:p>
        </w:tc>
        <w:tc>
          <w:tcPr>
            <w:tcW w:w="21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Trading Symbol</w:t>
            </w:r>
          </w:p>
        </w:tc>
        <w:tc>
          <w:tcPr>
            <w:tcW w:w="4480" w:type="dxa"/>
            <w:vAlign w:val="bottom"/>
          </w:tcPr>
          <w:p>
            <w:pPr>
              <w:jc w:val="center"/>
              <w:spacing w:after="0"/>
              <w:rPr>
                <w:sz w:val="20"/>
                <w:szCs w:val="20"/>
                <w:color w:val="auto"/>
              </w:rPr>
            </w:pPr>
            <w:r>
              <w:rPr>
                <w:rFonts w:ascii="Arial" w:cs="Arial" w:eastAsia="Arial" w:hAnsi="Arial"/>
                <w:sz w:val="18"/>
                <w:szCs w:val="18"/>
                <w:color w:val="auto"/>
                <w:w w:val="89"/>
              </w:rPr>
              <w:t>Name of each exchange which registered</w:t>
            </w:r>
          </w:p>
        </w:tc>
      </w:tr>
      <w:tr>
        <w:trPr>
          <w:trHeight w:val="230"/>
        </w:trPr>
        <w:tc>
          <w:tcPr>
            <w:tcW w:w="4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no par value</w:t>
            </w:r>
          </w:p>
        </w:tc>
        <w:tc>
          <w:tcPr>
            <w:tcW w:w="120" w:type="dxa"/>
            <w:vAlign w:val="bottom"/>
          </w:tcPr>
          <w:p>
            <w:pPr>
              <w:spacing w:after="0"/>
              <w:rPr>
                <w:sz w:val="20"/>
                <w:szCs w:val="20"/>
                <w:color w:val="auto"/>
              </w:rPr>
            </w:pPr>
          </w:p>
        </w:tc>
        <w:tc>
          <w:tcPr>
            <w:tcW w:w="20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IBCP</w:t>
            </w:r>
          </w:p>
        </w:tc>
        <w:tc>
          <w:tcPr>
            <w:tcW w:w="120" w:type="dxa"/>
            <w:vAlign w:val="bottom"/>
          </w:tcPr>
          <w:p>
            <w:pPr>
              <w:spacing w:after="0"/>
              <w:rPr>
                <w:sz w:val="20"/>
                <w:szCs w:val="20"/>
                <w:color w:val="auto"/>
              </w:rPr>
            </w:pPr>
          </w:p>
        </w:tc>
        <w:tc>
          <w:tcPr>
            <w:tcW w:w="44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The Nasdaq Stock Market, LLC</w:t>
            </w:r>
          </w:p>
        </w:tc>
      </w:tr>
    </w:tbl>
    <w:p>
      <w:pPr>
        <w:spacing w:after="0" w:line="214" w:lineRule="exact"/>
        <w:rPr>
          <w:sz w:val="24"/>
          <w:szCs w:val="24"/>
          <w:color w:val="auto"/>
        </w:rPr>
      </w:pPr>
    </w:p>
    <w:p>
      <w:pPr>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documents and reports required to be filed by Sections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1" w:lineRule="exact"/>
        <w:rPr>
          <w:sz w:val="24"/>
          <w:szCs w:val="24"/>
          <w:color w:val="auto"/>
        </w:rPr>
      </w:pPr>
    </w:p>
    <w:p>
      <w:pPr>
        <w:ind w:right="80"/>
        <w:spacing w:after="0" w:line="25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43" w:lineRule="exact"/>
        <w:rPr>
          <w:sz w:val="24"/>
          <w:szCs w:val="24"/>
          <w:color w:val="auto"/>
        </w:rPr>
      </w:pPr>
    </w:p>
    <w:p>
      <w:pPr>
        <w:ind w:right="540"/>
        <w:spacing w:after="0" w:line="255" w:lineRule="auto"/>
        <w:rPr>
          <w:sz w:val="20"/>
          <w:szCs w:val="20"/>
          <w:color w:val="auto"/>
        </w:rPr>
      </w:pPr>
      <w:r>
        <w:rPr>
          <w:rFonts w:ascii="Arial" w:cs="Arial" w:eastAsia="Arial" w:hAnsi="Arial"/>
          <w:sz w:val="18"/>
          <w:szCs w:val="18"/>
          <w:color w:val="auto"/>
        </w:rPr>
        <w:t>Indicate by check mark whether the Registrant is a large accelerated filer, an accelerated filer, non-accelerated filer, smaller reporting company or an emerging growth company.</w:t>
      </w:r>
    </w:p>
    <w:p>
      <w:pPr>
        <w:spacing w:after="0" w:line="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Smaller reporting company </w:t>
      </w:r>
      <w:r>
        <w:rPr>
          <w:rFonts w:ascii="MS PGothic" w:cs="MS PGothic" w:eastAsia="MS PGothic" w:hAnsi="MS PGothic"/>
          <w:sz w:val="18"/>
          <w:szCs w:val="18"/>
          <w:color w:val="auto"/>
        </w:rPr>
        <w:t>☐</w:t>
      </w:r>
      <w:r>
        <w:rPr>
          <w:rFonts w:ascii="Arial" w:cs="Arial" w:eastAsia="Arial" w:hAnsi="Arial"/>
          <w:sz w:val="18"/>
          <w:szCs w:val="18"/>
          <w:color w:val="auto"/>
        </w:rPr>
        <w:t xml:space="preserve"> Emerging growth company </w:t>
      </w:r>
      <w:r>
        <w:rPr>
          <w:rFonts w:ascii="MS PGothic" w:cs="MS PGothic" w:eastAsia="MS PGothic" w:hAnsi="MS PGothic"/>
          <w:sz w:val="18"/>
          <w:szCs w:val="18"/>
          <w:color w:val="auto"/>
        </w:rPr>
        <w:t>☐</w:t>
      </w:r>
    </w:p>
    <w:p>
      <w:pPr>
        <w:spacing w:after="0" w:line="243"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9"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43" w:lineRule="exact"/>
        <w:rPr>
          <w:sz w:val="24"/>
          <w:szCs w:val="24"/>
          <w:color w:val="auto"/>
        </w:rPr>
      </w:pPr>
    </w:p>
    <w:p>
      <w:pPr>
        <w:ind w:right="300"/>
        <w:spacing w:after="0" w:line="277" w:lineRule="auto"/>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 common stock, no par value, 21,518,960 as of August 5,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674370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28"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1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560" w:type="dxa"/>
            <w:vAlign w:val="bottom"/>
            <w:gridSpan w:val="12"/>
          </w:tcPr>
          <w:p>
            <w:pPr>
              <w:jc w:val="center"/>
              <w:ind w:right="2120"/>
              <w:spacing w:after="0"/>
              <w:rPr>
                <w:sz w:val="20"/>
                <w:szCs w:val="20"/>
                <w:color w:val="auto"/>
              </w:rPr>
            </w:pPr>
            <w:r>
              <w:rPr>
                <w:rFonts w:ascii="Arial" w:cs="Arial" w:eastAsia="Arial" w:hAnsi="Arial"/>
                <w:sz w:val="18"/>
                <w:szCs w:val="18"/>
                <w:color w:val="auto"/>
                <w:w w:val="96"/>
              </w:rPr>
              <w:t>INDEPENDENT BANK CORPORATION AND SUBSIDIARIES</w:t>
            </w: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5120" w:type="dxa"/>
            <w:vAlign w:val="bottom"/>
            <w:gridSpan w:val="11"/>
          </w:tcPr>
          <w:p>
            <w:pPr>
              <w:jc w:val="center"/>
              <w:ind w:right="4560"/>
              <w:spacing w:after="0"/>
              <w:rPr>
                <w:sz w:val="20"/>
                <w:szCs w:val="20"/>
                <w:color w:val="auto"/>
              </w:rPr>
            </w:pPr>
            <w:r>
              <w:rPr>
                <w:rFonts w:ascii="Arial" w:cs="Arial" w:eastAsia="Arial" w:hAnsi="Arial"/>
                <w:sz w:val="18"/>
                <w:szCs w:val="18"/>
                <w:color w:val="auto"/>
              </w:rPr>
              <w:t>INDEX</w:t>
            </w: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1120" w:type="dxa"/>
            <w:vAlign w:val="bottom"/>
            <w:vMerge w:val="restart"/>
          </w:tcPr>
          <w:p>
            <w:pPr>
              <w:spacing w:after="0"/>
              <w:rPr>
                <w:sz w:val="20"/>
                <w:szCs w:val="20"/>
                <w:color w:val="auto"/>
              </w:rPr>
            </w:pPr>
            <w:r>
              <w:rPr>
                <w:rFonts w:ascii="Arial" w:cs="Arial" w:eastAsia="Arial" w:hAnsi="Arial"/>
                <w:sz w:val="18"/>
                <w:szCs w:val="18"/>
                <w:color w:val="auto"/>
              </w:rPr>
              <w:t>PART I -</w:t>
            </w:r>
          </w:p>
        </w:tc>
        <w:tc>
          <w:tcPr>
            <w:tcW w:w="4220" w:type="dxa"/>
            <w:vAlign w:val="bottom"/>
            <w:gridSpan w:val="5"/>
            <w:vMerge w:val="restart"/>
          </w:tcPr>
          <w:p>
            <w:pPr>
              <w:spacing w:after="0"/>
              <w:rPr>
                <w:sz w:val="20"/>
                <w:szCs w:val="20"/>
                <w:color w:val="auto"/>
              </w:rPr>
            </w:pPr>
            <w:r>
              <w:rPr>
                <w:rFonts w:ascii="Arial" w:cs="Arial" w:eastAsia="Arial" w:hAnsi="Arial"/>
                <w:sz w:val="18"/>
                <w:szCs w:val="18"/>
                <w:color w:val="auto"/>
              </w:rPr>
              <w:t>Financial Information</w:t>
            </w:r>
          </w:p>
        </w:tc>
        <w:tc>
          <w:tcPr>
            <w:tcW w:w="560" w:type="dxa"/>
            <w:vAlign w:val="bottom"/>
            <w:tcBorders>
              <w:top w:val="single" w:sz="8" w:color="auto"/>
            </w:tcBorders>
            <w:gridSpan w:val="4"/>
            <w:vMerge w:val="restart"/>
          </w:tcPr>
          <w:p>
            <w:pPr>
              <w:spacing w:after="0"/>
              <w:rPr>
                <w:sz w:val="24"/>
                <w:szCs w:val="24"/>
                <w:color w:val="auto"/>
              </w:rPr>
            </w:pPr>
          </w:p>
        </w:tc>
        <w:tc>
          <w:tcPr>
            <w:tcW w:w="4560" w:type="dxa"/>
            <w:vAlign w:val="bottom"/>
            <w:gridSpan w:val="7"/>
            <w:vMerge w:val="restart"/>
          </w:tcPr>
          <w:p>
            <w:pPr>
              <w:spacing w:after="0"/>
              <w:rPr>
                <w:sz w:val="24"/>
                <w:szCs w:val="24"/>
                <w:color w:val="auto"/>
              </w:rPr>
            </w:pPr>
          </w:p>
        </w:tc>
        <w:tc>
          <w:tcPr>
            <w:tcW w:w="800" w:type="dxa"/>
            <w:vAlign w:val="bottom"/>
            <w:gridSpan w:val="2"/>
          </w:tcPr>
          <w:p>
            <w:pPr>
              <w:spacing w:after="0"/>
              <w:rPr>
                <w:sz w:val="20"/>
                <w:szCs w:val="20"/>
                <w:color w:val="auto"/>
              </w:rPr>
            </w:pPr>
            <w:r>
              <w:rPr>
                <w:rFonts w:ascii="Arial" w:cs="Arial" w:eastAsia="Arial" w:hAnsi="Arial"/>
                <w:sz w:val="18"/>
                <w:szCs w:val="18"/>
                <w:color w:val="auto"/>
                <w:w w:val="91"/>
              </w:rPr>
              <w:t>Number(s)</w:t>
            </w:r>
          </w:p>
        </w:tc>
        <w:tc>
          <w:tcPr>
            <w:tcW w:w="0" w:type="dxa"/>
            <w:vAlign w:val="bottom"/>
          </w:tcPr>
          <w:p>
            <w:pPr>
              <w:spacing w:after="0"/>
              <w:rPr>
                <w:sz w:val="1"/>
                <w:szCs w:val="1"/>
                <w:color w:val="auto"/>
              </w:rPr>
            </w:pPr>
          </w:p>
        </w:tc>
      </w:tr>
      <w:tr>
        <w:trPr>
          <w:trHeight w:val="237"/>
        </w:trPr>
        <w:tc>
          <w:tcPr>
            <w:tcW w:w="1120" w:type="dxa"/>
            <w:vAlign w:val="bottom"/>
            <w:vMerge w:val="continue"/>
          </w:tcPr>
          <w:p>
            <w:pPr>
              <w:spacing w:after="0"/>
              <w:rPr>
                <w:sz w:val="20"/>
                <w:szCs w:val="20"/>
                <w:color w:val="auto"/>
              </w:rPr>
            </w:pPr>
          </w:p>
        </w:tc>
        <w:tc>
          <w:tcPr>
            <w:tcW w:w="4220" w:type="dxa"/>
            <w:vAlign w:val="bottom"/>
            <w:gridSpan w:val="5"/>
            <w:vMerge w:val="continue"/>
          </w:tcPr>
          <w:p>
            <w:pPr>
              <w:spacing w:after="0"/>
              <w:rPr>
                <w:sz w:val="20"/>
                <w:szCs w:val="20"/>
                <w:color w:val="auto"/>
              </w:rPr>
            </w:pPr>
          </w:p>
        </w:tc>
        <w:tc>
          <w:tcPr>
            <w:tcW w:w="560" w:type="dxa"/>
            <w:vAlign w:val="bottom"/>
            <w:tcBorders>
              <w:top w:val="single" w:sz="8" w:color="auto"/>
            </w:tcBorders>
            <w:gridSpan w:val="4"/>
            <w:vMerge w:val="continue"/>
          </w:tcPr>
          <w:p>
            <w:pPr>
              <w:spacing w:after="0"/>
              <w:rPr>
                <w:sz w:val="20"/>
                <w:szCs w:val="20"/>
                <w:color w:val="auto"/>
              </w:rPr>
            </w:pPr>
          </w:p>
        </w:tc>
        <w:tc>
          <w:tcPr>
            <w:tcW w:w="4560" w:type="dxa"/>
            <w:vAlign w:val="bottom"/>
            <w:gridSpan w:val="7"/>
            <w:vMerge w:val="continue"/>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11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9340" w:type="dxa"/>
            <w:vAlign w:val="bottom"/>
            <w:gridSpan w:val="16"/>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Financial Condition June 30, 2021 and December 31, 2020</w:t>
              </w:r>
            </w:hyperlink>
          </w:p>
        </w:tc>
        <w:tc>
          <w:tcPr>
            <w:tcW w:w="7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24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66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20" w:type="dxa"/>
            <w:vAlign w:val="bottom"/>
          </w:tcPr>
          <w:p>
            <w:pPr>
              <w:spacing w:after="0"/>
              <w:rPr>
                <w:sz w:val="15"/>
                <w:szCs w:val="15"/>
                <w:color w:val="auto"/>
              </w:rPr>
            </w:pPr>
          </w:p>
        </w:tc>
        <w:tc>
          <w:tcPr>
            <w:tcW w:w="9340" w:type="dxa"/>
            <w:vAlign w:val="bottom"/>
            <w:gridSpan w:val="16"/>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Operations Three-and Six-month periods ended June 30, 2021 and 2020</w:t>
              </w:r>
            </w:hyperlink>
          </w:p>
        </w:tc>
        <w:tc>
          <w:tcPr>
            <w:tcW w:w="780" w:type="dxa"/>
            <w:vAlign w:val="bottom"/>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24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6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20" w:type="dxa"/>
            <w:vAlign w:val="bottom"/>
            <w:shd w:val="clear" w:color="auto" w:fill="CCEEFF"/>
          </w:tcPr>
          <w:p>
            <w:pPr>
              <w:spacing w:after="0"/>
              <w:rPr>
                <w:sz w:val="15"/>
                <w:szCs w:val="15"/>
                <w:color w:val="auto"/>
              </w:rPr>
            </w:pPr>
          </w:p>
        </w:tc>
        <w:tc>
          <w:tcPr>
            <w:tcW w:w="9340" w:type="dxa"/>
            <w:vAlign w:val="bottom"/>
            <w:gridSpan w:val="16"/>
            <w:shd w:val="clear" w:color="auto" w:fill="CCEEFF"/>
          </w:tcPr>
          <w:p>
            <w:pPr>
              <w:spacing w:after="0" w:line="176" w:lineRule="exact"/>
              <w:rPr>
                <w:rFonts w:ascii="Arial" w:cs="Arial" w:eastAsia="Arial" w:hAnsi="Arial"/>
                <w:sz w:val="18"/>
                <w:szCs w:val="18"/>
                <w:color w:val="0000EE"/>
                <w:w w:val="97"/>
              </w:rPr>
            </w:pPr>
            <w:hyperlink w:anchor="page6">
              <w:r>
                <w:rPr>
                  <w:rFonts w:ascii="Arial" w:cs="Arial" w:eastAsia="Arial" w:hAnsi="Arial"/>
                  <w:sz w:val="18"/>
                  <w:szCs w:val="18"/>
                  <w:color w:val="0000EE"/>
                  <w:w w:val="97"/>
                </w:rPr>
                <w:t>Condensed Consolidated Statements of Comprehensive Income Three-and Six-month periods ended June 30, 2021 and</w:t>
              </w:r>
            </w:hyperlink>
          </w:p>
        </w:tc>
        <w:tc>
          <w:tcPr>
            <w:tcW w:w="7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0000EE"/>
            </w:tcBorders>
            <w:gridSpan w:val="2"/>
            <w:shd w:val="clear" w:color="auto" w:fill="CCEEFF"/>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2020</w:t>
              </w:r>
            </w:hyperlink>
          </w:p>
        </w:tc>
        <w:tc>
          <w:tcPr>
            <w:tcW w:w="320" w:type="dxa"/>
            <w:vAlign w:val="bottom"/>
            <w:tcBorders>
              <w:top w:val="single" w:sz="8" w:color="0000EE"/>
            </w:tcBorders>
            <w:shd w:val="clear" w:color="auto" w:fill="CCEEFF"/>
          </w:tcPr>
          <w:p>
            <w:pPr>
              <w:spacing w:after="0"/>
              <w:rPr>
                <w:sz w:val="17"/>
                <w:szCs w:val="17"/>
                <w:color w:val="auto"/>
              </w:rPr>
            </w:pPr>
          </w:p>
        </w:tc>
        <w:tc>
          <w:tcPr>
            <w:tcW w:w="860" w:type="dxa"/>
            <w:vAlign w:val="bottom"/>
            <w:tcBorders>
              <w:top w:val="single" w:sz="8" w:color="0000EE"/>
            </w:tcBorders>
            <w:shd w:val="clear" w:color="auto" w:fill="CCEEFF"/>
          </w:tcPr>
          <w:p>
            <w:pPr>
              <w:spacing w:after="0"/>
              <w:rPr>
                <w:sz w:val="17"/>
                <w:szCs w:val="17"/>
                <w:color w:val="auto"/>
              </w:rPr>
            </w:pPr>
          </w:p>
        </w:tc>
        <w:tc>
          <w:tcPr>
            <w:tcW w:w="2440" w:type="dxa"/>
            <w:vAlign w:val="bottom"/>
            <w:tcBorders>
              <w:top w:val="single" w:sz="8" w:color="0000EE"/>
            </w:tcBorders>
            <w:shd w:val="clear" w:color="auto" w:fill="CCEEFF"/>
          </w:tcPr>
          <w:p>
            <w:pPr>
              <w:spacing w:after="0"/>
              <w:rPr>
                <w:sz w:val="17"/>
                <w:szCs w:val="17"/>
                <w:color w:val="auto"/>
              </w:rPr>
            </w:pPr>
          </w:p>
        </w:tc>
        <w:tc>
          <w:tcPr>
            <w:tcW w:w="10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0000EE"/>
            </w:tcBorders>
            <w:shd w:val="clear" w:color="auto" w:fill="CCEEFF"/>
          </w:tcPr>
          <w:p>
            <w:pPr>
              <w:spacing w:after="0"/>
              <w:rPr>
                <w:sz w:val="17"/>
                <w:szCs w:val="17"/>
                <w:color w:val="auto"/>
              </w:rPr>
            </w:pPr>
          </w:p>
        </w:tc>
        <w:tc>
          <w:tcPr>
            <w:tcW w:w="220" w:type="dxa"/>
            <w:vAlign w:val="bottom"/>
            <w:tcBorders>
              <w:top w:val="single" w:sz="8" w:color="0000EE"/>
            </w:tcBorders>
            <w:shd w:val="clear" w:color="auto" w:fill="CCEEFF"/>
          </w:tcPr>
          <w:p>
            <w:pPr>
              <w:spacing w:after="0"/>
              <w:rPr>
                <w:sz w:val="17"/>
                <w:szCs w:val="17"/>
                <w:color w:val="auto"/>
              </w:rPr>
            </w:pPr>
          </w:p>
        </w:tc>
        <w:tc>
          <w:tcPr>
            <w:tcW w:w="200" w:type="dxa"/>
            <w:vAlign w:val="bottom"/>
            <w:tcBorders>
              <w:top w:val="single" w:sz="8" w:color="0000EE"/>
            </w:tcBorders>
            <w:shd w:val="clear" w:color="auto" w:fill="CCEEFF"/>
          </w:tcPr>
          <w:p>
            <w:pPr>
              <w:spacing w:after="0"/>
              <w:rPr>
                <w:sz w:val="17"/>
                <w:szCs w:val="17"/>
                <w:color w:val="auto"/>
              </w:rPr>
            </w:pPr>
          </w:p>
        </w:tc>
        <w:tc>
          <w:tcPr>
            <w:tcW w:w="1660" w:type="dxa"/>
            <w:vAlign w:val="bottom"/>
            <w:tcBorders>
              <w:top w:val="single" w:sz="8" w:color="0000EE"/>
            </w:tcBorders>
            <w:shd w:val="clear" w:color="auto" w:fill="CCEEFF"/>
          </w:tcPr>
          <w:p>
            <w:pPr>
              <w:spacing w:after="0"/>
              <w:rPr>
                <w:sz w:val="17"/>
                <w:szCs w:val="17"/>
                <w:color w:val="auto"/>
              </w:rPr>
            </w:pPr>
          </w:p>
        </w:tc>
        <w:tc>
          <w:tcPr>
            <w:tcW w:w="680" w:type="dxa"/>
            <w:vAlign w:val="bottom"/>
            <w:tcBorders>
              <w:top w:val="single" w:sz="8" w:color="0000EE"/>
            </w:tcBorders>
            <w:shd w:val="clear" w:color="auto" w:fill="CCEEFF"/>
          </w:tcPr>
          <w:p>
            <w:pPr>
              <w:spacing w:after="0"/>
              <w:rPr>
                <w:sz w:val="17"/>
                <w:szCs w:val="17"/>
                <w:color w:val="auto"/>
              </w:rPr>
            </w:pPr>
          </w:p>
        </w:tc>
        <w:tc>
          <w:tcPr>
            <w:tcW w:w="220" w:type="dxa"/>
            <w:vAlign w:val="bottom"/>
            <w:tcBorders>
              <w:top w:val="single" w:sz="8" w:color="0000EE"/>
            </w:tcBorders>
            <w:shd w:val="clear" w:color="auto" w:fill="CCEEFF"/>
          </w:tcPr>
          <w:p>
            <w:pPr>
              <w:spacing w:after="0"/>
              <w:rPr>
                <w:sz w:val="17"/>
                <w:szCs w:val="17"/>
                <w:color w:val="auto"/>
              </w:rPr>
            </w:pPr>
          </w:p>
        </w:tc>
        <w:tc>
          <w:tcPr>
            <w:tcW w:w="720" w:type="dxa"/>
            <w:vAlign w:val="bottom"/>
            <w:tcBorders>
              <w:top w:val="single" w:sz="8" w:color="0000EE"/>
            </w:tcBorders>
            <w:shd w:val="clear" w:color="auto" w:fill="CCEEFF"/>
          </w:tcPr>
          <w:p>
            <w:pPr>
              <w:spacing w:after="0"/>
              <w:rPr>
                <w:sz w:val="17"/>
                <w:szCs w:val="17"/>
                <w:color w:val="auto"/>
              </w:rPr>
            </w:pPr>
          </w:p>
        </w:tc>
        <w:tc>
          <w:tcPr>
            <w:tcW w:w="300" w:type="dxa"/>
            <w:vAlign w:val="bottom"/>
            <w:tcBorders>
              <w:top w:val="single" w:sz="8" w:color="0000EE"/>
            </w:tcBorders>
            <w:shd w:val="clear" w:color="auto" w:fill="CCEEFF"/>
          </w:tcPr>
          <w:p>
            <w:pPr>
              <w:spacing w:after="0"/>
              <w:rPr>
                <w:sz w:val="17"/>
                <w:szCs w:val="17"/>
                <w:color w:val="auto"/>
              </w:rPr>
            </w:pPr>
          </w:p>
        </w:tc>
        <w:tc>
          <w:tcPr>
            <w:tcW w:w="220" w:type="dxa"/>
            <w:vAlign w:val="bottom"/>
            <w:tcBorders>
              <w:top w:val="single" w:sz="8" w:color="0000EE"/>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1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20" w:type="dxa"/>
            <w:vAlign w:val="bottom"/>
          </w:tcPr>
          <w:p>
            <w:pPr>
              <w:spacing w:after="0"/>
              <w:rPr>
                <w:sz w:val="15"/>
                <w:szCs w:val="15"/>
                <w:color w:val="auto"/>
              </w:rPr>
            </w:pPr>
          </w:p>
        </w:tc>
        <w:tc>
          <w:tcPr>
            <w:tcW w:w="9340" w:type="dxa"/>
            <w:vAlign w:val="bottom"/>
            <w:gridSpan w:val="16"/>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Cash Flows Six-month periods ended June 30, 2021 and 2020</w:t>
              </w:r>
            </w:hyperlink>
          </w:p>
        </w:tc>
        <w:tc>
          <w:tcPr>
            <w:tcW w:w="780" w:type="dxa"/>
            <w:vAlign w:val="bottom"/>
          </w:tcPr>
          <w:p>
            <w:pPr>
              <w:jc w:val="right"/>
              <w:spacing w:after="0" w:line="176" w:lineRule="exact"/>
              <w:rPr>
                <w:sz w:val="20"/>
                <w:szCs w:val="20"/>
                <w:color w:val="auto"/>
              </w:rPr>
            </w:pPr>
            <w:r>
              <w:rPr>
                <w:rFonts w:ascii="Arial" w:cs="Arial" w:eastAsia="Arial" w:hAnsi="Arial"/>
                <w:sz w:val="18"/>
                <w:szCs w:val="18"/>
                <w:color w:val="auto"/>
              </w:rPr>
              <w:t>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12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24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6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20" w:type="dxa"/>
            <w:vAlign w:val="bottom"/>
            <w:shd w:val="clear" w:color="auto" w:fill="CCEEFF"/>
          </w:tcPr>
          <w:p>
            <w:pPr>
              <w:spacing w:after="0"/>
              <w:rPr>
                <w:sz w:val="15"/>
                <w:szCs w:val="15"/>
                <w:color w:val="auto"/>
              </w:rPr>
            </w:pPr>
          </w:p>
        </w:tc>
        <w:tc>
          <w:tcPr>
            <w:tcW w:w="9340" w:type="dxa"/>
            <w:vAlign w:val="bottom"/>
            <w:gridSpan w:val="16"/>
            <w:shd w:val="clear" w:color="auto" w:fill="CCEEFF"/>
          </w:tcPr>
          <w:p>
            <w:pPr>
              <w:spacing w:after="0" w:line="176" w:lineRule="exact"/>
              <w:rPr>
                <w:rFonts w:ascii="Arial" w:cs="Arial" w:eastAsia="Arial" w:hAnsi="Arial"/>
                <w:sz w:val="18"/>
                <w:szCs w:val="18"/>
                <w:color w:val="0000EE"/>
                <w:w w:val="99"/>
              </w:rPr>
            </w:pPr>
            <w:hyperlink w:anchor="page8">
              <w:r>
                <w:rPr>
                  <w:rFonts w:ascii="Arial" w:cs="Arial" w:eastAsia="Arial" w:hAnsi="Arial"/>
                  <w:sz w:val="18"/>
                  <w:szCs w:val="18"/>
                  <w:color w:val="0000EE"/>
                  <w:w w:val="99"/>
                </w:rPr>
                <w:t>Condensed Consolidated Statements of Shareholders' Equity Three-and Six-month periods ended June 30, 2021 and</w:t>
              </w:r>
            </w:hyperlink>
          </w:p>
        </w:tc>
        <w:tc>
          <w:tcPr>
            <w:tcW w:w="7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0000EE"/>
            </w:tcBorders>
            <w:gridSpan w:val="2"/>
            <w:shd w:val="clear" w:color="auto" w:fill="CCEEFF"/>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2020</w:t>
              </w:r>
            </w:hyperlink>
          </w:p>
        </w:tc>
        <w:tc>
          <w:tcPr>
            <w:tcW w:w="320" w:type="dxa"/>
            <w:vAlign w:val="bottom"/>
            <w:tcBorders>
              <w:top w:val="single" w:sz="8" w:color="0000EE"/>
            </w:tcBorders>
            <w:shd w:val="clear" w:color="auto" w:fill="CCEEFF"/>
          </w:tcPr>
          <w:p>
            <w:pPr>
              <w:spacing w:after="0"/>
              <w:rPr>
                <w:sz w:val="17"/>
                <w:szCs w:val="17"/>
                <w:color w:val="auto"/>
              </w:rPr>
            </w:pPr>
          </w:p>
        </w:tc>
        <w:tc>
          <w:tcPr>
            <w:tcW w:w="860" w:type="dxa"/>
            <w:vAlign w:val="bottom"/>
            <w:tcBorders>
              <w:top w:val="single" w:sz="8" w:color="0000EE"/>
            </w:tcBorders>
            <w:shd w:val="clear" w:color="auto" w:fill="CCEEFF"/>
          </w:tcPr>
          <w:p>
            <w:pPr>
              <w:spacing w:after="0"/>
              <w:rPr>
                <w:sz w:val="17"/>
                <w:szCs w:val="17"/>
                <w:color w:val="auto"/>
              </w:rPr>
            </w:pPr>
          </w:p>
        </w:tc>
        <w:tc>
          <w:tcPr>
            <w:tcW w:w="2440" w:type="dxa"/>
            <w:vAlign w:val="bottom"/>
            <w:tcBorders>
              <w:top w:val="single" w:sz="8" w:color="0000EE"/>
            </w:tcBorders>
            <w:shd w:val="clear" w:color="auto" w:fill="CCEEFF"/>
          </w:tcPr>
          <w:p>
            <w:pPr>
              <w:spacing w:after="0"/>
              <w:rPr>
                <w:sz w:val="17"/>
                <w:szCs w:val="17"/>
                <w:color w:val="auto"/>
              </w:rPr>
            </w:pPr>
          </w:p>
        </w:tc>
        <w:tc>
          <w:tcPr>
            <w:tcW w:w="10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0000EE"/>
            </w:tcBorders>
            <w:shd w:val="clear" w:color="auto" w:fill="CCEEFF"/>
          </w:tcPr>
          <w:p>
            <w:pPr>
              <w:spacing w:after="0"/>
              <w:rPr>
                <w:sz w:val="17"/>
                <w:szCs w:val="17"/>
                <w:color w:val="auto"/>
              </w:rPr>
            </w:pPr>
          </w:p>
        </w:tc>
        <w:tc>
          <w:tcPr>
            <w:tcW w:w="220" w:type="dxa"/>
            <w:vAlign w:val="bottom"/>
            <w:tcBorders>
              <w:top w:val="single" w:sz="8" w:color="0000EE"/>
            </w:tcBorders>
            <w:shd w:val="clear" w:color="auto" w:fill="CCEEFF"/>
          </w:tcPr>
          <w:p>
            <w:pPr>
              <w:spacing w:after="0"/>
              <w:rPr>
                <w:sz w:val="17"/>
                <w:szCs w:val="17"/>
                <w:color w:val="auto"/>
              </w:rPr>
            </w:pPr>
          </w:p>
        </w:tc>
        <w:tc>
          <w:tcPr>
            <w:tcW w:w="200" w:type="dxa"/>
            <w:vAlign w:val="bottom"/>
            <w:tcBorders>
              <w:top w:val="single" w:sz="8" w:color="0000EE"/>
            </w:tcBorders>
            <w:shd w:val="clear" w:color="auto" w:fill="CCEEFF"/>
          </w:tcPr>
          <w:p>
            <w:pPr>
              <w:spacing w:after="0"/>
              <w:rPr>
                <w:sz w:val="17"/>
                <w:szCs w:val="17"/>
                <w:color w:val="auto"/>
              </w:rPr>
            </w:pPr>
          </w:p>
        </w:tc>
        <w:tc>
          <w:tcPr>
            <w:tcW w:w="1660" w:type="dxa"/>
            <w:vAlign w:val="bottom"/>
            <w:tcBorders>
              <w:top w:val="single" w:sz="8" w:color="0000EE"/>
            </w:tcBorders>
            <w:shd w:val="clear" w:color="auto" w:fill="CCEEFF"/>
          </w:tcPr>
          <w:p>
            <w:pPr>
              <w:spacing w:after="0"/>
              <w:rPr>
                <w:sz w:val="17"/>
                <w:szCs w:val="17"/>
                <w:color w:val="auto"/>
              </w:rPr>
            </w:pPr>
          </w:p>
        </w:tc>
        <w:tc>
          <w:tcPr>
            <w:tcW w:w="680" w:type="dxa"/>
            <w:vAlign w:val="bottom"/>
            <w:tcBorders>
              <w:top w:val="single" w:sz="8" w:color="0000EE"/>
            </w:tcBorders>
            <w:shd w:val="clear" w:color="auto" w:fill="CCEEFF"/>
          </w:tcPr>
          <w:p>
            <w:pPr>
              <w:spacing w:after="0"/>
              <w:rPr>
                <w:sz w:val="17"/>
                <w:szCs w:val="17"/>
                <w:color w:val="auto"/>
              </w:rPr>
            </w:pPr>
          </w:p>
        </w:tc>
        <w:tc>
          <w:tcPr>
            <w:tcW w:w="220" w:type="dxa"/>
            <w:vAlign w:val="bottom"/>
            <w:tcBorders>
              <w:top w:val="single" w:sz="8" w:color="0000EE"/>
            </w:tcBorders>
            <w:shd w:val="clear" w:color="auto" w:fill="CCEEFF"/>
          </w:tcPr>
          <w:p>
            <w:pPr>
              <w:spacing w:after="0"/>
              <w:rPr>
                <w:sz w:val="17"/>
                <w:szCs w:val="17"/>
                <w:color w:val="auto"/>
              </w:rPr>
            </w:pPr>
          </w:p>
        </w:tc>
        <w:tc>
          <w:tcPr>
            <w:tcW w:w="720" w:type="dxa"/>
            <w:vAlign w:val="bottom"/>
            <w:tcBorders>
              <w:top w:val="single" w:sz="8" w:color="0000EE"/>
            </w:tcBorders>
            <w:shd w:val="clear" w:color="auto" w:fill="CCEEFF"/>
          </w:tcPr>
          <w:p>
            <w:pPr>
              <w:spacing w:after="0"/>
              <w:rPr>
                <w:sz w:val="17"/>
                <w:szCs w:val="17"/>
                <w:color w:val="auto"/>
              </w:rPr>
            </w:pPr>
          </w:p>
        </w:tc>
        <w:tc>
          <w:tcPr>
            <w:tcW w:w="300" w:type="dxa"/>
            <w:vAlign w:val="bottom"/>
            <w:tcBorders>
              <w:top w:val="single" w:sz="8" w:color="0000EE"/>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20" w:type="dxa"/>
            <w:vAlign w:val="bottom"/>
          </w:tcPr>
          <w:p>
            <w:pPr>
              <w:spacing w:after="0"/>
              <w:rPr>
                <w:sz w:val="15"/>
                <w:szCs w:val="15"/>
                <w:color w:val="auto"/>
              </w:rPr>
            </w:pPr>
          </w:p>
        </w:tc>
        <w:tc>
          <w:tcPr>
            <w:tcW w:w="9340" w:type="dxa"/>
            <w:vAlign w:val="bottom"/>
            <w:gridSpan w:val="16"/>
          </w:tcPr>
          <w:p>
            <w:pPr>
              <w:spacing w:after="0" w:line="176" w:lineRule="exact"/>
              <w:rPr>
                <w:rFonts w:ascii="Arial" w:cs="Arial" w:eastAsia="Arial" w:hAnsi="Arial"/>
                <w:sz w:val="18"/>
                <w:szCs w:val="18"/>
                <w:color w:val="0000EE"/>
              </w:rPr>
            </w:pPr>
            <w:hyperlink w:anchor="page9">
              <w:r>
                <w:rPr>
                  <w:rFonts w:ascii="Arial" w:cs="Arial" w:eastAsia="Arial" w:hAnsi="Arial"/>
                  <w:sz w:val="18"/>
                  <w:szCs w:val="18"/>
                  <w:color w:val="0000EE"/>
                </w:rPr>
                <w:t>Notes to Interim Condensed Consolidated Financial Statements</w:t>
              </w:r>
            </w:hyperlink>
          </w:p>
        </w:tc>
        <w:tc>
          <w:tcPr>
            <w:tcW w:w="780" w:type="dxa"/>
            <w:vAlign w:val="bottom"/>
          </w:tcPr>
          <w:p>
            <w:pPr>
              <w:jc w:val="right"/>
              <w:spacing w:after="0" w:line="176" w:lineRule="exact"/>
              <w:rPr>
                <w:sz w:val="20"/>
                <w:szCs w:val="20"/>
                <w:color w:val="auto"/>
              </w:rPr>
            </w:pPr>
            <w:r>
              <w:rPr>
                <w:rFonts w:ascii="Arial" w:cs="Arial" w:eastAsia="Arial" w:hAnsi="Arial"/>
                <w:sz w:val="18"/>
                <w:szCs w:val="18"/>
                <w:color w:val="auto"/>
              </w:rPr>
              <w:t>8-69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24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9340" w:type="dxa"/>
            <w:vAlign w:val="bottom"/>
            <w:gridSpan w:val="16"/>
            <w:shd w:val="clear" w:color="auto" w:fill="CCEEFF"/>
          </w:tcPr>
          <w:p>
            <w:pPr>
              <w:spacing w:after="0" w:line="176" w:lineRule="exact"/>
              <w:rPr>
                <w:rFonts w:ascii="Arial" w:cs="Arial" w:eastAsia="Arial" w:hAnsi="Arial"/>
                <w:sz w:val="18"/>
                <w:szCs w:val="18"/>
                <w:color w:val="0000EE"/>
              </w:rPr>
            </w:pPr>
            <w:hyperlink w:anchor="page71">
              <w:r>
                <w:rPr>
                  <w:rFonts w:ascii="Arial" w:cs="Arial" w:eastAsia="Arial" w:hAnsi="Arial"/>
                  <w:sz w:val="18"/>
                  <w:szCs w:val="18"/>
                  <w:color w:val="0000EE"/>
                </w:rPr>
                <w:t>Management's Discussion and Analysis of Financial Condition and Results of Operations</w:t>
              </w:r>
            </w:hyperlink>
          </w:p>
        </w:tc>
        <w:tc>
          <w:tcPr>
            <w:tcW w:w="7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70-95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12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Item 3.</w:t>
            </w:r>
          </w:p>
        </w:tc>
        <w:tc>
          <w:tcPr>
            <w:tcW w:w="6440" w:type="dxa"/>
            <w:vAlign w:val="bottom"/>
            <w:tcBorders>
              <w:top w:val="single" w:sz="8" w:color="0000EE"/>
            </w:tcBorders>
            <w:gridSpan w:val="10"/>
          </w:tcPr>
          <w:p>
            <w:pPr>
              <w:spacing w:after="0" w:line="176" w:lineRule="exact"/>
              <w:rPr>
                <w:rFonts w:ascii="Arial" w:cs="Arial" w:eastAsia="Arial" w:hAnsi="Arial"/>
                <w:sz w:val="18"/>
                <w:szCs w:val="18"/>
                <w:color w:val="0000EE"/>
              </w:rPr>
            </w:pPr>
            <w:hyperlink w:anchor="page97">
              <w:r>
                <w:rPr>
                  <w:rFonts w:ascii="Arial" w:cs="Arial" w:eastAsia="Arial" w:hAnsi="Arial"/>
                  <w:sz w:val="18"/>
                  <w:szCs w:val="18"/>
                  <w:color w:val="0000EE"/>
                </w:rPr>
                <w:t>Quantitative and Qualitative Disclosures about Market Risk</w:t>
              </w:r>
            </w:hyperlink>
          </w:p>
        </w:tc>
        <w:tc>
          <w:tcPr>
            <w:tcW w:w="2900" w:type="dxa"/>
            <w:vAlign w:val="bottom"/>
            <w:tcBorders>
              <w:top w:val="single" w:sz="8" w:color="CCEEFF"/>
            </w:tcBorders>
            <w:gridSpan w:val="6"/>
          </w:tcPr>
          <w:p>
            <w:pPr>
              <w:spacing w:after="0"/>
              <w:rPr>
                <w:sz w:val="15"/>
                <w:szCs w:val="15"/>
                <w:color w:val="auto"/>
              </w:rPr>
            </w:pPr>
          </w:p>
        </w:tc>
        <w:tc>
          <w:tcPr>
            <w:tcW w:w="78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96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12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24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9340" w:type="dxa"/>
            <w:vAlign w:val="bottom"/>
            <w:gridSpan w:val="16"/>
            <w:shd w:val="clear" w:color="auto" w:fill="CCEEFF"/>
          </w:tcPr>
          <w:p>
            <w:pPr>
              <w:spacing w:after="0" w:line="176" w:lineRule="exact"/>
              <w:rPr>
                <w:rFonts w:ascii="Arial" w:cs="Arial" w:eastAsia="Arial" w:hAnsi="Arial"/>
                <w:sz w:val="18"/>
                <w:szCs w:val="18"/>
                <w:color w:val="0000EE"/>
              </w:rPr>
            </w:pPr>
            <w:hyperlink w:anchor="page97">
              <w:r>
                <w:rPr>
                  <w:rFonts w:ascii="Arial" w:cs="Arial" w:eastAsia="Arial" w:hAnsi="Arial"/>
                  <w:sz w:val="18"/>
                  <w:szCs w:val="18"/>
                  <w:color w:val="0000EE"/>
                </w:rPr>
                <w:t>Controls and Procedures</w:t>
              </w:r>
            </w:hyperlink>
          </w:p>
        </w:tc>
        <w:tc>
          <w:tcPr>
            <w:tcW w:w="7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96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2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24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PART II -</w:t>
            </w:r>
          </w:p>
        </w:tc>
        <w:tc>
          <w:tcPr>
            <w:tcW w:w="9340" w:type="dxa"/>
            <w:vAlign w:val="bottom"/>
            <w:gridSpan w:val="16"/>
            <w:shd w:val="clear" w:color="auto" w:fill="CCEEFF"/>
          </w:tcPr>
          <w:p>
            <w:pPr>
              <w:spacing w:after="0"/>
              <w:rPr>
                <w:sz w:val="20"/>
                <w:szCs w:val="20"/>
                <w:color w:val="auto"/>
              </w:rPr>
            </w:pPr>
            <w:r>
              <w:rPr>
                <w:rFonts w:ascii="Arial" w:cs="Arial" w:eastAsia="Arial" w:hAnsi="Arial"/>
                <w:sz w:val="18"/>
                <w:szCs w:val="18"/>
                <w:color w:val="auto"/>
              </w:rPr>
              <w:t>Other Information</w:t>
            </w: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120" w:type="dxa"/>
            <w:vAlign w:val="bottom"/>
          </w:tcPr>
          <w:p>
            <w:pPr>
              <w:spacing w:after="0" w:line="176" w:lineRule="exact"/>
              <w:rPr>
                <w:sz w:val="20"/>
                <w:szCs w:val="20"/>
                <w:color w:val="auto"/>
              </w:rPr>
            </w:pPr>
            <w:r>
              <w:rPr>
                <w:rFonts w:ascii="Arial" w:cs="Arial" w:eastAsia="Arial" w:hAnsi="Arial"/>
                <w:sz w:val="18"/>
                <w:szCs w:val="18"/>
                <w:color w:val="auto"/>
              </w:rPr>
              <w:t>Item 1A</w:t>
            </w:r>
          </w:p>
        </w:tc>
        <w:tc>
          <w:tcPr>
            <w:tcW w:w="9340" w:type="dxa"/>
            <w:vAlign w:val="bottom"/>
            <w:gridSpan w:val="16"/>
          </w:tcPr>
          <w:p>
            <w:pPr>
              <w:spacing w:after="0" w:line="176" w:lineRule="exact"/>
              <w:rPr>
                <w:rFonts w:ascii="Arial" w:cs="Arial" w:eastAsia="Arial" w:hAnsi="Arial"/>
                <w:sz w:val="18"/>
                <w:szCs w:val="18"/>
                <w:color w:val="0000EE"/>
              </w:rPr>
            </w:pPr>
            <w:hyperlink w:anchor="page98">
              <w:r>
                <w:rPr>
                  <w:rFonts w:ascii="Arial" w:cs="Arial" w:eastAsia="Arial" w:hAnsi="Arial"/>
                  <w:sz w:val="18"/>
                  <w:szCs w:val="18"/>
                  <w:color w:val="0000EE"/>
                </w:rPr>
                <w:t>Risk Factors</w:t>
              </w:r>
            </w:hyperlink>
          </w:p>
        </w:tc>
        <w:tc>
          <w:tcPr>
            <w:tcW w:w="780" w:type="dxa"/>
            <w:vAlign w:val="bottom"/>
          </w:tcPr>
          <w:p>
            <w:pPr>
              <w:jc w:val="right"/>
              <w:spacing w:after="0" w:line="176" w:lineRule="exact"/>
              <w:rPr>
                <w:sz w:val="20"/>
                <w:szCs w:val="20"/>
                <w:color w:val="auto"/>
              </w:rPr>
            </w:pPr>
            <w:r>
              <w:rPr>
                <w:rFonts w:ascii="Arial" w:cs="Arial" w:eastAsia="Arial" w:hAnsi="Arial"/>
                <w:sz w:val="18"/>
                <w:szCs w:val="18"/>
                <w:color w:val="auto"/>
              </w:rPr>
              <w:t>97-99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12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EE"/>
            </w:tcBorders>
            <w:gridSpan w:val="7"/>
            <w:shd w:val="clear" w:color="auto" w:fill="CCEEFF"/>
          </w:tcPr>
          <w:p>
            <w:pPr>
              <w:spacing w:after="0" w:line="176" w:lineRule="exact"/>
              <w:rPr>
                <w:rFonts w:ascii="Arial" w:cs="Arial" w:eastAsia="Arial" w:hAnsi="Arial"/>
                <w:sz w:val="18"/>
                <w:szCs w:val="18"/>
                <w:color w:val="0000EE"/>
                <w:w w:val="89"/>
              </w:rPr>
            </w:pPr>
            <w:hyperlink w:anchor="page101">
              <w:r>
                <w:rPr>
                  <w:rFonts w:ascii="Arial" w:cs="Arial" w:eastAsia="Arial" w:hAnsi="Arial"/>
                  <w:sz w:val="18"/>
                  <w:szCs w:val="18"/>
                  <w:color w:val="0000EE"/>
                  <w:w w:val="89"/>
                </w:rPr>
                <w:t>Unregistered Sales of Equity Securities and Use of Proceeds</w:t>
              </w:r>
            </w:hyperlink>
          </w:p>
        </w:tc>
        <w:tc>
          <w:tcPr>
            <w:tcW w:w="4980" w:type="dxa"/>
            <w:vAlign w:val="bottom"/>
            <w:tcBorders>
              <w:bottom w:val="single" w:sz="8" w:color="CCEEFF"/>
            </w:tcBorders>
            <w:gridSpan w:val="9"/>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100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120" w:type="dxa"/>
            <w:vAlign w:val="bottom"/>
          </w:tcPr>
          <w:p>
            <w:pPr>
              <w:spacing w:after="0" w:line="176" w:lineRule="exact"/>
              <w:rPr>
                <w:sz w:val="20"/>
                <w:szCs w:val="20"/>
                <w:color w:val="auto"/>
              </w:rPr>
            </w:pPr>
            <w:r>
              <w:rPr>
                <w:rFonts w:ascii="Arial" w:cs="Arial" w:eastAsia="Arial" w:hAnsi="Arial"/>
                <w:sz w:val="18"/>
                <w:szCs w:val="18"/>
                <w:color w:val="auto"/>
              </w:rPr>
              <w:t>Item 6.</w:t>
            </w:r>
          </w:p>
        </w:tc>
        <w:tc>
          <w:tcPr>
            <w:tcW w:w="9340" w:type="dxa"/>
            <w:vAlign w:val="bottom"/>
            <w:gridSpan w:val="16"/>
          </w:tcPr>
          <w:p>
            <w:pPr>
              <w:spacing w:after="0" w:line="176" w:lineRule="exact"/>
              <w:rPr>
                <w:rFonts w:ascii="Arial" w:cs="Arial" w:eastAsia="Arial" w:hAnsi="Arial"/>
                <w:sz w:val="18"/>
                <w:szCs w:val="18"/>
                <w:color w:val="0000EE"/>
              </w:rPr>
            </w:pPr>
            <w:hyperlink w:anchor="page102">
              <w:r>
                <w:rPr>
                  <w:rFonts w:ascii="Arial" w:cs="Arial" w:eastAsia="Arial" w:hAnsi="Arial"/>
                  <w:sz w:val="18"/>
                  <w:szCs w:val="18"/>
                  <w:color w:val="0000EE"/>
                </w:rPr>
                <w:t>Exhibits</w:t>
              </w:r>
            </w:hyperlink>
          </w:p>
        </w:tc>
        <w:tc>
          <w:tcPr>
            <w:tcW w:w="780" w:type="dxa"/>
            <w:vAlign w:val="bottom"/>
          </w:tcPr>
          <w:p>
            <w:pPr>
              <w:jc w:val="right"/>
              <w:spacing w:after="0" w:line="176" w:lineRule="exact"/>
              <w:rPr>
                <w:sz w:val="20"/>
                <w:szCs w:val="20"/>
                <w:color w:val="auto"/>
              </w:rPr>
            </w:pPr>
            <w:r>
              <w:rPr>
                <w:rFonts w:ascii="Arial" w:cs="Arial" w:eastAsia="Arial" w:hAnsi="Arial"/>
                <w:sz w:val="18"/>
                <w:szCs w:val="18"/>
                <w:color w:val="auto"/>
              </w:rPr>
              <w:t>101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12"/>
        </w:trPr>
        <w:tc>
          <w:tcPr>
            <w:tcW w:w="1120" w:type="dxa"/>
            <w:vAlign w:val="bottom"/>
          </w:tcPr>
          <w:p>
            <w:pPr>
              <w:spacing w:after="0"/>
              <w:rPr>
                <w:sz w:val="24"/>
                <w:szCs w:val="24"/>
                <w:color w:val="auto"/>
              </w:rPr>
            </w:pPr>
          </w:p>
        </w:tc>
        <w:tc>
          <w:tcPr>
            <w:tcW w:w="600" w:type="dxa"/>
            <w:vAlign w:val="bottom"/>
            <w:tcBorders>
              <w:top w:val="single" w:sz="8" w:color="0000EE"/>
            </w:tcBorders>
            <w:gridSpan w:val="2"/>
          </w:tcPr>
          <w:p>
            <w:pPr>
              <w:spacing w:after="0"/>
              <w:rPr>
                <w:sz w:val="24"/>
                <w:szCs w:val="24"/>
                <w:color w:val="auto"/>
              </w:rPr>
            </w:pPr>
          </w:p>
        </w:tc>
        <w:tc>
          <w:tcPr>
            <w:tcW w:w="3980" w:type="dxa"/>
            <w:vAlign w:val="bottom"/>
            <w:gridSpan w:val="6"/>
          </w:tcPr>
          <w:p>
            <w:pPr>
              <w:jc w:val="center"/>
              <w:ind w:left="3730"/>
              <w:spacing w:after="0"/>
              <w:rPr>
                <w:sz w:val="20"/>
                <w:szCs w:val="20"/>
                <w:color w:val="auto"/>
              </w:rPr>
            </w:pPr>
            <w:r>
              <w:rPr>
                <w:rFonts w:ascii="Arial" w:cs="Arial" w:eastAsia="Arial" w:hAnsi="Arial"/>
                <w:sz w:val="18"/>
                <w:szCs w:val="18"/>
                <w:color w:val="auto"/>
                <w:w w:val="79"/>
              </w:rPr>
              <w:t>1</w:t>
            </w:r>
          </w:p>
        </w:tc>
        <w:tc>
          <w:tcPr>
            <w:tcW w:w="2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112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24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66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87" w:right="339" w:bottom="1440" w:gutter="0" w:footer="0" w:header="0"/>
        </w:sectPr>
      </w:pPr>
    </w:p>
    <w:bookmarkStart w:id="2" w:name="page3"/>
    <w:bookmarkEnd w:id="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Statements in this report that are not statements of historical fact, including statements that include terms such as ‘‘will,’’ ‘‘may,’’ ‘‘should,’’ ‘‘believe,’’ ‘‘expect,’’ ‘‘forecast,’’ ‘‘anticipate,’’ ‘‘estimate,’’ ‘‘project,’’ ‘‘intend,’’ ‘‘likely,’’ ‘‘optimistic’’ and ‘‘plan’’ and statements about future or projected financial and operating results, plans, projections, objectives, expectations, and intentions, are forward-looking statements. Forward-looking statements include, but are not limited to, descriptions of plans and objectives for future operations, products or services; projections of our future revenue, earnings or other measures of economic performance; forecasts of credit losses and other asset quality trends; statements about our business and growth strategies; and expectations about economic and market conditions and trends. These forward-looking statements express our current expectations, forecasts of future events, or long-term goals. They are based on assumptions, estimates, and forecasts that, although believed to be reasonable, may turn out to be incorrect. Actual results could differ materially from those discussed in the forward-looking statements for a variety of reasons, including:</w:t>
      </w:r>
    </w:p>
    <w:p>
      <w:pPr>
        <w:spacing w:after="0" w:line="192" w:lineRule="exact"/>
        <w:rPr>
          <w:sz w:val="20"/>
          <w:szCs w:val="20"/>
          <w:color w:val="auto"/>
        </w:rPr>
      </w:pPr>
    </w:p>
    <w:p>
      <w:pPr>
        <w:ind w:left="660" w:hanging="328"/>
        <w:spacing w:after="0" w:line="258"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economic, market, operational, liquidity, credit, and interest rate risks associated with our business including the impact of the ongoing COVID-19 pandemic on each of these items;</w:t>
      </w:r>
    </w:p>
    <w:p>
      <w:pPr>
        <w:spacing w:after="0" w:line="1" w:lineRule="exact"/>
        <w:rPr>
          <w:rFonts w:ascii="Arial" w:cs="Arial" w:eastAsia="Arial" w:hAnsi="Arial"/>
          <w:sz w:val="18"/>
          <w:szCs w:val="18"/>
          <w:color w:val="auto"/>
        </w:rPr>
      </w:pPr>
    </w:p>
    <w:p>
      <w:pPr>
        <w:ind w:left="660" w:hanging="328"/>
        <w:spacing w:after="0" w:line="281" w:lineRule="auto"/>
        <w:tabs>
          <w:tab w:leader="none" w:pos="660" w:val="left"/>
        </w:tabs>
        <w:numPr>
          <w:ilvl w:val="0"/>
          <w:numId w:val="1"/>
        </w:numPr>
        <w:rPr>
          <w:rFonts w:ascii="Arial" w:cs="Arial" w:eastAsia="Arial" w:hAnsi="Arial"/>
          <w:sz w:val="16"/>
          <w:szCs w:val="16"/>
          <w:color w:val="auto"/>
        </w:rPr>
      </w:pPr>
      <w:r>
        <w:rPr>
          <w:rFonts w:ascii="Arial" w:cs="Arial" w:eastAsia="Arial" w:hAnsi="Arial"/>
          <w:sz w:val="16"/>
          <w:szCs w:val="16"/>
          <w:color w:val="auto"/>
        </w:rPr>
        <w:t>economic conditions generally and in the financial services industry, particularly economic conditions within Michigan and the regional and local real estate markets in which our bank operates including the economic impact of the ongoing COVID-19 pandemic in each of these areas;</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failure of assumptions underlying the establishment of, and provisions made to, our allowance for credit losses;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increased competition in the financial services industry, either nationally or regionally;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achieve loan and deposit growth;</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volatility and direction of market interest rates;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continued services of our management team;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implementation of new legislation, which may have significant effects on us and the financial services industry.</w:t>
      </w:r>
    </w:p>
    <w:p>
      <w:pPr>
        <w:spacing w:after="0" w:line="23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This list provides examples of factors that could affect the results described by forward-looking statements contained in this report, but the list is not intended to be all-inclusive. The risk factors disclosed in Part I – Item 1A of our Annual Report on Form 10-K for the year ended December 31, 2020, as updated by any new or modified risk factors disclosed in Part II – Item 1A of any subsequently filed Quarterly Report on Form 10-Q, include the known risks our management believes could materially affect the results described by forward-looking statements in this report. However, those risks may not be the only risks we face. Our results of operations, cash flows, financial position, and prospects could also be materially and adversely affected by additional factors that are not presently known to us that we currently consider to be immaterial, or that develop after the date of this report. We cannot assure you that our future results will meet expectations. While we believe the forward-looking statements in this report are reasonable, you should not place undue reliance on any forward-looking statement. In addition, these statements speak only as of the date made. We do not undertake, and expressly disclaim, any obligation to update or alter any statements, whether as a result of new information, future events, or otherwise, except as required by applicable law.</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Part I - Item 1.</w:t>
            </w:r>
          </w:p>
        </w:tc>
        <w:tc>
          <w:tcPr>
            <w:tcW w:w="5500" w:type="dxa"/>
            <w:vAlign w:val="bottom"/>
            <w:gridSpan w:val="3"/>
          </w:tcPr>
          <w:p>
            <w:pPr>
              <w:jc w:val="right"/>
              <w:ind w:right="530"/>
              <w:spacing w:after="0"/>
              <w:rPr>
                <w:sz w:val="20"/>
                <w:szCs w:val="20"/>
                <w:color w:val="auto"/>
              </w:rPr>
            </w:pPr>
            <w:r>
              <w:rPr>
                <w:rFonts w:ascii="Arial" w:cs="Arial" w:eastAsia="Arial" w:hAnsi="Arial"/>
                <w:sz w:val="18"/>
                <w:szCs w:val="18"/>
                <w:color w:val="auto"/>
                <w:w w:val="97"/>
              </w:rPr>
              <w:t>INDEPENDENT BANK CORPORATION AND SUBSIDIARIES</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960" w:type="dxa"/>
            <w:vAlign w:val="bottom"/>
          </w:tcPr>
          <w:p>
            <w:pPr>
              <w:spacing w:after="0"/>
              <w:rPr>
                <w:sz w:val="16"/>
                <w:szCs w:val="16"/>
                <w:color w:val="auto"/>
              </w:rPr>
            </w:pPr>
          </w:p>
        </w:tc>
        <w:tc>
          <w:tcPr>
            <w:tcW w:w="5500" w:type="dxa"/>
            <w:vAlign w:val="bottom"/>
            <w:gridSpan w:val="3"/>
          </w:tcPr>
          <w:p>
            <w:pPr>
              <w:jc w:val="right"/>
              <w:ind w:right="790"/>
              <w:spacing w:after="0" w:line="190" w:lineRule="exact"/>
              <w:rPr>
                <w:sz w:val="20"/>
                <w:szCs w:val="20"/>
                <w:color w:val="auto"/>
              </w:rPr>
            </w:pPr>
            <w:r>
              <w:rPr>
                <w:rFonts w:ascii="Arial" w:cs="Arial" w:eastAsia="Arial" w:hAnsi="Arial"/>
                <w:sz w:val="18"/>
                <w:szCs w:val="18"/>
                <w:color w:val="auto"/>
                <w:w w:val="96"/>
              </w:rPr>
              <w:t>Condensed Consolidated Statements of Financial Condition</w:t>
            </w: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65"/>
        </w:trPr>
        <w:tc>
          <w:tcPr>
            <w:tcW w:w="2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300" w:type="dxa"/>
            <w:vAlign w:val="bottom"/>
            <w:tcBorders>
              <w:top w:val="single" w:sz="8" w:color="auto"/>
            </w:tcBorders>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w w:val="98"/>
              </w:rPr>
              <w:t>June 30,</w:t>
            </w:r>
          </w:p>
        </w:tc>
        <w:tc>
          <w:tcPr>
            <w:tcW w:w="100" w:type="dxa"/>
            <w:vAlign w:val="bottom"/>
          </w:tcPr>
          <w:p>
            <w:pPr>
              <w:spacing w:after="0"/>
              <w:rPr>
                <w:sz w:val="24"/>
                <w:szCs w:val="2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December 31,</w:t>
            </w:r>
          </w:p>
        </w:tc>
        <w:tc>
          <w:tcPr>
            <w:tcW w:w="0" w:type="dxa"/>
            <w:vAlign w:val="bottom"/>
          </w:tcPr>
          <w:p>
            <w:pPr>
              <w:spacing w:after="0"/>
              <w:rPr>
                <w:sz w:val="1"/>
                <w:szCs w:val="1"/>
                <w:color w:val="auto"/>
              </w:rPr>
            </w:pPr>
          </w:p>
        </w:tc>
      </w:tr>
      <w:tr>
        <w:trPr>
          <w:trHeight w:val="237"/>
        </w:trPr>
        <w:tc>
          <w:tcPr>
            <w:tcW w:w="2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2021</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580" w:type="dxa"/>
            <w:vAlign w:val="bottom"/>
            <w:gridSpan w:val="5"/>
          </w:tcPr>
          <w:p>
            <w:pPr>
              <w:jc w:val="right"/>
              <w:ind w:right="1000"/>
              <w:spacing w:after="0"/>
              <w:rPr>
                <w:sz w:val="20"/>
                <w:szCs w:val="20"/>
                <w:color w:val="auto"/>
              </w:rPr>
            </w:pPr>
            <w:r>
              <w:rPr>
                <w:rFonts w:ascii="Arial" w:cs="Arial" w:eastAsia="Arial" w:hAnsi="Arial"/>
                <w:sz w:val="18"/>
                <w:szCs w:val="18"/>
                <w:color w:val="auto"/>
              </w:rPr>
              <w:t>(Unaudited)</w:t>
            </w:r>
          </w:p>
        </w:tc>
        <w:tc>
          <w:tcPr>
            <w:tcW w:w="0" w:type="dxa"/>
            <w:vAlign w:val="bottom"/>
          </w:tcPr>
          <w:p>
            <w:pPr>
              <w:spacing w:after="0"/>
              <w:rPr>
                <w:sz w:val="1"/>
                <w:szCs w:val="1"/>
                <w:color w:val="auto"/>
              </w:rPr>
            </w:pPr>
          </w:p>
        </w:tc>
      </w:tr>
      <w:tr>
        <w:trPr>
          <w:trHeight w:val="230"/>
        </w:trPr>
        <w:tc>
          <w:tcPr>
            <w:tcW w:w="2960" w:type="dxa"/>
            <w:vAlign w:val="bottom"/>
            <w:vMerge w:val="restart"/>
          </w:tcPr>
          <w:p>
            <w:pPr>
              <w:spacing w:after="0"/>
              <w:rPr>
                <w:sz w:val="20"/>
                <w:szCs w:val="20"/>
                <w:color w:val="auto"/>
              </w:rPr>
            </w:pPr>
            <w:r>
              <w:rPr>
                <w:rFonts w:ascii="Arial" w:cs="Arial" w:eastAsia="Arial" w:hAnsi="Arial"/>
                <w:sz w:val="18"/>
                <w:szCs w:val="18"/>
                <w:color w:val="auto"/>
              </w:rPr>
              <w:t>Assets</w:t>
            </w:r>
          </w:p>
        </w:tc>
        <w:tc>
          <w:tcPr>
            <w:tcW w:w="32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80" w:type="dxa"/>
            <w:vAlign w:val="bottom"/>
            <w:tcBorders>
              <w:top w:val="single" w:sz="8" w:color="auto"/>
            </w:tcBorders>
            <w:gridSpan w:val="5"/>
          </w:tcPr>
          <w:p>
            <w:pPr>
              <w:spacing w:after="0"/>
              <w:rPr>
                <w:sz w:val="20"/>
                <w:szCs w:val="20"/>
                <w:color w:val="auto"/>
              </w:rPr>
            </w:pPr>
            <w:r>
              <w:rPr>
                <w:rFonts w:ascii="Arial" w:cs="Arial" w:eastAsia="Arial" w:hAnsi="Arial"/>
                <w:sz w:val="18"/>
                <w:szCs w:val="18"/>
                <w:color w:val="auto"/>
                <w:w w:val="88"/>
              </w:rPr>
              <w:t>(In thousands, except share amounts)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96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4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Cash and due from banks</w:t>
            </w:r>
          </w:p>
        </w:tc>
        <w:tc>
          <w:tcPr>
            <w:tcW w:w="32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46,242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56,006</w:t>
            </w:r>
          </w:p>
        </w:tc>
        <w:tc>
          <w:tcPr>
            <w:tcW w:w="0" w:type="dxa"/>
            <w:vAlign w:val="bottom"/>
          </w:tcPr>
          <w:p>
            <w:pPr>
              <w:spacing w:after="0"/>
              <w:rPr>
                <w:sz w:val="1"/>
                <w:szCs w:val="1"/>
                <w:color w:val="auto"/>
              </w:rPr>
            </w:pPr>
          </w:p>
        </w:tc>
      </w:tr>
      <w:tr>
        <w:trPr>
          <w:trHeight w:val="223"/>
        </w:trPr>
        <w:tc>
          <w:tcPr>
            <w:tcW w:w="2960" w:type="dxa"/>
            <w:vAlign w:val="bottom"/>
          </w:tcPr>
          <w:p>
            <w:pPr>
              <w:spacing w:after="0"/>
              <w:rPr>
                <w:sz w:val="20"/>
                <w:szCs w:val="20"/>
                <w:color w:val="auto"/>
              </w:rPr>
            </w:pPr>
            <w:r>
              <w:rPr>
                <w:rFonts w:ascii="Arial" w:cs="Arial" w:eastAsia="Arial" w:hAnsi="Arial"/>
                <w:sz w:val="18"/>
                <w:szCs w:val="18"/>
                <w:color w:val="auto"/>
              </w:rPr>
              <w:t>Interest bearing deposits</w:t>
            </w:r>
          </w:p>
        </w:tc>
        <w:tc>
          <w:tcPr>
            <w:tcW w:w="32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23,012</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62,699</w:t>
            </w: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1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69,254</w:t>
            </w: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118,705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Securities available for sale</w:t>
            </w:r>
          </w:p>
        </w:tc>
        <w:tc>
          <w:tcPr>
            <w:tcW w:w="3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1,330,660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1,072,159</w:t>
            </w:r>
          </w:p>
        </w:tc>
        <w:tc>
          <w:tcPr>
            <w:tcW w:w="0" w:type="dxa"/>
            <w:vAlign w:val="bottom"/>
          </w:tcPr>
          <w:p>
            <w:pPr>
              <w:spacing w:after="0"/>
              <w:rPr>
                <w:sz w:val="1"/>
                <w:szCs w:val="1"/>
                <w:color w:val="auto"/>
              </w:rPr>
            </w:pPr>
          </w:p>
        </w:tc>
      </w:tr>
      <w:tr>
        <w:trPr>
          <w:trHeight w:val="216"/>
        </w:trPr>
        <w:tc>
          <w:tcPr>
            <w:tcW w:w="84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Federal Home Loan Bank and Federal Reserve Bank stock, at cost</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18,427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18,427</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w w:val="93"/>
              </w:rPr>
              <w:t>Loans held for sale, carried at fair value</w:t>
            </w:r>
          </w:p>
        </w:tc>
        <w:tc>
          <w:tcPr>
            <w:tcW w:w="3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59,752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92,434</w:t>
            </w: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Loans</w:t>
            </w:r>
          </w:p>
        </w:tc>
        <w:tc>
          <w:tcPr>
            <w:tcW w:w="32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tcPr>
          <w:p>
            <w:pPr>
              <w:ind w:left="140"/>
              <w:spacing w:after="0"/>
              <w:rPr>
                <w:sz w:val="20"/>
                <w:szCs w:val="20"/>
                <w:color w:val="auto"/>
              </w:rPr>
            </w:pPr>
            <w:r>
              <w:rPr>
                <w:rFonts w:ascii="Arial" w:cs="Arial" w:eastAsia="Arial" w:hAnsi="Arial"/>
                <w:sz w:val="18"/>
                <w:szCs w:val="18"/>
                <w:color w:val="auto"/>
              </w:rPr>
              <w:t>Commercial</w:t>
            </w:r>
          </w:p>
        </w:tc>
        <w:tc>
          <w:tcPr>
            <w:tcW w:w="3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1,244,547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1,242,415</w:t>
            </w: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Mortgage</w:t>
            </w:r>
          </w:p>
        </w:tc>
        <w:tc>
          <w:tcPr>
            <w:tcW w:w="32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1,045,108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1,015,926</w:t>
            </w:r>
          </w:p>
        </w:tc>
        <w:tc>
          <w:tcPr>
            <w:tcW w:w="0" w:type="dxa"/>
            <w:vAlign w:val="bottom"/>
          </w:tcPr>
          <w:p>
            <w:pPr>
              <w:spacing w:after="0"/>
              <w:rPr>
                <w:sz w:val="1"/>
                <w:szCs w:val="1"/>
                <w:color w:val="auto"/>
              </w:rPr>
            </w:pPr>
          </w:p>
        </w:tc>
      </w:tr>
      <w:tr>
        <w:trPr>
          <w:trHeight w:val="223"/>
        </w:trPr>
        <w:tc>
          <w:tcPr>
            <w:tcW w:w="2960" w:type="dxa"/>
            <w:vAlign w:val="bottom"/>
          </w:tcPr>
          <w:p>
            <w:pPr>
              <w:ind w:left="140"/>
              <w:spacing w:after="0"/>
              <w:rPr>
                <w:sz w:val="20"/>
                <w:szCs w:val="20"/>
                <w:color w:val="auto"/>
              </w:rPr>
            </w:pPr>
            <w:r>
              <w:rPr>
                <w:rFonts w:ascii="Arial" w:cs="Arial" w:eastAsia="Arial" w:hAnsi="Arial"/>
                <w:sz w:val="18"/>
                <w:szCs w:val="18"/>
                <w:color w:val="auto"/>
              </w:rPr>
              <w:t>Installment</w:t>
            </w:r>
          </w:p>
        </w:tc>
        <w:tc>
          <w:tcPr>
            <w:tcW w:w="32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524,904</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475,337</w:t>
            </w: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1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Total Loans</w:t>
            </w: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2,814,559</w:t>
            </w: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2,733,678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960" w:type="dxa"/>
            <w:vAlign w:val="bottom"/>
          </w:tcPr>
          <w:p>
            <w:pPr>
              <w:ind w:left="140"/>
              <w:spacing w:after="0"/>
              <w:rPr>
                <w:sz w:val="20"/>
                <w:szCs w:val="20"/>
                <w:color w:val="auto"/>
              </w:rPr>
            </w:pPr>
            <w:r>
              <w:rPr>
                <w:rFonts w:ascii="Arial" w:cs="Arial" w:eastAsia="Arial" w:hAnsi="Arial"/>
                <w:sz w:val="18"/>
                <w:szCs w:val="18"/>
                <w:color w:val="auto"/>
              </w:rPr>
              <w:t>Allowance for credit losses (1)</w:t>
            </w:r>
          </w:p>
        </w:tc>
        <w:tc>
          <w:tcPr>
            <w:tcW w:w="32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(45,926)</w:t>
            </w:r>
          </w:p>
        </w:tc>
        <w:tc>
          <w:tcPr>
            <w:tcW w:w="10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(35,429)</w:t>
            </w: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2"/>
              </w:rPr>
              <w:t>Net Loans</w:t>
            </w: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2,768,633</w:t>
            </w: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2,698,249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gridSpan w:val="4"/>
          </w:tcPr>
          <w:p>
            <w:pPr>
              <w:spacing w:after="0"/>
              <w:rPr>
                <w:sz w:val="20"/>
                <w:szCs w:val="20"/>
                <w:color w:val="auto"/>
              </w:rPr>
            </w:pPr>
            <w:r>
              <w:rPr>
                <w:rFonts w:ascii="Arial" w:cs="Arial" w:eastAsia="Arial" w:hAnsi="Arial"/>
                <w:sz w:val="18"/>
                <w:szCs w:val="18"/>
                <w:color w:val="auto"/>
              </w:rPr>
              <w:t>Other real estate and repossessed assets, net</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766</w:t>
            </w: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32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36,507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36,127</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Bank-owned life insurance</w:t>
            </w:r>
          </w:p>
        </w:tc>
        <w:tc>
          <w:tcPr>
            <w:tcW w:w="3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55,446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55,180</w:t>
            </w:r>
          </w:p>
        </w:tc>
        <w:tc>
          <w:tcPr>
            <w:tcW w:w="0" w:type="dxa"/>
            <w:vAlign w:val="bottom"/>
          </w:tcPr>
          <w:p>
            <w:pPr>
              <w:spacing w:after="0"/>
              <w:rPr>
                <w:sz w:val="1"/>
                <w:szCs w:val="1"/>
                <w:color w:val="auto"/>
              </w:rPr>
            </w:pPr>
          </w:p>
        </w:tc>
      </w:tr>
      <w:tr>
        <w:trPr>
          <w:trHeight w:val="216"/>
        </w:trPr>
        <w:tc>
          <w:tcPr>
            <w:tcW w:w="84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Capitalized mortgage loan servicing rights, carried at fair value</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22,431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16,904</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Other intangibles</w:t>
            </w:r>
          </w:p>
        </w:tc>
        <w:tc>
          <w:tcPr>
            <w:tcW w:w="3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3,821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4,306</w:t>
            </w: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32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28,300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28,300</w:t>
            </w:r>
          </w:p>
        </w:tc>
        <w:tc>
          <w:tcPr>
            <w:tcW w:w="0" w:type="dxa"/>
            <w:vAlign w:val="bottom"/>
          </w:tcPr>
          <w:p>
            <w:pPr>
              <w:spacing w:after="0"/>
              <w:rPr>
                <w:sz w:val="1"/>
                <w:szCs w:val="1"/>
                <w:color w:val="auto"/>
              </w:rPr>
            </w:pPr>
          </w:p>
        </w:tc>
      </w:tr>
      <w:tr>
        <w:trPr>
          <w:trHeight w:val="223"/>
        </w:trPr>
        <w:tc>
          <w:tcPr>
            <w:tcW w:w="2960" w:type="dxa"/>
            <w:vAlign w:val="bottom"/>
          </w:tcPr>
          <w:p>
            <w:pPr>
              <w:spacing w:after="0"/>
              <w:rPr>
                <w:sz w:val="20"/>
                <w:szCs w:val="20"/>
                <w:color w:val="auto"/>
              </w:rPr>
            </w:pPr>
            <w:r>
              <w:rPr>
                <w:rFonts w:ascii="Arial" w:cs="Arial" w:eastAsia="Arial" w:hAnsi="Arial"/>
                <w:sz w:val="18"/>
                <w:szCs w:val="18"/>
                <w:color w:val="auto"/>
              </w:rPr>
              <w:t>Accrued income and other assets</w:t>
            </w:r>
          </w:p>
        </w:tc>
        <w:tc>
          <w:tcPr>
            <w:tcW w:w="32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67,745</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62,456</w:t>
            </w:r>
          </w:p>
        </w:tc>
        <w:tc>
          <w:tcPr>
            <w:tcW w:w="0" w:type="dxa"/>
            <w:vAlign w:val="bottom"/>
          </w:tcPr>
          <w:p>
            <w:pPr>
              <w:spacing w:after="0"/>
              <w:rPr>
                <w:sz w:val="1"/>
                <w:szCs w:val="1"/>
                <w:color w:val="auto"/>
              </w:rPr>
            </w:pPr>
          </w:p>
        </w:tc>
      </w:tr>
      <w:tr>
        <w:trPr>
          <w:trHeight w:val="257"/>
        </w:trPr>
        <w:tc>
          <w:tcPr>
            <w:tcW w:w="296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518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Total Assets</w:t>
            </w: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4,461,272</w:t>
            </w: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4,204,013</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2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Shareholders' Equity</w:t>
            </w:r>
          </w:p>
        </w:tc>
        <w:tc>
          <w:tcPr>
            <w:tcW w:w="32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Deposits</w:t>
            </w:r>
          </w:p>
        </w:tc>
        <w:tc>
          <w:tcPr>
            <w:tcW w:w="3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Non-interest bearing</w:t>
            </w:r>
          </w:p>
        </w:tc>
        <w:tc>
          <w:tcPr>
            <w:tcW w:w="32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1,298,282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1,153,473</w:t>
            </w:r>
          </w:p>
        </w:tc>
        <w:tc>
          <w:tcPr>
            <w:tcW w:w="0" w:type="dxa"/>
            <w:vAlign w:val="bottom"/>
          </w:tcPr>
          <w:p>
            <w:pPr>
              <w:spacing w:after="0"/>
              <w:rPr>
                <w:sz w:val="1"/>
                <w:szCs w:val="1"/>
                <w:color w:val="auto"/>
              </w:rPr>
            </w:pPr>
          </w:p>
        </w:tc>
      </w:tr>
      <w:tr>
        <w:trPr>
          <w:trHeight w:val="216"/>
        </w:trPr>
        <w:tc>
          <w:tcPr>
            <w:tcW w:w="2960" w:type="dxa"/>
            <w:vAlign w:val="bottom"/>
          </w:tcPr>
          <w:p>
            <w:pPr>
              <w:ind w:left="140"/>
              <w:spacing w:after="0"/>
              <w:rPr>
                <w:sz w:val="20"/>
                <w:szCs w:val="20"/>
                <w:color w:val="auto"/>
              </w:rPr>
            </w:pPr>
            <w:r>
              <w:rPr>
                <w:rFonts w:ascii="Arial" w:cs="Arial" w:eastAsia="Arial" w:hAnsi="Arial"/>
                <w:sz w:val="18"/>
                <w:szCs w:val="18"/>
                <w:color w:val="auto"/>
                <w:w w:val="91"/>
              </w:rPr>
              <w:t>Savings and interest-bearing checking</w:t>
            </w:r>
          </w:p>
        </w:tc>
        <w:tc>
          <w:tcPr>
            <w:tcW w:w="3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1,699,463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1,526,465</w:t>
            </w: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Reciprocal</w:t>
            </w:r>
          </w:p>
        </w:tc>
        <w:tc>
          <w:tcPr>
            <w:tcW w:w="32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589,493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556,185</w:t>
            </w:r>
          </w:p>
        </w:tc>
        <w:tc>
          <w:tcPr>
            <w:tcW w:w="0" w:type="dxa"/>
            <w:vAlign w:val="bottom"/>
          </w:tcPr>
          <w:p>
            <w:pPr>
              <w:spacing w:after="0"/>
              <w:rPr>
                <w:sz w:val="1"/>
                <w:szCs w:val="1"/>
                <w:color w:val="auto"/>
              </w:rPr>
            </w:pPr>
          </w:p>
        </w:tc>
      </w:tr>
      <w:tr>
        <w:trPr>
          <w:trHeight w:val="216"/>
        </w:trPr>
        <w:tc>
          <w:tcPr>
            <w:tcW w:w="2960" w:type="dxa"/>
            <w:vAlign w:val="bottom"/>
          </w:tcPr>
          <w:p>
            <w:pPr>
              <w:ind w:left="140"/>
              <w:spacing w:after="0"/>
              <w:rPr>
                <w:sz w:val="20"/>
                <w:szCs w:val="20"/>
                <w:color w:val="auto"/>
              </w:rPr>
            </w:pPr>
            <w:r>
              <w:rPr>
                <w:rFonts w:ascii="Arial" w:cs="Arial" w:eastAsia="Arial" w:hAnsi="Arial"/>
                <w:sz w:val="18"/>
                <w:szCs w:val="18"/>
                <w:color w:val="auto"/>
              </w:rPr>
              <w:t>Time</w:t>
            </w:r>
          </w:p>
        </w:tc>
        <w:tc>
          <w:tcPr>
            <w:tcW w:w="3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272,305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287,402</w:t>
            </w:r>
          </w:p>
        </w:tc>
        <w:tc>
          <w:tcPr>
            <w:tcW w:w="0" w:type="dxa"/>
            <w:vAlign w:val="bottom"/>
          </w:tcPr>
          <w:p>
            <w:pPr>
              <w:spacing w:after="0"/>
              <w:rPr>
                <w:sz w:val="1"/>
                <w:szCs w:val="1"/>
                <w:color w:val="auto"/>
              </w:rPr>
            </w:pPr>
          </w:p>
        </w:tc>
      </w:tr>
      <w:tr>
        <w:trPr>
          <w:trHeight w:val="223"/>
        </w:trPr>
        <w:tc>
          <w:tcPr>
            <w:tcW w:w="29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Brokered time</w:t>
            </w:r>
          </w:p>
        </w:tc>
        <w:tc>
          <w:tcPr>
            <w:tcW w:w="320" w:type="dxa"/>
            <w:vAlign w:val="bottom"/>
            <w:tcBorders>
              <w:bottom w:val="single" w:sz="8" w:color="CCEEFF"/>
            </w:tcBorders>
            <w:shd w:val="clear" w:color="auto" w:fill="CCEEFF"/>
          </w:tcPr>
          <w:p>
            <w:pPr>
              <w:spacing w:after="0"/>
              <w:rPr>
                <w:sz w:val="19"/>
                <w:szCs w:val="19"/>
                <w:color w:val="auto"/>
              </w:rPr>
            </w:pPr>
          </w:p>
        </w:tc>
        <w:tc>
          <w:tcPr>
            <w:tcW w:w="43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2,923</w:t>
            </w:r>
          </w:p>
        </w:tc>
        <w:tc>
          <w:tcPr>
            <w:tcW w:w="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113,830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180" w:type="dxa"/>
            <w:vAlign w:val="bottom"/>
            <w:gridSpan w:val="2"/>
          </w:tcPr>
          <w:p>
            <w:pPr>
              <w:jc w:val="right"/>
              <w:ind w:right="10"/>
              <w:spacing w:after="0"/>
              <w:rPr>
                <w:sz w:val="20"/>
                <w:szCs w:val="20"/>
                <w:color w:val="auto"/>
              </w:rPr>
            </w:pPr>
            <w:r>
              <w:rPr>
                <w:rFonts w:ascii="Arial" w:cs="Arial" w:eastAsia="Arial" w:hAnsi="Arial"/>
                <w:sz w:val="18"/>
                <w:szCs w:val="18"/>
                <w:color w:val="auto"/>
              </w:rPr>
              <w:t>Total Deposits</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3,862,466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3,637,355</w:t>
            </w: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Other borrowings</w:t>
            </w:r>
          </w:p>
        </w:tc>
        <w:tc>
          <w:tcPr>
            <w:tcW w:w="32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30,012</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Subordinated debt</w:t>
            </w:r>
          </w:p>
        </w:tc>
        <w:tc>
          <w:tcPr>
            <w:tcW w:w="3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39,319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39,281</w:t>
            </w: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Subordinated debentures</w:t>
            </w:r>
          </w:p>
        </w:tc>
        <w:tc>
          <w:tcPr>
            <w:tcW w:w="32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39,558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39,524</w:t>
            </w:r>
          </w:p>
        </w:tc>
        <w:tc>
          <w:tcPr>
            <w:tcW w:w="0" w:type="dxa"/>
            <w:vAlign w:val="bottom"/>
          </w:tcPr>
          <w:p>
            <w:pPr>
              <w:spacing w:after="0"/>
              <w:rPr>
                <w:sz w:val="1"/>
                <w:szCs w:val="1"/>
                <w:color w:val="auto"/>
              </w:rPr>
            </w:pPr>
          </w:p>
        </w:tc>
      </w:tr>
      <w:tr>
        <w:trPr>
          <w:trHeight w:val="223"/>
        </w:trPr>
        <w:tc>
          <w:tcPr>
            <w:tcW w:w="2960" w:type="dxa"/>
            <w:vAlign w:val="bottom"/>
          </w:tcPr>
          <w:p>
            <w:pPr>
              <w:spacing w:after="0"/>
              <w:rPr>
                <w:sz w:val="20"/>
                <w:szCs w:val="20"/>
                <w:color w:val="auto"/>
              </w:rPr>
            </w:pPr>
            <w:r>
              <w:rPr>
                <w:rFonts w:ascii="Arial" w:cs="Arial" w:eastAsia="Arial" w:hAnsi="Arial"/>
                <w:sz w:val="18"/>
                <w:szCs w:val="18"/>
                <w:color w:val="auto"/>
                <w:w w:val="97"/>
              </w:rPr>
              <w:t>Accrued expenses and other liabilities</w:t>
            </w:r>
          </w:p>
        </w:tc>
        <w:tc>
          <w:tcPr>
            <w:tcW w:w="32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93,950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68,319</w:t>
            </w:r>
          </w:p>
        </w:tc>
        <w:tc>
          <w:tcPr>
            <w:tcW w:w="0" w:type="dxa"/>
            <w:vAlign w:val="bottom"/>
          </w:tcPr>
          <w:p>
            <w:pPr>
              <w:spacing w:after="0"/>
              <w:rPr>
                <w:sz w:val="1"/>
                <w:szCs w:val="1"/>
                <w:color w:val="auto"/>
              </w:rPr>
            </w:pPr>
          </w:p>
        </w:tc>
      </w:tr>
      <w:tr>
        <w:trPr>
          <w:trHeight w:val="223"/>
        </w:trPr>
        <w:tc>
          <w:tcPr>
            <w:tcW w:w="296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518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Total Liabilities</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4,065,298</w:t>
            </w:r>
          </w:p>
        </w:tc>
        <w:tc>
          <w:tcPr>
            <w:tcW w:w="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3,814,491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w w:val="95"/>
              </w:rPr>
              <w:t>Commitments and contingent liabilities</w:t>
            </w:r>
          </w:p>
        </w:tc>
        <w:tc>
          <w:tcPr>
            <w:tcW w:w="3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ind w:left="60"/>
              <w:spacing w:after="0"/>
              <w:rPr>
                <w:sz w:val="20"/>
                <w:szCs w:val="20"/>
                <w:color w:val="auto"/>
              </w:rPr>
            </w:pPr>
            <w:r>
              <w:rPr>
                <w:rFonts w:ascii="Arial" w:cs="Arial" w:eastAsia="Arial" w:hAnsi="Arial"/>
                <w:sz w:val="18"/>
                <w:szCs w:val="18"/>
                <w:color w:val="auto"/>
              </w:rPr>
              <w:t>Shareholders’ Equity</w:t>
            </w:r>
          </w:p>
        </w:tc>
        <w:tc>
          <w:tcPr>
            <w:tcW w:w="32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gridSpan w:val="4"/>
          </w:tcPr>
          <w:p>
            <w:pPr>
              <w:ind w:left="140"/>
              <w:spacing w:after="0"/>
              <w:rPr>
                <w:sz w:val="20"/>
                <w:szCs w:val="20"/>
                <w:color w:val="auto"/>
              </w:rPr>
            </w:pPr>
            <w:r>
              <w:rPr>
                <w:rFonts w:ascii="Arial" w:cs="Arial" w:eastAsia="Arial" w:hAnsi="Arial"/>
                <w:sz w:val="18"/>
                <w:szCs w:val="18"/>
                <w:color w:val="auto"/>
              </w:rPr>
              <w:t>Preferred stock, no par value, 200,000 shares authorized; none issued or outstanding</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460" w:type="dxa"/>
            <w:vAlign w:val="bottom"/>
            <w:gridSpan w:val="4"/>
            <w:shd w:val="clear" w:color="auto" w:fill="CCEEFF"/>
          </w:tcPr>
          <w:p>
            <w:pPr>
              <w:ind w:left="140"/>
              <w:spacing w:after="0" w:line="201" w:lineRule="exact"/>
              <w:rPr>
                <w:sz w:val="20"/>
                <w:szCs w:val="20"/>
                <w:color w:val="auto"/>
              </w:rPr>
            </w:pPr>
            <w:r>
              <w:rPr>
                <w:rFonts w:ascii="Arial" w:cs="Arial" w:eastAsia="Arial" w:hAnsi="Arial"/>
                <w:sz w:val="18"/>
                <w:szCs w:val="18"/>
                <w:color w:val="auto"/>
                <w:w w:val="91"/>
              </w:rPr>
              <w:t>Common stock, no par value, 500,000,000 shares authorized; issued and outstanding: 21,632,912 shares at June</w:t>
            </w: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460" w:type="dxa"/>
            <w:vAlign w:val="bottom"/>
            <w:gridSpan w:val="4"/>
            <w:shd w:val="clear" w:color="auto" w:fill="CCEEFF"/>
          </w:tcPr>
          <w:p>
            <w:pPr>
              <w:ind w:left="260"/>
              <w:spacing w:after="0"/>
              <w:rPr>
                <w:sz w:val="20"/>
                <w:szCs w:val="20"/>
                <w:color w:val="auto"/>
              </w:rPr>
            </w:pPr>
            <w:r>
              <w:rPr>
                <w:rFonts w:ascii="Arial" w:cs="Arial" w:eastAsia="Arial" w:hAnsi="Arial"/>
                <w:sz w:val="18"/>
                <w:szCs w:val="18"/>
                <w:color w:val="auto"/>
              </w:rPr>
              <w:t>30, 2021 and 21,853,800 shares at December 31, 2020</w:t>
            </w: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332,457</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339,353</w:t>
            </w:r>
          </w:p>
        </w:tc>
        <w:tc>
          <w:tcPr>
            <w:tcW w:w="0" w:type="dxa"/>
            <w:vAlign w:val="bottom"/>
          </w:tcPr>
          <w:p>
            <w:pPr>
              <w:spacing w:after="0"/>
              <w:rPr>
                <w:sz w:val="1"/>
                <w:szCs w:val="1"/>
                <w:color w:val="auto"/>
              </w:rPr>
            </w:pPr>
          </w:p>
        </w:tc>
      </w:tr>
      <w:tr>
        <w:trPr>
          <w:trHeight w:val="216"/>
        </w:trPr>
        <w:tc>
          <w:tcPr>
            <w:tcW w:w="2960" w:type="dxa"/>
            <w:vAlign w:val="bottom"/>
          </w:tcPr>
          <w:p>
            <w:pPr>
              <w:ind w:left="140"/>
              <w:spacing w:after="0"/>
              <w:rPr>
                <w:sz w:val="20"/>
                <w:szCs w:val="20"/>
                <w:color w:val="auto"/>
              </w:rPr>
            </w:pPr>
            <w:r>
              <w:rPr>
                <w:rFonts w:ascii="Arial" w:cs="Arial" w:eastAsia="Arial" w:hAnsi="Arial"/>
                <w:sz w:val="18"/>
                <w:szCs w:val="18"/>
                <w:color w:val="auto"/>
              </w:rPr>
              <w:t>Retained earnings</w:t>
            </w:r>
          </w:p>
        </w:tc>
        <w:tc>
          <w:tcPr>
            <w:tcW w:w="3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55,101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40,145</w:t>
            </w:r>
          </w:p>
        </w:tc>
        <w:tc>
          <w:tcPr>
            <w:tcW w:w="0" w:type="dxa"/>
            <w:vAlign w:val="bottom"/>
          </w:tcPr>
          <w:p>
            <w:pPr>
              <w:spacing w:after="0"/>
              <w:rPr>
                <w:sz w:val="1"/>
                <w:szCs w:val="1"/>
                <w:color w:val="auto"/>
              </w:rPr>
            </w:pPr>
          </w:p>
        </w:tc>
      </w:tr>
      <w:tr>
        <w:trPr>
          <w:trHeight w:val="223"/>
        </w:trPr>
        <w:tc>
          <w:tcPr>
            <w:tcW w:w="8460" w:type="dxa"/>
            <w:vAlign w:val="bottom"/>
            <w:tcBorders>
              <w:bottom w:val="single" w:sz="8" w:color="CCEEFF"/>
            </w:tcBorders>
            <w:gridSpan w:val="4"/>
            <w:shd w:val="clear" w:color="auto" w:fill="CCEEFF"/>
          </w:tcPr>
          <w:p>
            <w:pPr>
              <w:ind w:left="140"/>
              <w:spacing w:after="0"/>
              <w:rPr>
                <w:sz w:val="20"/>
                <w:szCs w:val="20"/>
                <w:color w:val="auto"/>
              </w:rPr>
            </w:pPr>
            <w:r>
              <w:rPr>
                <w:rFonts w:ascii="Arial" w:cs="Arial" w:eastAsia="Arial" w:hAnsi="Arial"/>
                <w:sz w:val="18"/>
                <w:szCs w:val="18"/>
                <w:color w:val="auto"/>
              </w:rPr>
              <w:t>Accumulated other comprehensive income</w:t>
            </w: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8,416</w:t>
            </w:r>
          </w:p>
        </w:tc>
        <w:tc>
          <w:tcPr>
            <w:tcW w:w="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10,024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180" w:type="dxa"/>
            <w:vAlign w:val="bottom"/>
            <w:gridSpan w:val="2"/>
          </w:tcPr>
          <w:p>
            <w:pPr>
              <w:jc w:val="right"/>
              <w:ind w:right="10"/>
              <w:spacing w:after="0"/>
              <w:rPr>
                <w:sz w:val="20"/>
                <w:szCs w:val="20"/>
                <w:color w:val="auto"/>
              </w:rPr>
            </w:pPr>
            <w:r>
              <w:rPr>
                <w:rFonts w:ascii="Arial" w:cs="Arial" w:eastAsia="Arial" w:hAnsi="Arial"/>
                <w:sz w:val="18"/>
                <w:szCs w:val="18"/>
                <w:color w:val="auto"/>
              </w:rPr>
              <w:t>Total Shareholders’ Equity</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395,974</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389,522</w:t>
            </w:r>
          </w:p>
        </w:tc>
        <w:tc>
          <w:tcPr>
            <w:tcW w:w="0" w:type="dxa"/>
            <w:vAlign w:val="bottom"/>
          </w:tcPr>
          <w:p>
            <w:pPr>
              <w:spacing w:after="0"/>
              <w:rPr>
                <w:sz w:val="1"/>
                <w:szCs w:val="1"/>
                <w:color w:val="auto"/>
              </w:rPr>
            </w:pPr>
          </w:p>
        </w:tc>
      </w:tr>
      <w:tr>
        <w:trPr>
          <w:trHeight w:val="256"/>
        </w:trPr>
        <w:tc>
          <w:tcPr>
            <w:tcW w:w="296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518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Total Liabilities and Shareholders’ Equity</w:t>
            </w: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4,461,272</w:t>
            </w: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4,204,013</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right="140" w:hanging="332"/>
        <w:spacing w:after="0" w:line="277"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Beginning January 1, 2021, calculation is based on CECL methodology. Prior to January 1, 2021, calculation was based on the probable incurred loss methodology.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See notes to interim condensed consolidated financial statements (Unaudited)</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 w:name="page5"/>
    <w:bookmarkEnd w:id="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INDEPENDENT BANK CORPORATION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Condensed Consolidated Statements of Operations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center"/>
              <w:ind w:right="460"/>
              <w:spacing w:after="0"/>
              <w:rPr>
                <w:sz w:val="20"/>
                <w:szCs w:val="20"/>
                <w:color w:val="auto"/>
              </w:rPr>
            </w:pPr>
            <w:r>
              <w:rPr>
                <w:rFonts w:ascii="Arial" w:cs="Arial" w:eastAsia="Arial" w:hAnsi="Arial"/>
                <w:sz w:val="18"/>
                <w:szCs w:val="18"/>
                <w:color w:val="auto"/>
                <w:w w:val="87"/>
              </w:rPr>
              <w:t>Three months ended</w:t>
            </w:r>
          </w:p>
        </w:tc>
        <w:tc>
          <w:tcPr>
            <w:tcW w:w="240" w:type="dxa"/>
            <w:vAlign w:val="bottom"/>
          </w:tcPr>
          <w:p>
            <w:pPr>
              <w:spacing w:after="0"/>
              <w:rPr>
                <w:sz w:val="18"/>
                <w:szCs w:val="18"/>
                <w:color w:val="auto"/>
              </w:rPr>
            </w:pPr>
          </w:p>
        </w:tc>
        <w:tc>
          <w:tcPr>
            <w:tcW w:w="2300" w:type="dxa"/>
            <w:vAlign w:val="bottom"/>
            <w:gridSpan w:val="5"/>
          </w:tcPr>
          <w:p>
            <w:pPr>
              <w:jc w:val="center"/>
              <w:ind w:right="340"/>
              <w:spacing w:after="0"/>
              <w:rPr>
                <w:sz w:val="20"/>
                <w:szCs w:val="20"/>
                <w:color w:val="auto"/>
              </w:rPr>
            </w:pPr>
            <w:r>
              <w:rPr>
                <w:rFonts w:ascii="Arial" w:cs="Arial" w:eastAsia="Arial" w:hAnsi="Arial"/>
                <w:sz w:val="18"/>
                <w:szCs w:val="18"/>
                <w:color w:val="auto"/>
                <w:w w:val="88"/>
              </w:rPr>
              <w:t>Six months ended</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3"/>
          </w:tcPr>
          <w:p>
            <w:pPr>
              <w:jc w:val="center"/>
              <w:ind w:left="470"/>
              <w:spacing w:after="0"/>
              <w:rPr>
                <w:sz w:val="20"/>
                <w:szCs w:val="20"/>
                <w:color w:val="auto"/>
              </w:rPr>
            </w:pPr>
            <w:r>
              <w:rPr>
                <w:rFonts w:ascii="Arial" w:cs="Arial" w:eastAsia="Arial" w:hAnsi="Arial"/>
                <w:sz w:val="18"/>
                <w:szCs w:val="18"/>
                <w:color w:val="auto"/>
                <w:w w:val="86"/>
              </w:rPr>
              <w:t>June 30,</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3"/>
          </w:tcPr>
          <w:p>
            <w:pPr>
              <w:jc w:val="center"/>
              <w:ind w:left="430"/>
              <w:spacing w:after="0"/>
              <w:rPr>
                <w:sz w:val="20"/>
                <w:szCs w:val="20"/>
                <w:color w:val="auto"/>
              </w:rPr>
            </w:pPr>
            <w:r>
              <w:rPr>
                <w:rFonts w:ascii="Arial" w:cs="Arial" w:eastAsia="Arial" w:hAnsi="Arial"/>
                <w:sz w:val="18"/>
                <w:szCs w:val="18"/>
                <w:color w:val="auto"/>
                <w:w w:val="86"/>
              </w:rPr>
              <w:t>June 30,</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c>
          <w:tcPr>
            <w:tcW w:w="2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4"/>
              </w:rPr>
              <w:t>2020</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2021</w:t>
            </w:r>
          </w:p>
        </w:tc>
        <w:tc>
          <w:tcPr>
            <w:tcW w:w="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89"/>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9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center"/>
              <w:ind w:left="450"/>
              <w:spacing w:after="0"/>
              <w:rPr>
                <w:sz w:val="20"/>
                <w:szCs w:val="20"/>
                <w:color w:val="auto"/>
              </w:rPr>
            </w:pPr>
            <w:r>
              <w:rPr>
                <w:rFonts w:ascii="Arial" w:cs="Arial" w:eastAsia="Arial" w:hAnsi="Arial"/>
                <w:sz w:val="18"/>
                <w:szCs w:val="18"/>
                <w:color w:val="auto"/>
                <w:w w:val="91"/>
              </w:rPr>
              <w:t>(Unaudited)</w:t>
            </w:r>
          </w:p>
        </w:tc>
        <w:tc>
          <w:tcPr>
            <w:tcW w:w="7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jc w:val="center"/>
              <w:ind w:left="430"/>
              <w:spacing w:after="0"/>
              <w:rPr>
                <w:sz w:val="20"/>
                <w:szCs w:val="20"/>
                <w:color w:val="auto"/>
              </w:rPr>
            </w:pPr>
            <w:r>
              <w:rPr>
                <w:rFonts w:ascii="Arial" w:cs="Arial" w:eastAsia="Arial" w:hAnsi="Arial"/>
                <w:sz w:val="18"/>
                <w:szCs w:val="18"/>
                <w:color w:val="auto"/>
                <w:w w:val="93"/>
              </w:rPr>
              <w:t>(Unaudited)</w:t>
            </w:r>
          </w:p>
        </w:tc>
        <w:tc>
          <w:tcPr>
            <w:tcW w:w="7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vMerge w:val="restart"/>
          </w:tcPr>
          <w:p>
            <w:pPr>
              <w:spacing w:after="0"/>
              <w:rPr>
                <w:sz w:val="20"/>
                <w:szCs w:val="20"/>
                <w:color w:val="auto"/>
              </w:rPr>
            </w:pPr>
            <w:r>
              <w:rPr>
                <w:rFonts w:ascii="Arial" w:cs="Arial" w:eastAsia="Arial" w:hAnsi="Arial"/>
                <w:sz w:val="18"/>
                <w:szCs w:val="18"/>
                <w:color w:val="auto"/>
              </w:rPr>
              <w:t>Interest Income</w:t>
            </w:r>
          </w:p>
        </w:tc>
        <w:tc>
          <w:tcPr>
            <w:tcW w:w="240" w:type="dxa"/>
            <w:vAlign w:val="bottom"/>
          </w:tcPr>
          <w:p>
            <w:pPr>
              <w:spacing w:after="0"/>
              <w:rPr>
                <w:sz w:val="20"/>
                <w:szCs w:val="20"/>
                <w:color w:val="auto"/>
              </w:rPr>
            </w:pPr>
          </w:p>
        </w:tc>
        <w:tc>
          <w:tcPr>
            <w:tcW w:w="4160" w:type="dxa"/>
            <w:vAlign w:val="bottom"/>
            <w:gridSpan w:val="9"/>
          </w:tcPr>
          <w:p>
            <w:pPr>
              <w:jc w:val="right"/>
              <w:ind w:right="270"/>
              <w:spacing w:after="0"/>
              <w:rPr>
                <w:sz w:val="20"/>
                <w:szCs w:val="20"/>
                <w:color w:val="auto"/>
              </w:rPr>
            </w:pPr>
            <w:r>
              <w:rPr>
                <w:rFonts w:ascii="Arial" w:cs="Arial" w:eastAsia="Arial" w:hAnsi="Arial"/>
                <w:sz w:val="18"/>
                <w:szCs w:val="18"/>
                <w:color w:val="auto"/>
              </w:rPr>
              <w:t>(In thousands, except per share amounts)</w:t>
            </w: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9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and fees on loans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28,091</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29,863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56,196</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61,627</w:t>
            </w:r>
          </w:p>
        </w:tc>
        <w:tc>
          <w:tcPr>
            <w:tcW w:w="0" w:type="dxa"/>
            <w:vAlign w:val="bottom"/>
          </w:tcPr>
          <w:p>
            <w:pPr>
              <w:spacing w:after="0"/>
              <w:rPr>
                <w:sz w:val="1"/>
                <w:szCs w:val="1"/>
                <w:color w:val="auto"/>
              </w:rPr>
            </w:pPr>
          </w:p>
        </w:tc>
      </w:tr>
      <w:tr>
        <w:trPr>
          <w:trHeight w:val="216"/>
        </w:trPr>
        <w:tc>
          <w:tcPr>
            <w:tcW w:w="5980" w:type="dxa"/>
            <w:vAlign w:val="bottom"/>
          </w:tcPr>
          <w:p>
            <w:pPr>
              <w:ind w:left="140"/>
              <w:spacing w:after="0"/>
              <w:rPr>
                <w:sz w:val="20"/>
                <w:szCs w:val="20"/>
                <w:color w:val="auto"/>
              </w:rPr>
            </w:pPr>
            <w:r>
              <w:rPr>
                <w:rFonts w:ascii="Arial" w:cs="Arial" w:eastAsia="Arial" w:hAnsi="Arial"/>
                <w:sz w:val="18"/>
                <w:szCs w:val="18"/>
                <w:color w:val="auto"/>
              </w:rPr>
              <w:t>Interest on securities available for sale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Taxable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3,656</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2,847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6,452</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5,906</w:t>
            </w:r>
          </w:p>
        </w:tc>
        <w:tc>
          <w:tcPr>
            <w:tcW w:w="0" w:type="dxa"/>
            <w:vAlign w:val="bottom"/>
          </w:tcPr>
          <w:p>
            <w:pPr>
              <w:spacing w:after="0"/>
              <w:rPr>
                <w:sz w:val="1"/>
                <w:szCs w:val="1"/>
                <w:color w:val="auto"/>
              </w:rPr>
            </w:pPr>
          </w:p>
        </w:tc>
      </w:tr>
      <w:tr>
        <w:trPr>
          <w:trHeight w:val="216"/>
        </w:trPr>
        <w:tc>
          <w:tcPr>
            <w:tcW w:w="5980" w:type="dxa"/>
            <w:vAlign w:val="bottom"/>
          </w:tcPr>
          <w:p>
            <w:pPr>
              <w:ind w:left="340"/>
              <w:spacing w:after="0"/>
              <w:rPr>
                <w:sz w:val="20"/>
                <w:szCs w:val="20"/>
                <w:color w:val="auto"/>
              </w:rPr>
            </w:pPr>
            <w:r>
              <w:rPr>
                <w:rFonts w:ascii="Arial" w:cs="Arial" w:eastAsia="Arial" w:hAnsi="Arial"/>
                <w:sz w:val="18"/>
                <w:szCs w:val="18"/>
                <w:color w:val="auto"/>
              </w:rPr>
              <w:t>Tax-exempt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1,544</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793</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2,928</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1,183</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investments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425</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7"/>
        </w:trPr>
        <w:tc>
          <w:tcPr>
            <w:tcW w:w="59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5980" w:type="dxa"/>
            <w:vAlign w:val="bottom"/>
          </w:tcPr>
          <w:p>
            <w:pPr>
              <w:jc w:val="right"/>
              <w:ind w:right="30"/>
              <w:spacing w:after="0"/>
              <w:rPr>
                <w:sz w:val="20"/>
                <w:szCs w:val="20"/>
                <w:color w:val="auto"/>
              </w:rPr>
            </w:pPr>
            <w:r>
              <w:rPr>
                <w:rFonts w:ascii="Arial" w:cs="Arial" w:eastAsia="Arial" w:hAnsi="Arial"/>
                <w:sz w:val="18"/>
                <w:szCs w:val="18"/>
                <w:color w:val="auto"/>
              </w:rPr>
              <w:t>Total Interest Income</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33,499</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33,754</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66,001</w:t>
            </w:r>
          </w:p>
        </w:tc>
        <w:tc>
          <w:tcPr>
            <w:tcW w:w="36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69,333</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40"/>
              <w:spacing w:after="0"/>
              <w:rPr>
                <w:sz w:val="20"/>
                <w:szCs w:val="20"/>
                <w:color w:val="auto"/>
              </w:rPr>
            </w:pPr>
            <w:r>
              <w:rPr>
                <w:rFonts w:ascii="Arial" w:cs="Arial" w:eastAsia="Arial" w:hAnsi="Arial"/>
                <w:sz w:val="18"/>
                <w:szCs w:val="18"/>
                <w:color w:val="auto"/>
              </w:rPr>
              <w:t>Deposits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1,142</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2,388</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2,398</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7,088</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borrowings and subordinated debt and debentures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1,926</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1,592</w:t>
            </w:r>
          </w:p>
        </w:tc>
        <w:tc>
          <w:tcPr>
            <w:tcW w:w="0" w:type="dxa"/>
            <w:vAlign w:val="bottom"/>
          </w:tcPr>
          <w:p>
            <w:pPr>
              <w:spacing w:after="0"/>
              <w:rPr>
                <w:sz w:val="1"/>
                <w:szCs w:val="1"/>
                <w:color w:val="auto"/>
              </w:rPr>
            </w:pPr>
          </w:p>
        </w:tc>
      </w:tr>
      <w:tr>
        <w:trPr>
          <w:trHeight w:val="27"/>
        </w:trPr>
        <w:tc>
          <w:tcPr>
            <w:tcW w:w="59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5980" w:type="dxa"/>
            <w:vAlign w:val="bottom"/>
          </w:tcPr>
          <w:p>
            <w:pPr>
              <w:jc w:val="right"/>
              <w:ind w:right="30"/>
              <w:spacing w:after="0"/>
              <w:rPr>
                <w:sz w:val="20"/>
                <w:szCs w:val="20"/>
                <w:color w:val="auto"/>
              </w:rPr>
            </w:pPr>
            <w:r>
              <w:rPr>
                <w:rFonts w:ascii="Arial" w:cs="Arial" w:eastAsia="Arial" w:hAnsi="Arial"/>
                <w:sz w:val="18"/>
                <w:szCs w:val="18"/>
                <w:color w:val="auto"/>
              </w:rPr>
              <w:t>Total Interest Expense</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2,106</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3,292</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4,324</w:t>
            </w:r>
          </w:p>
        </w:tc>
        <w:tc>
          <w:tcPr>
            <w:tcW w:w="36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8,680</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Net Interest Income</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31,393</w:t>
            </w:r>
          </w:p>
        </w:tc>
        <w:tc>
          <w:tcPr>
            <w:tcW w:w="26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30,462</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61,677</w:t>
            </w:r>
          </w:p>
        </w:tc>
        <w:tc>
          <w:tcPr>
            <w:tcW w:w="22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Provision for credit losses (1)</w:t>
            </w:r>
          </w:p>
        </w:tc>
        <w:tc>
          <w:tcPr>
            <w:tcW w:w="2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(1,425)</w:t>
            </w:r>
          </w:p>
        </w:tc>
        <w:tc>
          <w:tcPr>
            <w:tcW w:w="34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5,188</w:t>
            </w: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(1,899)</w:t>
            </w:r>
          </w:p>
        </w:tc>
        <w:tc>
          <w:tcPr>
            <w:tcW w:w="36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11,909</w:t>
            </w:r>
          </w:p>
        </w:tc>
        <w:tc>
          <w:tcPr>
            <w:tcW w:w="0" w:type="dxa"/>
            <w:vAlign w:val="bottom"/>
          </w:tcPr>
          <w:p>
            <w:pPr>
              <w:spacing w:after="0"/>
              <w:rPr>
                <w:sz w:val="1"/>
                <w:szCs w:val="1"/>
                <w:color w:val="auto"/>
              </w:rPr>
            </w:pPr>
          </w:p>
        </w:tc>
      </w:tr>
      <w:tr>
        <w:trPr>
          <w:trHeight w:val="223"/>
        </w:trPr>
        <w:tc>
          <w:tcPr>
            <w:tcW w:w="5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Net Interest Income After Provision for Credit Losses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32,818</w:t>
            </w:r>
          </w:p>
        </w:tc>
        <w:tc>
          <w:tcPr>
            <w:tcW w:w="26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25,274</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63,576</w:t>
            </w:r>
          </w:p>
        </w:tc>
        <w:tc>
          <w:tcPr>
            <w:tcW w:w="2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48,744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Non-interest Income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Interchange income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3,453</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2,526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6,502</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4,983</w:t>
            </w:r>
          </w:p>
        </w:tc>
        <w:tc>
          <w:tcPr>
            <w:tcW w:w="0" w:type="dxa"/>
            <w:vAlign w:val="bottom"/>
          </w:tcPr>
          <w:p>
            <w:pPr>
              <w:spacing w:after="0"/>
              <w:rPr>
                <w:sz w:val="1"/>
                <w:szCs w:val="1"/>
                <w:color w:val="auto"/>
              </w:rPr>
            </w:pPr>
          </w:p>
        </w:tc>
      </w:tr>
      <w:tr>
        <w:trPr>
          <w:trHeight w:val="216"/>
        </w:trPr>
        <w:tc>
          <w:tcPr>
            <w:tcW w:w="5980" w:type="dxa"/>
            <w:vAlign w:val="bottom"/>
          </w:tcPr>
          <w:p>
            <w:pPr>
              <w:ind w:left="140"/>
              <w:spacing w:after="0"/>
              <w:rPr>
                <w:sz w:val="20"/>
                <w:szCs w:val="20"/>
                <w:color w:val="auto"/>
              </w:rPr>
            </w:pPr>
            <w:r>
              <w:rPr>
                <w:rFonts w:ascii="Arial" w:cs="Arial" w:eastAsia="Arial" w:hAnsi="Arial"/>
                <w:sz w:val="18"/>
                <w:szCs w:val="18"/>
                <w:color w:val="auto"/>
              </w:rPr>
              <w:t>Service charges on deposit accounts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2,318</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1,623</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4,234</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4,214</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gains on assets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340"/>
              <w:spacing w:after="0"/>
              <w:rPr>
                <w:sz w:val="20"/>
                <w:szCs w:val="20"/>
                <w:color w:val="auto"/>
              </w:rPr>
            </w:pPr>
            <w:r>
              <w:rPr>
                <w:rFonts w:ascii="Arial" w:cs="Arial" w:eastAsia="Arial" w:hAnsi="Arial"/>
                <w:sz w:val="18"/>
                <w:szCs w:val="18"/>
                <w:color w:val="auto"/>
              </w:rPr>
              <w:t>Mortgage loans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9,091</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17,642</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21,919</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26,482</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Securities available for sale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1,416</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16"/>
        </w:trPr>
        <w:tc>
          <w:tcPr>
            <w:tcW w:w="5980" w:type="dxa"/>
            <w:vAlign w:val="bottom"/>
          </w:tcPr>
          <w:p>
            <w:pPr>
              <w:ind w:left="140"/>
              <w:spacing w:after="0"/>
              <w:rPr>
                <w:sz w:val="20"/>
                <w:szCs w:val="20"/>
                <w:color w:val="auto"/>
              </w:rPr>
            </w:pPr>
            <w:r>
              <w:rPr>
                <w:rFonts w:ascii="Arial" w:cs="Arial" w:eastAsia="Arial" w:hAnsi="Arial"/>
                <w:sz w:val="18"/>
                <w:szCs w:val="18"/>
                <w:color w:val="auto"/>
              </w:rPr>
              <w:t>Mortgage loan servicing, net</w:t>
            </w:r>
          </w:p>
        </w:tc>
        <w:tc>
          <w:tcPr>
            <w:tcW w:w="2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(1,962)</w:t>
            </w:r>
          </w:p>
        </w:tc>
        <w:tc>
          <w:tcPr>
            <w:tcW w:w="34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(3,022)</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3,205</w:t>
            </w:r>
          </w:p>
        </w:tc>
        <w:tc>
          <w:tcPr>
            <w:tcW w:w="36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(8,322)</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1,871</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1,598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3,901</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3,761</w:t>
            </w:r>
          </w:p>
        </w:tc>
        <w:tc>
          <w:tcPr>
            <w:tcW w:w="0" w:type="dxa"/>
            <w:vAlign w:val="bottom"/>
          </w:tcPr>
          <w:p>
            <w:pPr>
              <w:spacing w:after="0"/>
              <w:rPr>
                <w:sz w:val="1"/>
                <w:szCs w:val="1"/>
                <w:color w:val="auto"/>
              </w:rPr>
            </w:pPr>
          </w:p>
        </w:tc>
      </w:tr>
      <w:tr>
        <w:trPr>
          <w:trHeight w:val="27"/>
        </w:trPr>
        <w:tc>
          <w:tcPr>
            <w:tcW w:w="59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5980" w:type="dxa"/>
            <w:vAlign w:val="bottom"/>
          </w:tcPr>
          <w:p>
            <w:pPr>
              <w:jc w:val="right"/>
              <w:ind w:right="30"/>
              <w:spacing w:after="0"/>
              <w:rPr>
                <w:sz w:val="20"/>
                <w:szCs w:val="20"/>
                <w:color w:val="auto"/>
              </w:rPr>
            </w:pPr>
            <w:r>
              <w:rPr>
                <w:rFonts w:ascii="Arial" w:cs="Arial" w:eastAsia="Arial" w:hAnsi="Arial"/>
                <w:sz w:val="18"/>
                <w:szCs w:val="18"/>
                <w:color w:val="auto"/>
              </w:rPr>
              <w:t>Total Non-interest Income</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14,771</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20,367</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41,177</w:t>
            </w:r>
          </w:p>
        </w:tc>
        <w:tc>
          <w:tcPr>
            <w:tcW w:w="36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31,371</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Non-interest Expense</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40"/>
              <w:spacing w:after="0"/>
              <w:rPr>
                <w:sz w:val="20"/>
                <w:szCs w:val="20"/>
                <w:color w:val="auto"/>
              </w:rPr>
            </w:pPr>
            <w:r>
              <w:rPr>
                <w:rFonts w:ascii="Arial" w:cs="Arial" w:eastAsia="Arial" w:hAnsi="Arial"/>
                <w:sz w:val="18"/>
                <w:szCs w:val="18"/>
                <w:color w:val="auto"/>
              </w:rPr>
              <w:t>Compensation and employee benefits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19,883</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16,279</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38,405</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32,788</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Occupancy, net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2,153</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2,159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4,496</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4,619</w:t>
            </w:r>
          </w:p>
        </w:tc>
        <w:tc>
          <w:tcPr>
            <w:tcW w:w="0" w:type="dxa"/>
            <w:vAlign w:val="bottom"/>
          </w:tcPr>
          <w:p>
            <w:pPr>
              <w:spacing w:after="0"/>
              <w:rPr>
                <w:sz w:val="1"/>
                <w:szCs w:val="1"/>
                <w:color w:val="auto"/>
              </w:rPr>
            </w:pPr>
          </w:p>
        </w:tc>
      </w:tr>
      <w:tr>
        <w:trPr>
          <w:trHeight w:val="216"/>
        </w:trPr>
        <w:tc>
          <w:tcPr>
            <w:tcW w:w="5980" w:type="dxa"/>
            <w:vAlign w:val="bottom"/>
          </w:tcPr>
          <w:p>
            <w:pPr>
              <w:ind w:left="140"/>
              <w:spacing w:after="0"/>
              <w:rPr>
                <w:sz w:val="20"/>
                <w:szCs w:val="20"/>
                <w:color w:val="auto"/>
              </w:rPr>
            </w:pPr>
            <w:r>
              <w:rPr>
                <w:rFonts w:ascii="Arial" w:cs="Arial" w:eastAsia="Arial" w:hAnsi="Arial"/>
                <w:sz w:val="18"/>
                <w:szCs w:val="18"/>
                <w:color w:val="auto"/>
              </w:rPr>
              <w:t>Data processing</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2,576</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1,590</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4,950</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3,945</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Furniture, fixtures and equipment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2,037</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2,126</w:t>
            </w:r>
          </w:p>
        </w:tc>
        <w:tc>
          <w:tcPr>
            <w:tcW w:w="0" w:type="dxa"/>
            <w:vAlign w:val="bottom"/>
          </w:tcPr>
          <w:p>
            <w:pPr>
              <w:spacing w:after="0"/>
              <w:rPr>
                <w:sz w:val="1"/>
                <w:szCs w:val="1"/>
                <w:color w:val="auto"/>
              </w:rPr>
            </w:pPr>
          </w:p>
        </w:tc>
      </w:tr>
      <w:tr>
        <w:trPr>
          <w:trHeight w:val="216"/>
        </w:trPr>
        <w:tc>
          <w:tcPr>
            <w:tcW w:w="5980" w:type="dxa"/>
            <w:vAlign w:val="bottom"/>
          </w:tcPr>
          <w:p>
            <w:pPr>
              <w:ind w:left="140"/>
              <w:spacing w:after="0"/>
              <w:rPr>
                <w:sz w:val="20"/>
                <w:szCs w:val="20"/>
                <w:color w:val="auto"/>
              </w:rPr>
            </w:pPr>
            <w:r>
              <w:rPr>
                <w:rFonts w:ascii="Arial" w:cs="Arial" w:eastAsia="Arial" w:hAnsi="Arial"/>
                <w:sz w:val="18"/>
                <w:szCs w:val="18"/>
                <w:color w:val="auto"/>
              </w:rPr>
              <w:t>Interchange expense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1,201</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726</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2,149</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1,585</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Communications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1,658</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1,603</w:t>
            </w:r>
          </w:p>
        </w:tc>
        <w:tc>
          <w:tcPr>
            <w:tcW w:w="0" w:type="dxa"/>
            <w:vAlign w:val="bottom"/>
          </w:tcPr>
          <w:p>
            <w:pPr>
              <w:spacing w:after="0"/>
              <w:rPr>
                <w:sz w:val="1"/>
                <w:szCs w:val="1"/>
                <w:color w:val="auto"/>
              </w:rPr>
            </w:pPr>
          </w:p>
        </w:tc>
      </w:tr>
      <w:tr>
        <w:trPr>
          <w:trHeight w:val="216"/>
        </w:trPr>
        <w:tc>
          <w:tcPr>
            <w:tcW w:w="5980" w:type="dxa"/>
            <w:vAlign w:val="bottom"/>
          </w:tcPr>
          <w:p>
            <w:pPr>
              <w:ind w:left="140"/>
              <w:spacing w:after="0"/>
              <w:rPr>
                <w:sz w:val="20"/>
                <w:szCs w:val="20"/>
                <w:color w:val="auto"/>
              </w:rPr>
            </w:pPr>
            <w:r>
              <w:rPr>
                <w:rFonts w:ascii="Arial" w:cs="Arial" w:eastAsia="Arial" w:hAnsi="Arial"/>
                <w:sz w:val="18"/>
                <w:szCs w:val="18"/>
                <w:color w:val="auto"/>
              </w:rPr>
              <w:t>Loan and collection</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859</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756</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1,618</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1,561</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Conversion related expenses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1,361</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16"/>
        </w:trPr>
        <w:tc>
          <w:tcPr>
            <w:tcW w:w="5980" w:type="dxa"/>
            <w:vAlign w:val="bottom"/>
          </w:tcPr>
          <w:p>
            <w:pPr>
              <w:ind w:left="140"/>
              <w:spacing w:after="0"/>
              <w:rPr>
                <w:sz w:val="20"/>
                <w:szCs w:val="20"/>
                <w:color w:val="auto"/>
              </w:rPr>
            </w:pPr>
            <w:r>
              <w:rPr>
                <w:rFonts w:ascii="Arial" w:cs="Arial" w:eastAsia="Arial" w:hAnsi="Arial"/>
                <w:sz w:val="18"/>
                <w:szCs w:val="18"/>
                <w:color w:val="auto"/>
              </w:rPr>
              <w:t>Advertising</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164</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364</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653</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1,047</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Legal and professional</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1,021</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861</w:t>
            </w:r>
          </w:p>
        </w:tc>
        <w:tc>
          <w:tcPr>
            <w:tcW w:w="0" w:type="dxa"/>
            <w:vAlign w:val="bottom"/>
          </w:tcPr>
          <w:p>
            <w:pPr>
              <w:spacing w:after="0"/>
              <w:rPr>
                <w:sz w:val="1"/>
                <w:szCs w:val="1"/>
                <w:color w:val="auto"/>
              </w:rPr>
            </w:pPr>
          </w:p>
        </w:tc>
      </w:tr>
      <w:tr>
        <w:trPr>
          <w:trHeight w:val="216"/>
        </w:trPr>
        <w:tc>
          <w:tcPr>
            <w:tcW w:w="5980" w:type="dxa"/>
            <w:vAlign w:val="bottom"/>
          </w:tcPr>
          <w:p>
            <w:pPr>
              <w:ind w:left="140"/>
              <w:spacing w:after="0"/>
              <w:rPr>
                <w:sz w:val="20"/>
                <w:szCs w:val="20"/>
                <w:color w:val="auto"/>
              </w:rPr>
            </w:pPr>
            <w:r>
              <w:rPr>
                <w:rFonts w:ascii="Arial" w:cs="Arial" w:eastAsia="Arial" w:hAnsi="Arial"/>
                <w:sz w:val="18"/>
                <w:szCs w:val="18"/>
                <w:color w:val="auto"/>
              </w:rPr>
              <w:t>FDIC deposit insurance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307</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430</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637</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1,917</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2,338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3,572</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4,728</w:t>
            </w:r>
          </w:p>
        </w:tc>
        <w:tc>
          <w:tcPr>
            <w:tcW w:w="0" w:type="dxa"/>
            <w:vAlign w:val="bottom"/>
          </w:tcPr>
          <w:p>
            <w:pPr>
              <w:spacing w:after="0"/>
              <w:rPr>
                <w:sz w:val="1"/>
                <w:szCs w:val="1"/>
                <w:color w:val="auto"/>
              </w:rPr>
            </w:pPr>
          </w:p>
        </w:tc>
      </w:tr>
      <w:tr>
        <w:trPr>
          <w:trHeight w:val="27"/>
        </w:trPr>
        <w:tc>
          <w:tcPr>
            <w:tcW w:w="59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5980" w:type="dxa"/>
            <w:vAlign w:val="bottom"/>
          </w:tcPr>
          <w:p>
            <w:pPr>
              <w:jc w:val="right"/>
              <w:ind w:right="30"/>
              <w:spacing w:after="0"/>
              <w:rPr>
                <w:sz w:val="20"/>
                <w:szCs w:val="20"/>
                <w:color w:val="auto"/>
              </w:rPr>
            </w:pPr>
            <w:r>
              <w:rPr>
                <w:rFonts w:ascii="Arial" w:cs="Arial" w:eastAsia="Arial" w:hAnsi="Arial"/>
                <w:sz w:val="18"/>
                <w:szCs w:val="18"/>
                <w:color w:val="auto"/>
              </w:rPr>
              <w:t>Total Non-interest Expense</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32,536</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27,346</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62,557</w:t>
            </w:r>
          </w:p>
        </w:tc>
        <w:tc>
          <w:tcPr>
            <w:tcW w:w="36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56,065</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Income Before Income Tax</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15,053</w:t>
            </w:r>
          </w:p>
        </w:tc>
        <w:tc>
          <w:tcPr>
            <w:tcW w:w="26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18,295</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42,196</w:t>
            </w:r>
          </w:p>
        </w:tc>
        <w:tc>
          <w:tcPr>
            <w:tcW w:w="22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Income tax expense</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2,665</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3,523</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7,771</w:t>
            </w:r>
          </w:p>
        </w:tc>
        <w:tc>
          <w:tcPr>
            <w:tcW w:w="36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4,468</w:t>
            </w:r>
          </w:p>
        </w:tc>
        <w:tc>
          <w:tcPr>
            <w:tcW w:w="0" w:type="dxa"/>
            <w:vAlign w:val="bottom"/>
          </w:tcPr>
          <w:p>
            <w:pPr>
              <w:spacing w:after="0"/>
              <w:rPr>
                <w:sz w:val="1"/>
                <w:szCs w:val="1"/>
                <w:color w:val="auto"/>
              </w:rPr>
            </w:pPr>
          </w:p>
        </w:tc>
      </w:tr>
      <w:tr>
        <w:trPr>
          <w:trHeight w:val="256"/>
        </w:trPr>
        <w:tc>
          <w:tcPr>
            <w:tcW w:w="5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Net Income</w:t>
            </w: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12,388</w:t>
            </w:r>
          </w:p>
        </w:tc>
        <w:tc>
          <w:tcPr>
            <w:tcW w:w="2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14,772</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34,425</w:t>
            </w:r>
          </w:p>
        </w:tc>
        <w:tc>
          <w:tcPr>
            <w:tcW w:w="2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19,582</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980" w:type="dxa"/>
            <w:vAlign w:val="bottom"/>
          </w:tcPr>
          <w:p>
            <w:pPr>
              <w:spacing w:after="0"/>
              <w:rPr>
                <w:sz w:val="20"/>
                <w:szCs w:val="20"/>
                <w:color w:val="auto"/>
              </w:rPr>
            </w:pPr>
            <w:r>
              <w:rPr>
                <w:rFonts w:ascii="Arial" w:cs="Arial" w:eastAsia="Arial" w:hAnsi="Arial"/>
                <w:sz w:val="18"/>
                <w:szCs w:val="18"/>
                <w:color w:val="auto"/>
              </w:rPr>
              <w:t>Net Income Per Common Share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0.57</w:t>
            </w:r>
          </w:p>
        </w:tc>
        <w:tc>
          <w:tcPr>
            <w:tcW w:w="26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0.67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1.58</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0.89</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80" w:type="dxa"/>
            <w:vAlign w:val="bottom"/>
          </w:tcPr>
          <w:p>
            <w:pPr>
              <w:ind w:left="140"/>
              <w:spacing w:after="0"/>
              <w:rPr>
                <w:sz w:val="20"/>
                <w:szCs w:val="20"/>
                <w:color w:val="auto"/>
              </w:rPr>
            </w:pPr>
            <w:r>
              <w:rPr>
                <w:rFonts w:ascii="Arial" w:cs="Arial" w:eastAsia="Arial" w:hAnsi="Arial"/>
                <w:sz w:val="18"/>
                <w:szCs w:val="18"/>
                <w:color w:val="auto"/>
              </w:rPr>
              <w:t>Diluted</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0.56</w:t>
            </w:r>
          </w:p>
        </w:tc>
        <w:tc>
          <w:tcPr>
            <w:tcW w:w="260" w:type="dxa"/>
            <w:vAlign w:val="bottom"/>
          </w:tcPr>
          <w:p>
            <w:pPr>
              <w:spacing w:after="0"/>
              <w:rPr>
                <w:sz w:val="18"/>
                <w:szCs w:val="18"/>
                <w:color w:val="auto"/>
              </w:rPr>
            </w:pP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0.67</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1.56</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0.88</w:t>
            </w:r>
          </w:p>
        </w:tc>
        <w:tc>
          <w:tcPr>
            <w:tcW w:w="0" w:type="dxa"/>
            <w:vAlign w:val="bottom"/>
          </w:tcPr>
          <w:p>
            <w:pPr>
              <w:spacing w:after="0"/>
              <w:rPr>
                <w:sz w:val="1"/>
                <w:szCs w:val="1"/>
                <w:color w:val="auto"/>
              </w:rPr>
            </w:pPr>
          </w:p>
        </w:tc>
      </w:tr>
      <w:tr>
        <w:trPr>
          <w:trHeight w:val="21"/>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right="140" w:hanging="332"/>
        <w:spacing w:after="0" w:line="277"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Beginning January 1, 2021, calculation is based on CECL methodology. Prior to January 1, 2021, calculation was based on the probable incurred loss methodology.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See notes to interim condensed consolidated financial statements (Unaudited)</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5" w:name="page6"/>
    <w:bookmarkEnd w:id="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INDEPENDENT BANK CORPORATION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Condensed Consolidated Statements of Comprehensive Income</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right"/>
              <w:ind w:right="650"/>
              <w:spacing w:after="0"/>
              <w:rPr>
                <w:sz w:val="20"/>
                <w:szCs w:val="20"/>
                <w:color w:val="auto"/>
              </w:rPr>
            </w:pPr>
            <w:r>
              <w:rPr>
                <w:rFonts w:ascii="Arial" w:cs="Arial" w:eastAsia="Arial" w:hAnsi="Arial"/>
                <w:sz w:val="18"/>
                <w:szCs w:val="18"/>
                <w:color w:val="auto"/>
              </w:rPr>
              <w:t>Three months ended</w:t>
            </w:r>
          </w:p>
        </w:tc>
        <w:tc>
          <w:tcPr>
            <w:tcW w:w="240" w:type="dxa"/>
            <w:vAlign w:val="bottom"/>
          </w:tcPr>
          <w:p>
            <w:pPr>
              <w:spacing w:after="0"/>
              <w:rPr>
                <w:sz w:val="18"/>
                <w:szCs w:val="18"/>
                <w:color w:val="auto"/>
              </w:rPr>
            </w:pPr>
          </w:p>
        </w:tc>
        <w:tc>
          <w:tcPr>
            <w:tcW w:w="2300" w:type="dxa"/>
            <w:vAlign w:val="bottom"/>
            <w:gridSpan w:val="5"/>
          </w:tcPr>
          <w:p>
            <w:pPr>
              <w:jc w:val="right"/>
              <w:ind w:right="680"/>
              <w:spacing w:after="0"/>
              <w:rPr>
                <w:sz w:val="20"/>
                <w:szCs w:val="20"/>
                <w:color w:val="auto"/>
              </w:rPr>
            </w:pPr>
            <w:r>
              <w:rPr>
                <w:rFonts w:ascii="Arial" w:cs="Arial" w:eastAsia="Arial" w:hAnsi="Arial"/>
                <w:sz w:val="18"/>
                <w:szCs w:val="18"/>
                <w:color w:val="auto"/>
              </w:rPr>
              <w:t>Six months ended</w:t>
            </w:r>
          </w:p>
        </w:tc>
      </w:t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June 30,</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June 30,</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2021</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r>
      <w:tr>
        <w:trPr>
          <w:trHeight w:val="230"/>
        </w:trPr>
        <w:tc>
          <w:tcPr>
            <w:tcW w:w="5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0"/>
              </w:rPr>
              <w:t>(Unaudited -</w:t>
            </w:r>
          </w:p>
        </w:tc>
        <w:tc>
          <w:tcPr>
            <w:tcW w:w="220" w:type="dxa"/>
            <w:vAlign w:val="bottom"/>
          </w:tcPr>
          <w:p>
            <w:pPr>
              <w:jc w:val="right"/>
              <w:spacing w:after="0"/>
              <w:rPr>
                <w:sz w:val="20"/>
                <w:szCs w:val="20"/>
                <w:color w:val="auto"/>
              </w:rPr>
            </w:pPr>
            <w:r>
              <w:rPr>
                <w:rFonts w:ascii="Arial" w:cs="Arial" w:eastAsia="Arial" w:hAnsi="Arial"/>
                <w:sz w:val="18"/>
                <w:szCs w:val="18"/>
                <w:color w:val="auto"/>
              </w:rPr>
              <w:t>In</w:t>
            </w:r>
          </w:p>
        </w:tc>
        <w:tc>
          <w:tcPr>
            <w:tcW w:w="1100" w:type="dxa"/>
            <w:vAlign w:val="bottom"/>
            <w:gridSpan w:val="2"/>
          </w:tcPr>
          <w:p>
            <w:pPr>
              <w:jc w:val="right"/>
              <w:ind w:right="190"/>
              <w:spacing w:after="0"/>
              <w:rPr>
                <w:sz w:val="20"/>
                <w:szCs w:val="20"/>
                <w:color w:val="auto"/>
              </w:rPr>
            </w:pPr>
            <w:r>
              <w:rPr>
                <w:rFonts w:ascii="Arial" w:cs="Arial" w:eastAsia="Arial" w:hAnsi="Arial"/>
                <w:sz w:val="18"/>
                <w:szCs w:val="18"/>
                <w:color w:val="auto"/>
                <w:w w:val="89"/>
              </w:rPr>
              <w:t>thousands)</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2"/>
        </w:trPr>
        <w:tc>
          <w:tcPr>
            <w:tcW w:w="5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gridSpan w:val="2"/>
          </w:tcPr>
          <w:p>
            <w:pPr>
              <w:spacing w:after="0"/>
              <w:rPr>
                <w:sz w:val="17"/>
                <w:szCs w:val="17"/>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12,388</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14,772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34,425</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19,582</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Securities available for sale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340"/>
              <w:spacing w:after="0"/>
              <w:rPr>
                <w:sz w:val="20"/>
                <w:szCs w:val="20"/>
                <w:color w:val="auto"/>
              </w:rPr>
            </w:pPr>
            <w:r>
              <w:rPr>
                <w:rFonts w:ascii="Arial" w:cs="Arial" w:eastAsia="Arial" w:hAnsi="Arial"/>
                <w:sz w:val="18"/>
                <w:szCs w:val="18"/>
                <w:color w:val="auto"/>
              </w:rPr>
              <w:t>Unrealized gains (losses) arising during period</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5,162</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30"/>
              <w:spacing w:after="0"/>
              <w:rPr>
                <w:sz w:val="20"/>
                <w:szCs w:val="20"/>
                <w:color w:val="auto"/>
              </w:rPr>
            </w:pPr>
            <w:r>
              <w:rPr>
                <w:rFonts w:ascii="Arial" w:cs="Arial" w:eastAsia="Arial" w:hAnsi="Arial"/>
                <w:sz w:val="18"/>
                <w:szCs w:val="18"/>
                <w:color w:val="auto"/>
              </w:rPr>
              <w:t>10,522</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(619)</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9,924</w:t>
            </w:r>
          </w:p>
        </w:tc>
      </w:tr>
      <w:tr>
        <w:trPr>
          <w:trHeight w:val="202"/>
        </w:trPr>
        <w:tc>
          <w:tcPr>
            <w:tcW w:w="59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9"/>
              </w:rPr>
              <w:t>Change in unrealized gains and losses for which a portion of other than</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59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temporary impairment has been recognized in earnings</w:t>
            </w: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88</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w:t>
            </w:r>
          </w:p>
        </w:tc>
      </w:tr>
      <w:tr>
        <w:trPr>
          <w:trHeight w:val="223"/>
        </w:trPr>
        <w:tc>
          <w:tcPr>
            <w:tcW w:w="5980" w:type="dxa"/>
            <w:vAlign w:val="bottom"/>
          </w:tcPr>
          <w:p>
            <w:pPr>
              <w:ind w:left="340"/>
              <w:spacing w:after="0"/>
              <w:rPr>
                <w:sz w:val="20"/>
                <w:szCs w:val="20"/>
                <w:color w:val="auto"/>
              </w:rPr>
            </w:pPr>
            <w:r>
              <w:rPr>
                <w:rFonts w:ascii="Arial" w:cs="Arial" w:eastAsia="Arial" w:hAnsi="Arial"/>
                <w:sz w:val="18"/>
                <w:szCs w:val="18"/>
                <w:color w:val="auto"/>
              </w:rPr>
              <w:t>Reclassification adjustments for gains included in earnings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(1,416)</w:t>
            </w:r>
          </w:p>
        </w:tc>
        <w:tc>
          <w:tcPr>
            <w:tcW w:w="28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(253)</w:t>
            </w:r>
          </w:p>
        </w:tc>
      </w:tr>
      <w:tr>
        <w:trPr>
          <w:trHeight w:val="202"/>
        </w:trPr>
        <w:tc>
          <w:tcPr>
            <w:tcW w:w="5980" w:type="dxa"/>
            <w:vAlign w:val="bottom"/>
            <w:shd w:val="clear" w:color="auto" w:fill="CCEEFF"/>
          </w:tcPr>
          <w:p>
            <w:pPr>
              <w:jc w:val="right"/>
              <w:ind w:right="30"/>
              <w:spacing w:after="0" w:line="201" w:lineRule="exact"/>
              <w:rPr>
                <w:sz w:val="20"/>
                <w:szCs w:val="20"/>
                <w:color w:val="auto"/>
              </w:rPr>
            </w:pPr>
            <w:r>
              <w:rPr>
                <w:rFonts w:ascii="Arial" w:cs="Arial" w:eastAsia="Arial" w:hAnsi="Arial"/>
                <w:sz w:val="18"/>
                <w:szCs w:val="18"/>
                <w:color w:val="auto"/>
                <w:w w:val="93"/>
              </w:rPr>
              <w:t>Unrealized gains (losses) recognized in other comprehensive income (loss) on</w:t>
            </w: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5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securities available for sale</w:t>
            </w: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5,162</w:t>
            </w:r>
          </w:p>
        </w:tc>
        <w:tc>
          <w:tcPr>
            <w:tcW w:w="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10,610</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(2,035)</w:t>
            </w:r>
          </w:p>
        </w:tc>
        <w:tc>
          <w:tcPr>
            <w:tcW w:w="2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9,590</w:t>
            </w:r>
          </w:p>
        </w:tc>
      </w:tr>
      <w:tr>
        <w:trPr>
          <w:trHeight w:val="223"/>
        </w:trPr>
        <w:tc>
          <w:tcPr>
            <w:tcW w:w="5980" w:type="dxa"/>
            <w:vAlign w:val="bottom"/>
          </w:tcPr>
          <w:p>
            <w:pPr>
              <w:ind w:left="480"/>
              <w:spacing w:after="0"/>
              <w:rPr>
                <w:sz w:val="20"/>
                <w:szCs w:val="20"/>
                <w:color w:val="auto"/>
              </w:rPr>
            </w:pPr>
            <w:r>
              <w:rPr>
                <w:rFonts w:ascii="Arial" w:cs="Arial" w:eastAsia="Arial" w:hAnsi="Arial"/>
                <w:sz w:val="18"/>
                <w:szCs w:val="18"/>
                <w:color w:val="auto"/>
              </w:rPr>
              <w:t>Income tax expense (benefit)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1,084</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130"/>
              <w:spacing w:after="0"/>
              <w:rPr>
                <w:sz w:val="20"/>
                <w:szCs w:val="20"/>
                <w:color w:val="auto"/>
              </w:rPr>
            </w:pPr>
            <w:r>
              <w:rPr>
                <w:rFonts w:ascii="Arial" w:cs="Arial" w:eastAsia="Arial" w:hAnsi="Arial"/>
                <w:sz w:val="18"/>
                <w:szCs w:val="18"/>
                <w:color w:val="auto"/>
              </w:rPr>
              <w:t>2,228</w:t>
            </w: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(427)</w:t>
            </w:r>
          </w:p>
        </w:tc>
        <w:tc>
          <w:tcPr>
            <w:tcW w:w="28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2,014</w:t>
            </w:r>
          </w:p>
        </w:tc>
      </w:tr>
      <w:tr>
        <w:trPr>
          <w:trHeight w:val="202"/>
        </w:trPr>
        <w:tc>
          <w:tcPr>
            <w:tcW w:w="5980" w:type="dxa"/>
            <w:vAlign w:val="bottom"/>
            <w:shd w:val="clear" w:color="auto" w:fill="CCEEFF"/>
          </w:tcPr>
          <w:p>
            <w:pPr>
              <w:jc w:val="right"/>
              <w:ind w:right="30"/>
              <w:spacing w:after="0" w:line="201" w:lineRule="exact"/>
              <w:rPr>
                <w:sz w:val="20"/>
                <w:szCs w:val="20"/>
                <w:color w:val="auto"/>
              </w:rPr>
            </w:pPr>
            <w:r>
              <w:rPr>
                <w:rFonts w:ascii="Arial" w:cs="Arial" w:eastAsia="Arial" w:hAnsi="Arial"/>
                <w:sz w:val="18"/>
                <w:szCs w:val="18"/>
                <w:color w:val="auto"/>
                <w:w w:val="93"/>
              </w:rPr>
              <w:t>Unrealized gains (losses) recognized in other comprehensive income (loss) on</w:t>
            </w: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7"/>
        </w:trPr>
        <w:tc>
          <w:tcPr>
            <w:tcW w:w="5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securities available for sale, net of tax</w:t>
            </w: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4,078</w:t>
            </w:r>
          </w:p>
        </w:tc>
        <w:tc>
          <w:tcPr>
            <w:tcW w:w="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8,382</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(1,608)</w:t>
            </w:r>
          </w:p>
        </w:tc>
        <w:tc>
          <w:tcPr>
            <w:tcW w:w="2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7,576</w:t>
            </w:r>
          </w:p>
        </w:tc>
      </w:tr>
      <w:tr>
        <w:trPr>
          <w:trHeight w:val="216"/>
        </w:trPr>
        <w:tc>
          <w:tcPr>
            <w:tcW w:w="5980" w:type="dxa"/>
            <w:vAlign w:val="bottom"/>
            <w:tcBorders>
              <w:top w:val="single" w:sz="8" w:color="CCEEFF"/>
            </w:tcBorders>
          </w:tcPr>
          <w:p>
            <w:pPr>
              <w:ind w:left="140"/>
              <w:spacing w:after="0"/>
              <w:rPr>
                <w:sz w:val="20"/>
                <w:szCs w:val="20"/>
                <w:color w:val="auto"/>
              </w:rPr>
            </w:pPr>
            <w:r>
              <w:rPr>
                <w:rFonts w:ascii="Arial" w:cs="Arial" w:eastAsia="Arial" w:hAnsi="Arial"/>
                <w:sz w:val="18"/>
                <w:szCs w:val="18"/>
                <w:color w:val="auto"/>
              </w:rPr>
              <w:t>Derivative instruments</w:t>
            </w: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Unrealized gains (losses) arising during period</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78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(328)</w:t>
            </w:r>
          </w:p>
        </w:tc>
      </w:tr>
      <w:tr>
        <w:trPr>
          <w:trHeight w:val="223"/>
        </w:trPr>
        <w:tc>
          <w:tcPr>
            <w:tcW w:w="5980" w:type="dxa"/>
            <w:vAlign w:val="bottom"/>
          </w:tcPr>
          <w:p>
            <w:pPr>
              <w:ind w:left="340"/>
              <w:spacing w:after="0"/>
              <w:rPr>
                <w:sz w:val="20"/>
                <w:szCs w:val="20"/>
                <w:color w:val="auto"/>
              </w:rPr>
            </w:pPr>
            <w:r>
              <w:rPr>
                <w:rFonts w:ascii="Arial" w:cs="Arial" w:eastAsia="Arial" w:hAnsi="Arial"/>
                <w:sz w:val="18"/>
                <w:szCs w:val="18"/>
                <w:color w:val="auto"/>
              </w:rPr>
              <w:t>Reclassification adjustment for expense recognized in earnings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130"/>
              <w:spacing w:after="0"/>
              <w:rPr>
                <w:sz w:val="20"/>
                <w:szCs w:val="20"/>
                <w:color w:val="auto"/>
              </w:rPr>
            </w:pPr>
            <w:r>
              <w:rPr>
                <w:rFonts w:ascii="Arial" w:cs="Arial" w:eastAsia="Arial" w:hAnsi="Arial"/>
                <w:sz w:val="18"/>
                <w:szCs w:val="18"/>
                <w:color w:val="auto"/>
              </w:rPr>
              <w:t>261</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336</w:t>
            </w:r>
          </w:p>
        </w:tc>
      </w:tr>
      <w:tr>
        <w:trPr>
          <w:trHeight w:val="202"/>
        </w:trPr>
        <w:tc>
          <w:tcPr>
            <w:tcW w:w="5980" w:type="dxa"/>
            <w:vAlign w:val="bottom"/>
            <w:shd w:val="clear" w:color="auto" w:fill="CCEEFF"/>
          </w:tcPr>
          <w:p>
            <w:pPr>
              <w:jc w:val="right"/>
              <w:ind w:right="30"/>
              <w:spacing w:after="0" w:line="201" w:lineRule="exact"/>
              <w:rPr>
                <w:sz w:val="20"/>
                <w:szCs w:val="20"/>
                <w:color w:val="auto"/>
              </w:rPr>
            </w:pPr>
            <w:r>
              <w:rPr>
                <w:rFonts w:ascii="Arial" w:cs="Arial" w:eastAsia="Arial" w:hAnsi="Arial"/>
                <w:sz w:val="18"/>
                <w:szCs w:val="18"/>
                <w:color w:val="auto"/>
                <w:w w:val="93"/>
              </w:rPr>
              <w:t>Unrealized gains (losses) recognized in other comprehensive income (loss) on</w:t>
            </w: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5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derivative instruments</w:t>
            </w: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339</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r>
      <w:tr>
        <w:trPr>
          <w:trHeight w:val="223"/>
        </w:trPr>
        <w:tc>
          <w:tcPr>
            <w:tcW w:w="5980" w:type="dxa"/>
            <w:vAlign w:val="bottom"/>
          </w:tcPr>
          <w:p>
            <w:pPr>
              <w:ind w:left="480"/>
              <w:spacing w:after="0"/>
              <w:rPr>
                <w:sz w:val="20"/>
                <w:szCs w:val="20"/>
                <w:color w:val="auto"/>
              </w:rPr>
            </w:pPr>
            <w:r>
              <w:rPr>
                <w:rFonts w:ascii="Arial" w:cs="Arial" w:eastAsia="Arial" w:hAnsi="Arial"/>
                <w:sz w:val="18"/>
                <w:szCs w:val="18"/>
                <w:color w:val="auto"/>
              </w:rPr>
              <w:t>Income tax expense</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130"/>
              <w:spacing w:after="0"/>
              <w:rPr>
                <w:sz w:val="20"/>
                <w:szCs w:val="20"/>
                <w:color w:val="auto"/>
              </w:rPr>
            </w:pPr>
            <w:r>
              <w:rPr>
                <w:rFonts w:ascii="Arial" w:cs="Arial" w:eastAsia="Arial" w:hAnsi="Arial"/>
                <w:sz w:val="18"/>
                <w:szCs w:val="18"/>
                <w:color w:val="auto"/>
              </w:rPr>
              <w:t>71</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r>
      <w:tr>
        <w:trPr>
          <w:trHeight w:val="202"/>
        </w:trPr>
        <w:tc>
          <w:tcPr>
            <w:tcW w:w="5980" w:type="dxa"/>
            <w:vAlign w:val="bottom"/>
            <w:shd w:val="clear" w:color="auto" w:fill="CCEEFF"/>
          </w:tcPr>
          <w:p>
            <w:pPr>
              <w:jc w:val="right"/>
              <w:ind w:right="30"/>
              <w:spacing w:after="0" w:line="201" w:lineRule="exact"/>
              <w:rPr>
                <w:sz w:val="20"/>
                <w:szCs w:val="20"/>
                <w:color w:val="auto"/>
              </w:rPr>
            </w:pPr>
            <w:r>
              <w:rPr>
                <w:rFonts w:ascii="Arial" w:cs="Arial" w:eastAsia="Arial" w:hAnsi="Arial"/>
                <w:sz w:val="18"/>
                <w:szCs w:val="18"/>
                <w:color w:val="auto"/>
                <w:w w:val="91"/>
              </w:rPr>
              <w:t>Unrealized gains recognized in other comprehensive income (loss) on derivative</w:t>
            </w: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5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instruments, net of tax</w:t>
            </w: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268</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r>
      <w:tr>
        <w:trPr>
          <w:trHeight w:val="27"/>
        </w:trPr>
        <w:tc>
          <w:tcPr>
            <w:tcW w:w="59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5980" w:type="dxa"/>
            <w:vAlign w:val="bottom"/>
          </w:tcPr>
          <w:p>
            <w:pPr>
              <w:jc w:val="right"/>
              <w:ind w:right="30"/>
              <w:spacing w:after="0"/>
              <w:rPr>
                <w:sz w:val="20"/>
                <w:szCs w:val="20"/>
                <w:color w:val="auto"/>
              </w:rPr>
            </w:pPr>
            <w:r>
              <w:rPr>
                <w:rFonts w:ascii="Arial" w:cs="Arial" w:eastAsia="Arial" w:hAnsi="Arial"/>
                <w:sz w:val="18"/>
                <w:szCs w:val="18"/>
                <w:color w:val="auto"/>
              </w:rPr>
              <w:t>Other comprehensive income (loss)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4,078</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130"/>
              <w:spacing w:after="0"/>
              <w:rPr>
                <w:sz w:val="20"/>
                <w:szCs w:val="20"/>
                <w:color w:val="auto"/>
              </w:rPr>
            </w:pPr>
            <w:r>
              <w:rPr>
                <w:rFonts w:ascii="Arial" w:cs="Arial" w:eastAsia="Arial" w:hAnsi="Arial"/>
                <w:sz w:val="18"/>
                <w:szCs w:val="18"/>
                <w:color w:val="auto"/>
              </w:rPr>
              <w:t>8,650</w:t>
            </w: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(1,608)</w:t>
            </w:r>
          </w:p>
        </w:tc>
        <w:tc>
          <w:tcPr>
            <w:tcW w:w="28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7,582</w:t>
            </w:r>
          </w:p>
        </w:tc>
      </w:tr>
      <w:tr>
        <w:trPr>
          <w:trHeight w:val="257"/>
        </w:trPr>
        <w:tc>
          <w:tcPr>
            <w:tcW w:w="5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Comprehensive income</w:t>
            </w: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16,466</w:t>
            </w:r>
          </w:p>
        </w:tc>
        <w:tc>
          <w:tcPr>
            <w:tcW w:w="2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23,422</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32,817</w:t>
            </w:r>
          </w:p>
        </w:tc>
        <w:tc>
          <w:tcPr>
            <w:tcW w:w="2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27,164</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notes to interim condensed consolidated financial statements (Unaudited)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INDEPENDENT BANK CORPORATION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Condensed Consolidated Statements of Cash Flows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80" w:type="dxa"/>
            <w:vAlign w:val="bottom"/>
            <w:gridSpan w:val="6"/>
          </w:tcPr>
          <w:p>
            <w:pPr>
              <w:jc w:val="right"/>
              <w:ind w:right="360"/>
              <w:spacing w:after="0"/>
              <w:rPr>
                <w:sz w:val="20"/>
                <w:szCs w:val="20"/>
                <w:color w:val="auto"/>
              </w:rPr>
            </w:pPr>
            <w:r>
              <w:rPr>
                <w:rFonts w:ascii="Arial" w:cs="Arial" w:eastAsia="Arial" w:hAnsi="Arial"/>
                <w:sz w:val="18"/>
                <w:szCs w:val="18"/>
                <w:color w:val="auto"/>
                <w:w w:val="91"/>
              </w:rPr>
              <w:t>Six months ended June 30,</w:t>
            </w:r>
          </w:p>
        </w:tc>
      </w:tr>
      <w:tr>
        <w:trPr>
          <w:trHeight w:val="223"/>
        </w:trPr>
        <w:tc>
          <w:tcPr>
            <w:tcW w:w="86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c>
          <w:tcPr>
            <w:tcW w:w="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80" w:type="dxa"/>
            <w:vAlign w:val="bottom"/>
            <w:gridSpan w:val="6"/>
          </w:tcPr>
          <w:p>
            <w:pPr>
              <w:jc w:val="right"/>
              <w:ind w:right="360"/>
              <w:spacing w:after="0"/>
              <w:rPr>
                <w:sz w:val="20"/>
                <w:szCs w:val="20"/>
                <w:color w:val="auto"/>
              </w:rPr>
            </w:pPr>
            <w:r>
              <w:rPr>
                <w:rFonts w:ascii="Arial" w:cs="Arial" w:eastAsia="Arial" w:hAnsi="Arial"/>
                <w:sz w:val="18"/>
                <w:szCs w:val="18"/>
                <w:color w:val="auto"/>
                <w:w w:val="93"/>
              </w:rPr>
              <w:t>(Unaudited - In thousands)</w:t>
            </w:r>
          </w:p>
        </w:tc>
      </w:tr>
      <w:tr>
        <w:trPr>
          <w:trHeight w:val="223"/>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34,425</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19,582</w:t>
            </w:r>
          </w:p>
        </w:tc>
      </w:tr>
      <w:tr>
        <w:trPr>
          <w:trHeight w:val="216"/>
        </w:trPr>
        <w:tc>
          <w:tcPr>
            <w:tcW w:w="86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Adjustments to Reconcile Net Income to Net Cash From Operating Activities</w:t>
            </w: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from sales of loans held for sale</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708,526</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637,682</w:t>
            </w: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color w:val="auto"/>
              </w:rPr>
              <w:t>Disbursements for loans held for sale</w:t>
            </w:r>
          </w:p>
        </w:tc>
        <w:tc>
          <w:tcPr>
            <w:tcW w:w="180" w:type="dxa"/>
            <w:vAlign w:val="bottom"/>
          </w:tcPr>
          <w:p>
            <w:pPr>
              <w:spacing w:after="0"/>
              <w:rPr>
                <w:sz w:val="18"/>
                <w:szCs w:val="18"/>
                <w:color w:val="auto"/>
              </w:rPr>
            </w:pPr>
          </w:p>
        </w:tc>
        <w:tc>
          <w:tcPr>
            <w:tcW w:w="1160" w:type="dxa"/>
            <w:vAlign w:val="bottom"/>
            <w:gridSpan w:val="3"/>
          </w:tcPr>
          <w:p>
            <w:pPr>
              <w:jc w:val="right"/>
              <w:ind w:right="160"/>
              <w:spacing w:after="0"/>
              <w:rPr>
                <w:sz w:val="20"/>
                <w:szCs w:val="20"/>
                <w:color w:val="auto"/>
              </w:rPr>
            </w:pPr>
            <w:r>
              <w:rPr>
                <w:rFonts w:ascii="Arial" w:cs="Arial" w:eastAsia="Arial" w:hAnsi="Arial"/>
                <w:sz w:val="18"/>
                <w:szCs w:val="18"/>
                <w:color w:val="auto"/>
              </w:rPr>
              <w:t>(653,925)</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(625,106)</w:t>
            </w: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Provision for credit losses (1)</w:t>
            </w:r>
          </w:p>
        </w:tc>
        <w:tc>
          <w:tcPr>
            <w:tcW w:w="1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(1,899)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11,909</w:t>
            </w: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color w:val="auto"/>
              </w:rPr>
              <w:t>Deferred income tax benefit</w:t>
            </w:r>
          </w:p>
        </w:tc>
        <w:tc>
          <w:tcPr>
            <w:tcW w:w="180" w:type="dxa"/>
            <w:vAlign w:val="bottom"/>
          </w:tcPr>
          <w:p>
            <w:pPr>
              <w:spacing w:after="0"/>
              <w:rPr>
                <w:sz w:val="18"/>
                <w:szCs w:val="18"/>
                <w:color w:val="auto"/>
              </w:rPr>
            </w:pPr>
          </w:p>
        </w:tc>
        <w:tc>
          <w:tcPr>
            <w:tcW w:w="1160" w:type="dxa"/>
            <w:vAlign w:val="bottom"/>
            <w:gridSpan w:val="3"/>
          </w:tcPr>
          <w:p>
            <w:pPr>
              <w:jc w:val="right"/>
              <w:ind w:right="160"/>
              <w:spacing w:after="0"/>
              <w:rPr>
                <w:sz w:val="20"/>
                <w:szCs w:val="20"/>
                <w:color w:val="auto"/>
              </w:rPr>
            </w:pPr>
            <w:r>
              <w:rPr>
                <w:rFonts w:ascii="Arial" w:cs="Arial" w:eastAsia="Arial" w:hAnsi="Arial"/>
                <w:sz w:val="18"/>
                <w:szCs w:val="18"/>
                <w:color w:val="auto"/>
              </w:rPr>
              <w:t>(251)</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(2,427)</w:t>
            </w: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deferred loan fees (costs)</w:t>
            </w:r>
          </w:p>
        </w:tc>
        <w:tc>
          <w:tcPr>
            <w:tcW w:w="1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(345)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7,433</w:t>
            </w: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color w:val="auto"/>
                <w:w w:val="92"/>
              </w:rPr>
              <w:t>Net depreciation, amortization of intangible assets and premiums and accretion of discounts on securities, and loans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6,279</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4,124</w:t>
            </w: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gains on mortgage loans</w:t>
            </w:r>
          </w:p>
        </w:tc>
        <w:tc>
          <w:tcPr>
            <w:tcW w:w="1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(21,919)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(26,482)</w:t>
            </w: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color w:val="auto"/>
              </w:rPr>
              <w:t>Net gains on securities available for sale</w:t>
            </w:r>
          </w:p>
        </w:tc>
        <w:tc>
          <w:tcPr>
            <w:tcW w:w="180" w:type="dxa"/>
            <w:vAlign w:val="bottom"/>
          </w:tcPr>
          <w:p>
            <w:pPr>
              <w:spacing w:after="0"/>
              <w:rPr>
                <w:sz w:val="18"/>
                <w:szCs w:val="18"/>
                <w:color w:val="auto"/>
              </w:rPr>
            </w:pPr>
          </w:p>
        </w:tc>
        <w:tc>
          <w:tcPr>
            <w:tcW w:w="1160" w:type="dxa"/>
            <w:vAlign w:val="bottom"/>
            <w:gridSpan w:val="3"/>
          </w:tcPr>
          <w:p>
            <w:pPr>
              <w:jc w:val="right"/>
              <w:ind w:right="160"/>
              <w:spacing w:after="0"/>
              <w:rPr>
                <w:sz w:val="20"/>
                <w:szCs w:val="20"/>
                <w:color w:val="auto"/>
              </w:rPr>
            </w:pPr>
            <w:r>
              <w:rPr>
                <w:rFonts w:ascii="Arial" w:cs="Arial" w:eastAsia="Arial" w:hAnsi="Arial"/>
                <w:sz w:val="18"/>
                <w:szCs w:val="18"/>
                <w:color w:val="auto"/>
              </w:rPr>
              <w:t>(1,416)</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(253)</w:t>
            </w: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Share based compensation</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947</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1,009</w:t>
            </w: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color w:val="auto"/>
              </w:rPr>
              <w:t>(Increase) decrease in accrued income and other assets</w:t>
            </w:r>
          </w:p>
        </w:tc>
        <w:tc>
          <w:tcPr>
            <w:tcW w:w="180" w:type="dxa"/>
            <w:vAlign w:val="bottom"/>
          </w:tcPr>
          <w:p>
            <w:pPr>
              <w:spacing w:after="0"/>
              <w:rPr>
                <w:sz w:val="18"/>
                <w:szCs w:val="18"/>
                <w:color w:val="auto"/>
              </w:rPr>
            </w:pPr>
          </w:p>
        </w:tc>
        <w:tc>
          <w:tcPr>
            <w:tcW w:w="1160" w:type="dxa"/>
            <w:vAlign w:val="bottom"/>
            <w:gridSpan w:val="3"/>
          </w:tcPr>
          <w:p>
            <w:pPr>
              <w:jc w:val="right"/>
              <w:ind w:right="160"/>
              <w:spacing w:after="0"/>
              <w:rPr>
                <w:sz w:val="20"/>
                <w:szCs w:val="20"/>
                <w:color w:val="auto"/>
              </w:rPr>
            </w:pPr>
            <w:r>
              <w:rPr>
                <w:rFonts w:ascii="Arial" w:cs="Arial" w:eastAsia="Arial" w:hAnsi="Arial"/>
                <w:sz w:val="18"/>
                <w:szCs w:val="18"/>
                <w:color w:val="auto"/>
              </w:rPr>
              <w:t>(9,205)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3,596</w:t>
            </w:r>
          </w:p>
        </w:tc>
      </w:tr>
      <w:tr>
        <w:trPr>
          <w:trHeight w:val="223"/>
        </w:trPr>
        <w:tc>
          <w:tcPr>
            <w:tcW w:w="86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Increase in accrued expenses and other liabilities</w:t>
            </w: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5,381</w:t>
            </w: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12,886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8680" w:type="dxa"/>
            <w:vAlign w:val="bottom"/>
          </w:tcPr>
          <w:p>
            <w:pPr>
              <w:jc w:val="right"/>
              <w:ind w:right="30"/>
              <w:spacing w:after="0"/>
              <w:rPr>
                <w:sz w:val="20"/>
                <w:szCs w:val="20"/>
                <w:color w:val="auto"/>
              </w:rPr>
            </w:pPr>
            <w:r>
              <w:rPr>
                <w:rFonts w:ascii="Arial" w:cs="Arial" w:eastAsia="Arial" w:hAnsi="Arial"/>
                <w:sz w:val="18"/>
                <w:szCs w:val="18"/>
                <w:color w:val="auto"/>
              </w:rPr>
              <w:t>Total Adjustments</w:t>
            </w:r>
          </w:p>
        </w:tc>
        <w:tc>
          <w:tcPr>
            <w:tcW w:w="18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32,173</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24,371</w:t>
            </w:r>
          </w:p>
        </w:tc>
      </w:tr>
      <w:tr>
        <w:trPr>
          <w:trHeight w:val="223"/>
        </w:trPr>
        <w:tc>
          <w:tcPr>
            <w:tcW w:w="8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Net Cash From Operating Activities</w:t>
            </w:r>
          </w:p>
        </w:tc>
        <w:tc>
          <w:tcPr>
            <w:tcW w:w="18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66,598</w:t>
            </w:r>
          </w:p>
        </w:tc>
        <w:tc>
          <w:tcPr>
            <w:tcW w:w="200" w:type="dxa"/>
            <w:vAlign w:val="bottom"/>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43,953</w:t>
            </w:r>
          </w:p>
        </w:tc>
        <w:tc>
          <w:tcPr>
            <w:tcW w:w="100" w:type="dxa"/>
            <w:vAlign w:val="bottom"/>
            <w:shd w:val="clear" w:color="auto" w:fill="CCEEFF"/>
          </w:tcPr>
          <w:p>
            <w:pPr>
              <w:spacing w:after="0"/>
              <w:rPr>
                <w:sz w:val="19"/>
                <w:szCs w:val="19"/>
                <w:color w:val="auto"/>
              </w:rPr>
            </w:pPr>
          </w:p>
        </w:tc>
      </w:tr>
      <w:tr>
        <w:trPr>
          <w:trHeight w:val="216"/>
        </w:trPr>
        <w:tc>
          <w:tcPr>
            <w:tcW w:w="86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Cash Flow Used in Investing Activities</w:t>
            </w: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from the sale of securities available for sale</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81,178</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36,593</w:t>
            </w: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color w:val="auto"/>
              </w:rPr>
              <w:t>Proceeds from maturities, prepayments and calls of securities available for sale</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222,767</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111,349</w:t>
            </w: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Purchases of securities available for sale</w:t>
            </w:r>
          </w:p>
        </w:tc>
        <w:tc>
          <w:tcPr>
            <w:tcW w:w="1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(546,621)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(447,645)</w:t>
            </w: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color w:val="auto"/>
              </w:rPr>
              <w:t>Proceeds from the maturity of interest bearing deposits - time</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350</w:t>
            </w: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Purchase of Federal Home Loan Bank stock</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w:t>
            </w: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color w:val="auto"/>
              </w:rPr>
              <w:t>Net increase in portfolio loans (loans originated, net of principal payments)</w:t>
            </w:r>
          </w:p>
        </w:tc>
        <w:tc>
          <w:tcPr>
            <w:tcW w:w="180" w:type="dxa"/>
            <w:vAlign w:val="bottom"/>
          </w:tcPr>
          <w:p>
            <w:pPr>
              <w:spacing w:after="0"/>
              <w:rPr>
                <w:sz w:val="18"/>
                <w:szCs w:val="18"/>
                <w:color w:val="auto"/>
              </w:rPr>
            </w:pPr>
          </w:p>
        </w:tc>
        <w:tc>
          <w:tcPr>
            <w:tcW w:w="1160" w:type="dxa"/>
            <w:vAlign w:val="bottom"/>
            <w:gridSpan w:val="3"/>
          </w:tcPr>
          <w:p>
            <w:pPr>
              <w:jc w:val="right"/>
              <w:ind w:right="160"/>
              <w:spacing w:after="0"/>
              <w:rPr>
                <w:sz w:val="20"/>
                <w:szCs w:val="20"/>
                <w:color w:val="auto"/>
              </w:rPr>
            </w:pPr>
            <w:r>
              <w:rPr>
                <w:rFonts w:ascii="Arial" w:cs="Arial" w:eastAsia="Arial" w:hAnsi="Arial"/>
                <w:sz w:val="18"/>
                <w:szCs w:val="18"/>
                <w:color w:val="auto"/>
              </w:rPr>
              <w:t>(79,241)</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(181,765)</w:t>
            </w: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from the sale of portfolio loans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2,395</w:t>
            </w: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color w:val="auto"/>
              </w:rPr>
              <w:t>Proceeds from bank-owned life insurance</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945</w:t>
            </w: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from the sale of other real estate and repossessed assets</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854</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w:t>
            </w:r>
          </w:p>
        </w:tc>
      </w:tr>
      <w:tr>
        <w:trPr>
          <w:trHeight w:val="223"/>
        </w:trPr>
        <w:tc>
          <w:tcPr>
            <w:tcW w:w="8680" w:type="dxa"/>
            <w:vAlign w:val="bottom"/>
          </w:tcPr>
          <w:p>
            <w:pPr>
              <w:ind w:left="140"/>
              <w:spacing w:after="0"/>
              <w:rPr>
                <w:sz w:val="20"/>
                <w:szCs w:val="20"/>
                <w:color w:val="auto"/>
              </w:rPr>
            </w:pPr>
            <w:r>
              <w:rPr>
                <w:rFonts w:ascii="Arial" w:cs="Arial" w:eastAsia="Arial" w:hAnsi="Arial"/>
                <w:sz w:val="18"/>
                <w:szCs w:val="18"/>
                <w:color w:val="auto"/>
              </w:rPr>
              <w:t>Capital expenditures</w:t>
            </w:r>
          </w:p>
        </w:tc>
        <w:tc>
          <w:tcPr>
            <w:tcW w:w="180" w:type="dxa"/>
            <w:vAlign w:val="bottom"/>
          </w:tcPr>
          <w:p>
            <w:pPr>
              <w:spacing w:after="0"/>
              <w:rPr>
                <w:sz w:val="19"/>
                <w:szCs w:val="19"/>
                <w:color w:val="auto"/>
              </w:rPr>
            </w:pPr>
          </w:p>
        </w:tc>
        <w:tc>
          <w:tcPr>
            <w:tcW w:w="1160" w:type="dxa"/>
            <w:vAlign w:val="bottom"/>
            <w:gridSpan w:val="3"/>
          </w:tcPr>
          <w:p>
            <w:pPr>
              <w:jc w:val="right"/>
              <w:ind w:right="160"/>
              <w:spacing w:after="0"/>
              <w:rPr>
                <w:sz w:val="20"/>
                <w:szCs w:val="20"/>
                <w:color w:val="auto"/>
              </w:rPr>
            </w:pPr>
            <w:r>
              <w:rPr>
                <w:rFonts w:ascii="Arial" w:cs="Arial" w:eastAsia="Arial" w:hAnsi="Arial"/>
                <w:sz w:val="18"/>
                <w:szCs w:val="18"/>
                <w:color w:val="auto"/>
              </w:rPr>
              <w:t>(3,081)</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(1,653)</w:t>
            </w:r>
          </w:p>
        </w:tc>
      </w:tr>
      <w:tr>
        <w:trPr>
          <w:trHeight w:val="223"/>
        </w:trPr>
        <w:tc>
          <w:tcPr>
            <w:tcW w:w="8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Net Cash Used in Investing Activities</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(324,144)</w:t>
            </w:r>
          </w:p>
        </w:tc>
        <w:tc>
          <w:tcPr>
            <w:tcW w:w="220" w:type="dxa"/>
            <w:vAlign w:val="bottom"/>
            <w:tcBorders>
              <w:bottom w:val="single" w:sz="8" w:color="CCEEFF"/>
            </w:tcBorders>
            <w:gridSpan w:val="2"/>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(479,237)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Cash Flow From Financing Activities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increase in total deposits</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225,111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448,398</w:t>
            </w: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color w:val="auto"/>
              </w:rPr>
              <w:t>Net decrease in other borrowings</w:t>
            </w:r>
          </w:p>
        </w:tc>
        <w:tc>
          <w:tcPr>
            <w:tcW w:w="180" w:type="dxa"/>
            <w:vAlign w:val="bottom"/>
          </w:tcPr>
          <w:p>
            <w:pPr>
              <w:spacing w:after="0"/>
              <w:rPr>
                <w:sz w:val="18"/>
                <w:szCs w:val="18"/>
                <w:color w:val="auto"/>
              </w:rPr>
            </w:pPr>
          </w:p>
        </w:tc>
        <w:tc>
          <w:tcPr>
            <w:tcW w:w="1160" w:type="dxa"/>
            <w:vAlign w:val="bottom"/>
            <w:gridSpan w:val="3"/>
          </w:tcPr>
          <w:p>
            <w:pPr>
              <w:jc w:val="right"/>
              <w:ind w:right="160"/>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(25,004)</w:t>
            </w: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from Federal Home Loan Bank Advances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239,254</w:t>
            </w: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color w:val="auto"/>
              </w:rPr>
              <w:t>Payments of Federal Home Loan Bank Advances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(252,910)</w:t>
            </w: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from issuance of subordinated debt, net of issuance costs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39,277</w:t>
            </w: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color w:val="auto"/>
              </w:rPr>
              <w:t>Dividends paid</w:t>
            </w:r>
          </w:p>
        </w:tc>
        <w:tc>
          <w:tcPr>
            <w:tcW w:w="180" w:type="dxa"/>
            <w:vAlign w:val="bottom"/>
          </w:tcPr>
          <w:p>
            <w:pPr>
              <w:spacing w:after="0"/>
              <w:rPr>
                <w:sz w:val="18"/>
                <w:szCs w:val="18"/>
                <w:color w:val="auto"/>
              </w:rPr>
            </w:pPr>
          </w:p>
        </w:tc>
        <w:tc>
          <w:tcPr>
            <w:tcW w:w="1160" w:type="dxa"/>
            <w:vAlign w:val="bottom"/>
            <w:gridSpan w:val="3"/>
          </w:tcPr>
          <w:p>
            <w:pPr>
              <w:jc w:val="right"/>
              <w:ind w:right="160"/>
              <w:spacing w:after="0"/>
              <w:rPr>
                <w:sz w:val="20"/>
                <w:szCs w:val="20"/>
                <w:color w:val="auto"/>
              </w:rPr>
            </w:pPr>
            <w:r>
              <w:rPr>
                <w:rFonts w:ascii="Arial" w:cs="Arial" w:eastAsia="Arial" w:hAnsi="Arial"/>
                <w:sz w:val="18"/>
                <w:szCs w:val="18"/>
                <w:color w:val="auto"/>
              </w:rPr>
              <w:t>(9,166)</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(8,855)</w:t>
            </w: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from issuance of common stock</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color w:val="auto"/>
              </w:rPr>
              <w:t>Repurchase of common stock</w:t>
            </w:r>
          </w:p>
        </w:tc>
        <w:tc>
          <w:tcPr>
            <w:tcW w:w="180" w:type="dxa"/>
            <w:vAlign w:val="bottom"/>
          </w:tcPr>
          <w:p>
            <w:pPr>
              <w:spacing w:after="0"/>
              <w:rPr>
                <w:sz w:val="18"/>
                <w:szCs w:val="18"/>
                <w:color w:val="auto"/>
              </w:rPr>
            </w:pPr>
          </w:p>
        </w:tc>
        <w:tc>
          <w:tcPr>
            <w:tcW w:w="1160" w:type="dxa"/>
            <w:vAlign w:val="bottom"/>
            <w:gridSpan w:val="3"/>
          </w:tcPr>
          <w:p>
            <w:pPr>
              <w:jc w:val="right"/>
              <w:ind w:right="160"/>
              <w:spacing w:after="0"/>
              <w:rPr>
                <w:sz w:val="20"/>
                <w:szCs w:val="20"/>
                <w:color w:val="auto"/>
              </w:rPr>
            </w:pPr>
            <w:r>
              <w:rPr>
                <w:rFonts w:ascii="Arial" w:cs="Arial" w:eastAsia="Arial" w:hAnsi="Arial"/>
                <w:sz w:val="18"/>
                <w:szCs w:val="18"/>
                <w:color w:val="auto"/>
              </w:rPr>
              <w:t>(7,285)</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(13,784)</w:t>
            </w:r>
          </w:p>
        </w:tc>
      </w:tr>
      <w:tr>
        <w:trPr>
          <w:trHeight w:val="223"/>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Share based compensation withholding obligation</w:t>
            </w:r>
          </w:p>
        </w:tc>
        <w:tc>
          <w:tcPr>
            <w:tcW w:w="18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(607)</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(591)</w:t>
            </w:r>
          </w:p>
        </w:tc>
      </w:tr>
      <w:tr>
        <w:trPr>
          <w:trHeight w:val="223"/>
        </w:trPr>
        <w:tc>
          <w:tcPr>
            <w:tcW w:w="868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rPr>
              <w:t>Net Cash From Financing Activities</w:t>
            </w: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208,095</w:t>
            </w:r>
          </w:p>
        </w:tc>
        <w:tc>
          <w:tcPr>
            <w:tcW w:w="2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425,796</w:t>
            </w:r>
          </w:p>
        </w:tc>
        <w:tc>
          <w:tcPr>
            <w:tcW w:w="100" w:type="dxa"/>
            <w:vAlign w:val="bottom"/>
            <w:tcBorders>
              <w:top w:val="single" w:sz="8" w:color="CCEEFF"/>
            </w:tcBorders>
          </w:tcPr>
          <w:p>
            <w:pPr>
              <w:spacing w:after="0"/>
              <w:rPr>
                <w:sz w:val="19"/>
                <w:szCs w:val="19"/>
                <w:color w:val="auto"/>
              </w:rPr>
            </w:pPr>
          </w:p>
        </w:tc>
      </w:tr>
      <w:tr>
        <w:trPr>
          <w:trHeight w:val="216"/>
        </w:trPr>
        <w:tc>
          <w:tcPr>
            <w:tcW w:w="8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Net Decrease in Cash and Cash Equivalents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(49,451)</w:t>
            </w:r>
          </w:p>
        </w:tc>
        <w:tc>
          <w:tcPr>
            <w:tcW w:w="22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(9,488)</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8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118,705</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65,304</w:t>
            </w:r>
          </w:p>
        </w:tc>
      </w:tr>
      <w:tr>
        <w:trPr>
          <w:trHeight w:val="256"/>
        </w:trPr>
        <w:tc>
          <w:tcPr>
            <w:tcW w:w="8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Cash and Cash Equivalents at End of Period</w:t>
            </w: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69,254</w:t>
            </w:r>
          </w:p>
        </w:tc>
        <w:tc>
          <w:tcPr>
            <w:tcW w:w="200" w:type="dxa"/>
            <w:vAlign w:val="bottom"/>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55,816</w:t>
            </w:r>
          </w:p>
        </w:tc>
        <w:tc>
          <w:tcPr>
            <w:tcW w:w="100" w:type="dxa"/>
            <w:vAlign w:val="bottom"/>
            <w:shd w:val="clear" w:color="auto" w:fill="CCEEFF"/>
          </w:tcPr>
          <w:p>
            <w:pPr>
              <w:spacing w:after="0"/>
              <w:rPr>
                <w:sz w:val="22"/>
                <w:szCs w:val="22"/>
                <w:color w:val="auto"/>
              </w:rPr>
            </w:pPr>
          </w:p>
        </w:tc>
      </w:tr>
      <w:tr>
        <w:trPr>
          <w:trHeight w:val="210"/>
        </w:trPr>
        <w:tc>
          <w:tcPr>
            <w:tcW w:w="86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Cash paid during the period for</w:t>
            </w: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4,393</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9,126</w:t>
            </w: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color w:val="auto"/>
              </w:rPr>
              <w:t>Income taxes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8,659</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leases</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867</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936</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Transfers to other real estate and repossessed assets</w:t>
            </w:r>
          </w:p>
        </w:tc>
        <w:tc>
          <w:tcPr>
            <w:tcW w:w="1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210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66</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Purchase of securities available for sale not yet settled</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23,825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2,450</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Securitization of portfolio loans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26,325</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Right of use assets obtained in exchange for lease obligations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w:t>
            </w:r>
          </w:p>
        </w:tc>
      </w:tr>
    </w:tbl>
    <w:p>
      <w:pPr>
        <w:spacing w:after="0" w:line="229" w:lineRule="exact"/>
        <w:rPr>
          <w:sz w:val="20"/>
          <w:szCs w:val="20"/>
          <w:color w:val="auto"/>
        </w:rPr>
      </w:pPr>
    </w:p>
    <w:p>
      <w:pPr>
        <w:ind w:left="340" w:right="140" w:hanging="332"/>
        <w:spacing w:after="0" w:line="277"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Beginning January 1, 2021, calculation is based on CECL methodology. Prior to January 1, 2021, calculation was based on the probable incurred loss methodology.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See notes to interim condensed consolidated financial statements (Unaudited)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 w:name="page8"/>
    <w:bookmarkEnd w:id="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INDEPENDENT BANK CORPORATION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Condensed Consolidated Statements of Shareholders’ Equity</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color w:val="auto"/>
                <w:w w:val="92"/>
              </w:rPr>
              <w:t>Accumulated</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center"/>
              <w:ind w:right="440"/>
              <w:spacing w:after="0"/>
              <w:rPr>
                <w:sz w:val="20"/>
                <w:szCs w:val="20"/>
                <w:color w:val="auto"/>
              </w:rPr>
            </w:pPr>
            <w:r>
              <w:rPr>
                <w:rFonts w:ascii="Arial" w:cs="Arial" w:eastAsia="Arial" w:hAnsi="Arial"/>
                <w:sz w:val="18"/>
                <w:szCs w:val="18"/>
                <w:color w:val="auto"/>
                <w:w w:val="93"/>
              </w:rPr>
              <w:t>Other</w:t>
            </w:r>
          </w:p>
        </w:tc>
        <w:tc>
          <w:tcPr>
            <w:tcW w:w="300" w:type="dxa"/>
            <w:vAlign w:val="bottom"/>
          </w:tcPr>
          <w:p>
            <w:pPr>
              <w:spacing w:after="0"/>
              <w:rPr>
                <w:sz w:val="18"/>
                <w:szCs w:val="18"/>
                <w:color w:val="auto"/>
              </w:rPr>
            </w:pPr>
          </w:p>
        </w:tc>
        <w:tc>
          <w:tcPr>
            <w:tcW w:w="920" w:type="dxa"/>
            <w:vAlign w:val="bottom"/>
            <w:gridSpan w:val="2"/>
          </w:tcPr>
          <w:p>
            <w:pPr>
              <w:jc w:val="center"/>
              <w:ind w:right="400"/>
              <w:spacing w:after="0"/>
              <w:rPr>
                <w:sz w:val="20"/>
                <w:szCs w:val="20"/>
                <w:color w:val="auto"/>
              </w:rPr>
            </w:pPr>
            <w:r>
              <w:rPr>
                <w:rFonts w:ascii="Arial" w:cs="Arial" w:eastAsia="Arial" w:hAnsi="Arial"/>
                <w:sz w:val="18"/>
                <w:szCs w:val="18"/>
                <w:color w:val="auto"/>
                <w:w w:val="89"/>
              </w:rPr>
              <w:t>Total</w:t>
            </w:r>
          </w:p>
        </w:tc>
      </w:t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w w:val="98"/>
              </w:rPr>
              <w:t>Common</w:t>
            </w:r>
          </w:p>
        </w:tc>
        <w:tc>
          <w:tcPr>
            <w:tcW w:w="16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w w:val="97"/>
              </w:rPr>
              <w:t>Retained</w:t>
            </w:r>
          </w:p>
        </w:tc>
        <w:tc>
          <w:tcPr>
            <w:tcW w:w="1340" w:type="dxa"/>
            <w:vAlign w:val="bottom"/>
            <w:gridSpan w:val="3"/>
          </w:tcPr>
          <w:p>
            <w:pPr>
              <w:spacing w:after="0"/>
              <w:rPr>
                <w:sz w:val="20"/>
                <w:szCs w:val="20"/>
                <w:color w:val="auto"/>
              </w:rPr>
            </w:pPr>
            <w:r>
              <w:rPr>
                <w:rFonts w:ascii="Arial" w:cs="Arial" w:eastAsia="Arial" w:hAnsi="Arial"/>
                <w:sz w:val="18"/>
                <w:szCs w:val="18"/>
                <w:color w:val="auto"/>
              </w:rPr>
              <w:t>Comprehensive</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color w:val="auto"/>
                <w:w w:val="90"/>
              </w:rPr>
              <w:t>Shareholders’</w:t>
            </w:r>
          </w:p>
        </w:tc>
      </w:tr>
      <w:tr>
        <w:trPr>
          <w:trHeight w:val="237"/>
        </w:trPr>
        <w:tc>
          <w:tcPr>
            <w:tcW w:w="59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Stock</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8"/>
              </w:rPr>
              <w:t>Earnings</w:t>
            </w:r>
          </w:p>
        </w:tc>
        <w:tc>
          <w:tcPr>
            <w:tcW w:w="200" w:type="dxa"/>
            <w:vAlign w:val="bottom"/>
          </w:tcPr>
          <w:p>
            <w:pPr>
              <w:spacing w:after="0"/>
              <w:rPr>
                <w:sz w:val="20"/>
                <w:szCs w:val="20"/>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2"/>
              </w:rPr>
              <w:t>Income (Loss)</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color w:val="auto"/>
                <w:w w:val="95"/>
              </w:rPr>
              <w:t>Equity</w:t>
            </w:r>
          </w:p>
        </w:tc>
        <w:tc>
          <w:tcPr>
            <w:tcW w:w="100" w:type="dxa"/>
            <w:vAlign w:val="bottom"/>
          </w:tcPr>
          <w:p>
            <w:pPr>
              <w:spacing w:after="0"/>
              <w:rPr>
                <w:sz w:val="20"/>
                <w:szCs w:val="20"/>
                <w:color w:val="auto"/>
              </w:rPr>
            </w:pPr>
          </w:p>
        </w:tc>
      </w:t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180" w:type="dxa"/>
            <w:vAlign w:val="bottom"/>
            <w:gridSpan w:val="9"/>
          </w:tcPr>
          <w:p>
            <w:pPr>
              <w:jc w:val="right"/>
              <w:spacing w:after="0"/>
              <w:rPr>
                <w:sz w:val="20"/>
                <w:szCs w:val="20"/>
                <w:color w:val="auto"/>
              </w:rPr>
            </w:pPr>
            <w:r>
              <w:rPr>
                <w:rFonts w:ascii="Arial" w:cs="Arial" w:eastAsia="Arial" w:hAnsi="Arial"/>
                <w:sz w:val="18"/>
                <w:szCs w:val="18"/>
                <w:color w:val="auto"/>
              </w:rPr>
              <w:t>(Dollars in thousands, except per share amounts)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Balances at April 1, 2021</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335,704</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47,287</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4,338</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387,329</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Net income, three months ended June 30, 2021</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12,388</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12,388</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$0.21 per share</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(4,574)</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(4,574)</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Repurchase of 163,338 shares of common stock</w:t>
            </w:r>
          </w:p>
        </w:tc>
        <w:tc>
          <w:tcPr>
            <w:tcW w:w="16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(3,684)</w:t>
            </w:r>
          </w:p>
        </w:tc>
        <w:tc>
          <w:tcPr>
            <w:tcW w:w="1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(3,684)</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Issuance of 18,400 shares of common stock</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Share based compensation (issuance of 8,871 shares of common stock)</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505</w:t>
            </w:r>
          </w:p>
        </w:tc>
        <w:tc>
          <w:tcPr>
            <w:tcW w:w="1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505</w:t>
            </w:r>
          </w:p>
        </w:tc>
      </w:tr>
      <w:tr>
        <w:trPr>
          <w:trHeight w:val="202"/>
        </w:trPr>
        <w:tc>
          <w:tcPr>
            <w:tcW w:w="5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Share based compensation withholding obligation (withholding of 4,755 shares</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of common stock)</w:t>
            </w:r>
          </w:p>
        </w:tc>
        <w:tc>
          <w:tcPr>
            <w:tcW w:w="16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(98)</w:t>
            </w:r>
          </w:p>
        </w:tc>
        <w:tc>
          <w:tcPr>
            <w:tcW w:w="160" w:type="dxa"/>
            <w:vAlign w:val="bottom"/>
            <w:shd w:val="clear" w:color="auto" w:fill="CCEEFF"/>
          </w:tcPr>
          <w:p>
            <w:pPr>
              <w:spacing w:after="0"/>
              <w:rPr>
                <w:sz w:val="20"/>
                <w:szCs w:val="20"/>
                <w:color w:val="auto"/>
              </w:rPr>
            </w:pPr>
          </w:p>
        </w:tc>
        <w:tc>
          <w:tcPr>
            <w:tcW w:w="11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w:t>
            </w: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4,078</w:t>
            </w:r>
          </w:p>
        </w:tc>
        <w:tc>
          <w:tcPr>
            <w:tcW w:w="3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4,078</w:t>
            </w:r>
          </w:p>
        </w:tc>
      </w:tr>
      <w:tr>
        <w:trPr>
          <w:trHeight w:val="257"/>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Balances at June 30, 2021</w:t>
            </w: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332,457</w:t>
            </w:r>
          </w:p>
        </w:tc>
        <w:tc>
          <w:tcPr>
            <w:tcW w:w="2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55,101</w:t>
            </w:r>
          </w:p>
        </w:tc>
        <w:tc>
          <w:tcPr>
            <w:tcW w:w="200" w:type="dxa"/>
            <w:vAlign w:val="bottom"/>
            <w:tcBorders>
              <w:bottom w:val="single" w:sz="8" w:color="CCEEFF"/>
              <w:right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8,416</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395,974</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Balances at April 1, 2020</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338,528</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1,944</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(4,854)</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335,618</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Net income, three months ended June 30, 2020</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14,772</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14,772</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$0.20 per share</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(4,378)</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(4,378)</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Issuance of 350 shares of common stock</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Share based compensation (issuance of zero shares of common stock)</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462</w:t>
            </w:r>
          </w:p>
        </w:tc>
        <w:tc>
          <w:tcPr>
            <w:tcW w:w="16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462</w:t>
            </w:r>
          </w:p>
        </w:tc>
      </w:tr>
      <w:tr>
        <w:trPr>
          <w:trHeight w:val="202"/>
        </w:trPr>
        <w:tc>
          <w:tcPr>
            <w:tcW w:w="5980" w:type="dxa"/>
            <w:vAlign w:val="bottom"/>
          </w:tcPr>
          <w:p>
            <w:pPr>
              <w:spacing w:after="0" w:line="201" w:lineRule="exact"/>
              <w:rPr>
                <w:sz w:val="20"/>
                <w:szCs w:val="20"/>
                <w:color w:val="auto"/>
              </w:rPr>
            </w:pPr>
            <w:r>
              <w:rPr>
                <w:rFonts w:ascii="Arial" w:cs="Arial" w:eastAsia="Arial" w:hAnsi="Arial"/>
                <w:sz w:val="18"/>
                <w:szCs w:val="18"/>
                <w:color w:val="auto"/>
                <w:w w:val="94"/>
              </w:rPr>
              <w:t>Share based compensation withholding obligation (withholding of 156 shares of</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5980" w:type="dxa"/>
            <w:vAlign w:val="bottom"/>
          </w:tcPr>
          <w:p>
            <w:pPr>
              <w:ind w:left="140"/>
              <w:spacing w:after="0"/>
              <w:rPr>
                <w:sz w:val="20"/>
                <w:szCs w:val="20"/>
                <w:color w:val="auto"/>
              </w:rPr>
            </w:pPr>
            <w:r>
              <w:rPr>
                <w:rFonts w:ascii="Arial" w:cs="Arial" w:eastAsia="Arial" w:hAnsi="Arial"/>
                <w:sz w:val="18"/>
                <w:szCs w:val="18"/>
                <w:color w:val="auto"/>
              </w:rPr>
              <w:t>common stock)</w:t>
            </w:r>
          </w:p>
        </w:tc>
        <w:tc>
          <w:tcPr>
            <w:tcW w:w="16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8,650</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8,650</w:t>
            </w:r>
          </w:p>
        </w:tc>
      </w:tr>
      <w:tr>
        <w:trPr>
          <w:trHeight w:val="27"/>
        </w:trPr>
        <w:tc>
          <w:tcPr>
            <w:tcW w:w="59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Balances at June 30, 2020</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338,989</w:t>
            </w:r>
          </w:p>
        </w:tc>
        <w:tc>
          <w:tcPr>
            <w:tcW w:w="260" w:type="dxa"/>
            <w:vAlign w:val="bottom"/>
          </w:tcPr>
          <w:p>
            <w:pPr>
              <w:spacing w:after="0"/>
              <w:rPr>
                <w:sz w:val="18"/>
                <w:szCs w:val="18"/>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12,338</w:t>
            </w:r>
          </w:p>
        </w:tc>
        <w:tc>
          <w:tcPr>
            <w:tcW w:w="20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3,796</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355,123</w:t>
            </w:r>
          </w:p>
        </w:tc>
      </w:tr>
      <w:tr>
        <w:trPr>
          <w:trHeight w:val="20"/>
        </w:trPr>
        <w:tc>
          <w:tcPr>
            <w:tcW w:w="5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Balances at January 1, 2021</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339,353</w:t>
            </w:r>
          </w:p>
        </w:tc>
        <w:tc>
          <w:tcPr>
            <w:tcW w:w="260" w:type="dxa"/>
            <w:vAlign w:val="bottom"/>
          </w:tcPr>
          <w:p>
            <w:pPr>
              <w:spacing w:after="0"/>
              <w:rPr>
                <w:sz w:val="18"/>
                <w:szCs w:val="18"/>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40,145</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10,024</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389,522</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Adoption of ASU 2016-13</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(10,303)</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(10,303)</w:t>
            </w:r>
          </w:p>
        </w:tc>
      </w:tr>
      <w:tr>
        <w:trPr>
          <w:trHeight w:val="27"/>
        </w:trPr>
        <w:tc>
          <w:tcPr>
            <w:tcW w:w="59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Balances at January 1, 2021, as adjusted</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339,353</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29,842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10,024</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379,219</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income, six months ended June 30, 2021</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34,425</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34,425</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Cash dividends declared, $0.42 per share</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(9,166)</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(9,166)</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Repurchase of 344,005 shares of common stock</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(7,285)</w:t>
            </w:r>
          </w:p>
        </w:tc>
        <w:tc>
          <w:tcPr>
            <w:tcW w:w="16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(7,285)</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Issuance of 37,450 shares of common stock</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49</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49</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w w:val="99"/>
              </w:rPr>
              <w:t>Share based compensation (issuance of 117,946 shares of common stock)</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947</w:t>
            </w:r>
          </w:p>
        </w:tc>
        <w:tc>
          <w:tcPr>
            <w:tcW w:w="16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947</w:t>
            </w:r>
          </w:p>
        </w:tc>
      </w:tr>
      <w:tr>
        <w:trPr>
          <w:trHeight w:val="202"/>
        </w:trPr>
        <w:tc>
          <w:tcPr>
            <w:tcW w:w="5980" w:type="dxa"/>
            <w:vAlign w:val="bottom"/>
          </w:tcPr>
          <w:p>
            <w:pPr>
              <w:spacing w:after="0" w:line="201" w:lineRule="exact"/>
              <w:rPr>
                <w:sz w:val="20"/>
                <w:szCs w:val="20"/>
                <w:color w:val="auto"/>
              </w:rPr>
            </w:pPr>
            <w:r>
              <w:rPr>
                <w:rFonts w:ascii="Arial" w:cs="Arial" w:eastAsia="Arial" w:hAnsi="Arial"/>
                <w:sz w:val="18"/>
                <w:szCs w:val="18"/>
                <w:color w:val="auto"/>
                <w:w w:val="93"/>
              </w:rPr>
              <w:t>Share based compensation withholding obligation (withholding of 32,279 shares</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5980" w:type="dxa"/>
            <w:vAlign w:val="bottom"/>
          </w:tcPr>
          <w:p>
            <w:pPr>
              <w:ind w:left="180"/>
              <w:spacing w:after="0"/>
              <w:rPr>
                <w:sz w:val="20"/>
                <w:szCs w:val="20"/>
                <w:color w:val="auto"/>
              </w:rPr>
            </w:pPr>
            <w:r>
              <w:rPr>
                <w:rFonts w:ascii="Arial" w:cs="Arial" w:eastAsia="Arial" w:hAnsi="Arial"/>
                <w:sz w:val="18"/>
                <w:szCs w:val="18"/>
                <w:color w:val="auto"/>
              </w:rPr>
              <w:t>of common stock)</w:t>
            </w:r>
          </w:p>
        </w:tc>
        <w:tc>
          <w:tcPr>
            <w:tcW w:w="16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(607)</w:t>
            </w:r>
          </w:p>
        </w:tc>
        <w:tc>
          <w:tcPr>
            <w:tcW w:w="16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(607)</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(1,608)</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(1,608)</w:t>
            </w:r>
          </w:p>
        </w:tc>
      </w:tr>
      <w:tr>
        <w:trPr>
          <w:trHeight w:val="27"/>
        </w:trPr>
        <w:tc>
          <w:tcPr>
            <w:tcW w:w="59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Balances at June 30, 2021</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332,457</w:t>
            </w:r>
          </w:p>
        </w:tc>
        <w:tc>
          <w:tcPr>
            <w:tcW w:w="260" w:type="dxa"/>
            <w:vAlign w:val="bottom"/>
          </w:tcPr>
          <w:p>
            <w:pPr>
              <w:spacing w:after="0"/>
              <w:rPr>
                <w:sz w:val="18"/>
                <w:szCs w:val="18"/>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55,101</w:t>
            </w:r>
          </w:p>
        </w:tc>
        <w:tc>
          <w:tcPr>
            <w:tcW w:w="20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8,416</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395,974</w:t>
            </w:r>
          </w:p>
        </w:tc>
      </w:tr>
      <w:tr>
        <w:trPr>
          <w:trHeight w:val="21"/>
        </w:trPr>
        <w:tc>
          <w:tcPr>
            <w:tcW w:w="5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Balances at January 1, 2020</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352,344</w:t>
            </w:r>
          </w:p>
        </w:tc>
        <w:tc>
          <w:tcPr>
            <w:tcW w:w="260" w:type="dxa"/>
            <w:vAlign w:val="bottom"/>
          </w:tcPr>
          <w:p>
            <w:pPr>
              <w:spacing w:after="0"/>
              <w:rPr>
                <w:sz w:val="18"/>
                <w:szCs w:val="18"/>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1,611</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(3,786)</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350,169</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income, six months ended June 30, 2020</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19,582</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19,582</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Cash dividends declared, $0.40 per share</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(8,855)</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(8,855)</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Repurchase of 678,929 shares of common stock</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(13,784)</w:t>
            </w:r>
          </w:p>
        </w:tc>
        <w:tc>
          <w:tcPr>
            <w:tcW w:w="16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(13,784)</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Issuance of 11,917 shares of common stock</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Share based compensation (issuance of 93,882 shares of common stock)</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1,009</w:t>
            </w:r>
          </w:p>
        </w:tc>
      </w:tr>
      <w:tr>
        <w:trPr>
          <w:trHeight w:val="202"/>
        </w:trPr>
        <w:tc>
          <w:tcPr>
            <w:tcW w:w="5980" w:type="dxa"/>
            <w:vAlign w:val="bottom"/>
          </w:tcPr>
          <w:p>
            <w:pPr>
              <w:spacing w:after="0" w:line="201" w:lineRule="exact"/>
              <w:rPr>
                <w:sz w:val="20"/>
                <w:szCs w:val="20"/>
                <w:color w:val="auto"/>
              </w:rPr>
            </w:pPr>
            <w:r>
              <w:rPr>
                <w:rFonts w:ascii="Arial" w:cs="Arial" w:eastAsia="Arial" w:hAnsi="Arial"/>
                <w:sz w:val="18"/>
                <w:szCs w:val="18"/>
                <w:color w:val="auto"/>
                <w:w w:val="93"/>
              </w:rPr>
              <w:t>Share based compensation withholding obligation (withholding of 28,330 shares</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5980" w:type="dxa"/>
            <w:vAlign w:val="bottom"/>
          </w:tcPr>
          <w:p>
            <w:pPr>
              <w:ind w:left="180"/>
              <w:spacing w:after="0"/>
              <w:rPr>
                <w:sz w:val="20"/>
                <w:szCs w:val="20"/>
                <w:color w:val="auto"/>
              </w:rPr>
            </w:pPr>
            <w:r>
              <w:rPr>
                <w:rFonts w:ascii="Arial" w:cs="Arial" w:eastAsia="Arial" w:hAnsi="Arial"/>
                <w:sz w:val="18"/>
                <w:szCs w:val="18"/>
                <w:color w:val="auto"/>
              </w:rPr>
              <w:t>of common stock)</w:t>
            </w:r>
          </w:p>
        </w:tc>
        <w:tc>
          <w:tcPr>
            <w:tcW w:w="16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(591)</w:t>
            </w:r>
          </w:p>
        </w:tc>
        <w:tc>
          <w:tcPr>
            <w:tcW w:w="16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(591)</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7,582</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7,582</w:t>
            </w:r>
          </w:p>
        </w:tc>
      </w:tr>
      <w:tr>
        <w:trPr>
          <w:trHeight w:val="27"/>
        </w:trPr>
        <w:tc>
          <w:tcPr>
            <w:tcW w:w="59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Balances at June 30, 2020</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338,989</w:t>
            </w:r>
          </w:p>
        </w:tc>
        <w:tc>
          <w:tcPr>
            <w:tcW w:w="260" w:type="dxa"/>
            <w:vAlign w:val="bottom"/>
          </w:tcPr>
          <w:p>
            <w:pPr>
              <w:spacing w:after="0"/>
              <w:rPr>
                <w:sz w:val="18"/>
                <w:szCs w:val="18"/>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12,338</w:t>
            </w:r>
          </w:p>
        </w:tc>
        <w:tc>
          <w:tcPr>
            <w:tcW w:w="20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3,796</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355,123</w:t>
            </w:r>
          </w:p>
        </w:tc>
      </w:tr>
      <w:tr>
        <w:trPr>
          <w:trHeight w:val="20"/>
        </w:trPr>
        <w:tc>
          <w:tcPr>
            <w:tcW w:w="5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notes to interim condensed consolidated financial statements (Unaudited)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 w:name="page9"/>
    <w:bookmarkEnd w:id="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13"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Preparation of Financial Statements</w:t>
      </w:r>
    </w:p>
    <w:p>
      <w:pPr>
        <w:spacing w:after="0" w:line="25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condensed consolidated financial statements have been prepared pursuant to the rules and regulations of the Securities and Exchange Commission. Certain information and note disclosures normally included in annual financial statements prepared in accordance with U.S. generally accepted accounting principles (“GAAP”) have been condensed or omitted pursuant to those rules and regulations, although we believe that the disclosures made are adequate to make the information not misleading. The unaudited condensed consolidated financial statements should be read in conjunction with the audited consolidated financial statements and notes for the year ended December 31, 2020 included in our Annual Report on Form 10-K.</w:t>
      </w:r>
    </w:p>
    <w:p>
      <w:pPr>
        <w:spacing w:after="0" w:line="188"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In our opinion, the accompanying unaudited condensed consolidated financial statements contain all the adjustments necessary to present fairly our consolidated financial condition as of June 30, 2021 and December 31, 2020, and the results of operations for the three and six-month periods ended June 30, 2021 and 2020. The results of operations for the three and six-month periods ended June 30, 2021, are not necessarily indicative of the results to be expected for the full year. Certain reclassifications have been made in the prior period condensed consolidated financial statements to conform to the current period presentation. Our critical accounting policies include the determination of the allowance for credit losses (“ACL”) and the valuation of capitalized mortgage loan servicing rights. Refer to our 2020 Annual Report on Form 10-K for a disclosure of our accounting policies.</w:t>
      </w:r>
    </w:p>
    <w:p>
      <w:pPr>
        <w:spacing w:after="0" w:line="191"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New Accounting Standards</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June 2016, the Financial Accounting Standards Board (“FASB”) issued Accounting Standards Update (“ASU”) 2016-13, ‘‘Financial Instruments — Credit Losses (Topic 326), Measurement of Credit Losses on Financial Instruments’’. This ASU significantly changes how entities will measure credit losses for most financial assets and certain other instruments that are not measured at fair value through net income.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This ASU:</w:t>
      </w:r>
    </w:p>
    <w:p>
      <w:pPr>
        <w:spacing w:after="0" w:line="252" w:lineRule="exact"/>
        <w:rPr>
          <w:sz w:val="20"/>
          <w:szCs w:val="20"/>
          <w:color w:val="auto"/>
        </w:rPr>
      </w:pPr>
    </w:p>
    <w:p>
      <w:pPr>
        <w:jc w:val="both"/>
        <w:ind w:left="660" w:hanging="328"/>
        <w:spacing w:after="0" w:line="255"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Replaces the existing incurred loss impairment guidance and establishes a single allowance framework for financial assets carried at amortized cost, which will reflect our estimate of credit losses over the full remaining expected life of the financial assets and will consider expected future changes in macroeconomic conditions.</w:t>
      </w:r>
    </w:p>
    <w:p>
      <w:pPr>
        <w:spacing w:after="0" w:line="2"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Eliminates existing guidance for purchase credit impaired (‘‘PCI’’) loans, and requires recognition of the nonaccretable difference as an increase to the allowance for expected credit losses on financial assets purchased with more than insignificant credit deterioration since origination, which will be offset by an increase in the recorded investment of the related loans.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Requires inclusion of expected recoveries, limited to the cumulative amount of prior write-offs, when estimating the ACL for in scope financial assets (including collateral dependent assets).</w:t>
      </w:r>
    </w:p>
    <w:p>
      <w:pPr>
        <w:jc w:val="both"/>
        <w:ind w:left="66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Amends existing impairment guidance for securities available for sale to incorporate an allowance, which will allow for reversals of credit impairments in the event that the credit of an issuer improves. Credit losses on securities available for sale are limited to the amount of the decline in fair value regardless of what the credit loss model would show for impairment.</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Generally requires a cumulative-effect adjustment to retained earnings as of the beginning of the reporting period of adoption.</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began evaluating this ASU in 2016 and established a company-wide, cross-discipline governance structure, which provides implementation oversight. We continued to test and refine our current expected credit loss (“CECL”) models that satisfied the requirements of this ASU. Oversight and testing, as well as efforts to meet expanded disclosure requirements, extended through the end of 2020. We currently estimate losses over approximately a one year forecast period using external economic forecast sources, including the Federal Open Market Committee median economic projections, and then revert to longer term historical loss experience to estimate losses over more extended periods. We were originally required to adopt this ASU on January 1, 2020 but section 4014 of the Coronavirus Aid, Relief, and Economic Security (‘‘CARES’’) Act allowed for temporary relief from applying this ASU. Under the amended CARES Act we were allowed to delay the adoption of this ASU until the earlier of the termination of the national emergency that was declared on March 13, 2020, or January 1, 2022. Early adoption was also allowed on either January 1, 2020 or January 1, 2021. As such, we chose to delay the adoption of this ASU during 2020 and adopted this ASU on January 1, 2021. Results for the reporting periods after January 1, 2021 are presented under this new ASU while prior period amounts continue to be reported in accordance with previously applicable accounting guidance.</w:t>
      </w:r>
    </w:p>
    <w:p>
      <w:pPr>
        <w:spacing w:after="0" w:line="19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adopted this ASU using the modified retrospective method for all financial assets measured at amortized cost and unfunded lending commitments. As of January 1, 2021 we increased the ACL by $11.7 million which was primarily driven by the longer contractual maturities of our mortgage and consumer installment loan portfolio segments. In addition, we increased the allowance for losses related to unfunded loan commitments by $1.5 million. The ultimate impact of adopting this ASU, and at each subsequent reporting period, is highly dependent on credit quality, economic forecasts and conditions, composition of our loan portfolios and securities available for sale, along with other management judgments. As of January 1, 2021, we recorded a cumulative-effect adjustment of $10.3 million to decrease retained earnings.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Based on our evaluation of securities available for sale, we did not record an ACL on these securities under this ASU.</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adopted this ASU using the prospective transition approach for financial assets purchased with credit deterioration (“PCD”) that were previously classified as PCI and accounted for under accounting standards codification (“ASC”) 310-30. In accordance with this ASU, we did not reassess whether PCI assets met the definition of PCD assets as of the date of adoption. On January 1, 2021, the amortized cost basis of the PCD assets were adjusted to reflect the addition of $0.13 million to the ACL for loans. The remaining noncredit discount in the amount of $0.34 million (based on the adjusted amortized cost basis) will be accreted into interest income at the effective interest rate as of January 1, 2021.</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80" w:type="dxa"/>
            <w:vAlign w:val="bottom"/>
          </w:tcPr>
          <w:p>
            <w:pPr>
              <w:spacing w:after="0"/>
              <w:rPr>
                <w:sz w:val="20"/>
                <w:szCs w:val="20"/>
                <w:color w:val="auto"/>
              </w:rPr>
            </w:pPr>
            <w:r>
              <w:rPr>
                <w:rFonts w:ascii="Arial" w:cs="Arial" w:eastAsia="Arial" w:hAnsi="Arial"/>
                <w:sz w:val="18"/>
                <w:szCs w:val="18"/>
                <w:color w:val="auto"/>
              </w:rPr>
              <w:t>The impact of the adoption of this ASU follows:</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5"/>
        </w:trPr>
        <w:tc>
          <w:tcPr>
            <w:tcW w:w="7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As Reported</w:t>
            </w: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7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Under</w:t>
            </w:r>
          </w:p>
        </w:tc>
        <w:tc>
          <w:tcPr>
            <w:tcW w:w="1500" w:type="dxa"/>
            <w:vAlign w:val="bottom"/>
            <w:gridSpan w:val="3"/>
          </w:tcPr>
          <w:p>
            <w:pPr>
              <w:spacing w:after="0"/>
              <w:rPr>
                <w:sz w:val="20"/>
                <w:szCs w:val="20"/>
                <w:color w:val="auto"/>
              </w:rPr>
            </w:pPr>
            <w:r>
              <w:rPr>
                <w:rFonts w:ascii="Arial" w:cs="Arial" w:eastAsia="Arial" w:hAnsi="Arial"/>
                <w:sz w:val="18"/>
                <w:szCs w:val="18"/>
                <w:color w:val="auto"/>
              </w:rPr>
              <w:t>Pre-ASU 2016-13</w:t>
            </w:r>
          </w:p>
        </w:tc>
        <w:tc>
          <w:tcPr>
            <w:tcW w:w="16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Impact of</w:t>
            </w:r>
          </w:p>
        </w:tc>
      </w:tr>
      <w:tr>
        <w:trPr>
          <w:trHeight w:val="237"/>
        </w:trPr>
        <w:tc>
          <w:tcPr>
            <w:tcW w:w="7180" w:type="dxa"/>
            <w:vAlign w:val="bottom"/>
          </w:tcPr>
          <w:p>
            <w:pPr>
              <w:spacing w:after="0"/>
              <w:rPr>
                <w:sz w:val="20"/>
                <w:szCs w:val="20"/>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color w:val="auto"/>
                <w:w w:val="92"/>
              </w:rPr>
              <w:t>ASU 2016-13</w:t>
            </w:r>
          </w:p>
        </w:tc>
        <w:tc>
          <w:tcPr>
            <w:tcW w:w="200" w:type="dxa"/>
            <w:vAlign w:val="bottom"/>
          </w:tcPr>
          <w:p>
            <w:pPr>
              <w:spacing w:after="0"/>
              <w:rPr>
                <w:sz w:val="20"/>
                <w:szCs w:val="20"/>
                <w:color w:val="auto"/>
              </w:rPr>
            </w:pP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rPr>
              <w:t>Adoption</w:t>
            </w:r>
          </w:p>
        </w:tc>
        <w:tc>
          <w:tcPr>
            <w:tcW w:w="1220" w:type="dxa"/>
            <w:vAlign w:val="bottom"/>
            <w:gridSpan w:val="3"/>
          </w:tcPr>
          <w:p>
            <w:pPr>
              <w:jc w:val="right"/>
              <w:ind w:right="160"/>
              <w:spacing w:after="0"/>
              <w:rPr>
                <w:sz w:val="20"/>
                <w:szCs w:val="20"/>
                <w:color w:val="auto"/>
              </w:rPr>
            </w:pPr>
            <w:r>
              <w:rPr>
                <w:rFonts w:ascii="Arial" w:cs="Arial" w:eastAsia="Arial" w:hAnsi="Arial"/>
                <w:sz w:val="18"/>
                <w:szCs w:val="18"/>
                <w:color w:val="auto"/>
                <w:w w:val="96"/>
              </w:rPr>
              <w:t>ASU 2016-13</w:t>
            </w:r>
          </w:p>
        </w:tc>
      </w:tr>
      <w:tr>
        <w:trPr>
          <w:trHeight w:val="418"/>
        </w:trPr>
        <w:tc>
          <w:tcPr>
            <w:tcW w:w="7180" w:type="dxa"/>
            <w:vAlign w:val="bottom"/>
          </w:tcPr>
          <w:p>
            <w:pPr>
              <w:spacing w:after="0"/>
              <w:rPr>
                <w:sz w:val="20"/>
                <w:szCs w:val="20"/>
                <w:color w:val="auto"/>
              </w:rPr>
            </w:pPr>
            <w:r>
              <w:rPr>
                <w:rFonts w:ascii="Arial" w:cs="Arial" w:eastAsia="Arial" w:hAnsi="Arial"/>
                <w:sz w:val="18"/>
                <w:szCs w:val="18"/>
                <w:color w:val="auto"/>
              </w:rPr>
              <w:t>Assets</w:t>
            </w:r>
          </w:p>
        </w:tc>
        <w:tc>
          <w:tcPr>
            <w:tcW w:w="1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7180" w:type="dxa"/>
            <w:vAlign w:val="bottom"/>
          </w:tcPr>
          <w:p>
            <w:pPr>
              <w:ind w:left="140"/>
              <w:spacing w:after="0"/>
              <w:rPr>
                <w:sz w:val="20"/>
                <w:szCs w:val="20"/>
                <w:color w:val="auto"/>
              </w:rPr>
            </w:pPr>
            <w:r>
              <w:rPr>
                <w:rFonts w:ascii="Arial" w:cs="Arial" w:eastAsia="Arial" w:hAnsi="Arial"/>
                <w:sz w:val="18"/>
                <w:szCs w:val="18"/>
                <w:color w:val="auto"/>
              </w:rPr>
              <w:t>Loans</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71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Commercial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1,242,510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1,242,415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w:t>
            </w:r>
          </w:p>
        </w:tc>
      </w:tr>
      <w:tr>
        <w:trPr>
          <w:trHeight w:val="216"/>
        </w:trPr>
        <w:tc>
          <w:tcPr>
            <w:tcW w:w="7180" w:type="dxa"/>
            <w:vAlign w:val="bottom"/>
          </w:tcPr>
          <w:p>
            <w:pPr>
              <w:ind w:left="260"/>
              <w:spacing w:after="0"/>
              <w:rPr>
                <w:sz w:val="20"/>
                <w:szCs w:val="20"/>
                <w:color w:val="auto"/>
              </w:rPr>
            </w:pPr>
            <w:r>
              <w:rPr>
                <w:rFonts w:ascii="Arial" w:cs="Arial" w:eastAsia="Arial" w:hAnsi="Arial"/>
                <w:sz w:val="18"/>
                <w:szCs w:val="18"/>
                <w:color w:val="auto"/>
              </w:rPr>
              <w:t>Mortgage</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1,015,944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1,015,926</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r>
      <w:tr>
        <w:trPr>
          <w:trHeight w:val="216"/>
        </w:trPr>
        <w:tc>
          <w:tcPr>
            <w:tcW w:w="71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Installment</w:t>
            </w: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475,358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475,337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r>
      <w:tr>
        <w:trPr>
          <w:trHeight w:val="27"/>
        </w:trPr>
        <w:tc>
          <w:tcPr>
            <w:tcW w:w="71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180" w:type="dxa"/>
            <w:vAlign w:val="bottom"/>
          </w:tcPr>
          <w:p>
            <w:pPr>
              <w:ind w:left="400"/>
              <w:spacing w:after="0"/>
              <w:rPr>
                <w:sz w:val="20"/>
                <w:szCs w:val="20"/>
                <w:color w:val="auto"/>
              </w:rPr>
            </w:pPr>
            <w:r>
              <w:rPr>
                <w:rFonts w:ascii="Arial" w:cs="Arial" w:eastAsia="Arial" w:hAnsi="Arial"/>
                <w:sz w:val="18"/>
                <w:szCs w:val="18"/>
                <w:color w:val="auto"/>
              </w:rPr>
              <w:t>Total loans</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2,733,812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2,733,678</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134</w:t>
            </w:r>
          </w:p>
        </w:tc>
      </w:tr>
      <w:tr>
        <w:trPr>
          <w:trHeight w:val="216"/>
        </w:trPr>
        <w:tc>
          <w:tcPr>
            <w:tcW w:w="7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Allowance for credit losses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(47,137)</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(35,429)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(11,708)</w:t>
            </w:r>
          </w:p>
        </w:tc>
      </w:tr>
      <w:tr>
        <w:trPr>
          <w:trHeight w:val="27"/>
        </w:trPr>
        <w:tc>
          <w:tcPr>
            <w:tcW w:w="71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180" w:type="dxa"/>
            <w:vAlign w:val="bottom"/>
          </w:tcPr>
          <w:p>
            <w:pPr>
              <w:ind w:left="400"/>
              <w:spacing w:after="0"/>
              <w:rPr>
                <w:sz w:val="20"/>
                <w:szCs w:val="20"/>
                <w:color w:val="auto"/>
              </w:rPr>
            </w:pPr>
            <w:r>
              <w:rPr>
                <w:rFonts w:ascii="Arial" w:cs="Arial" w:eastAsia="Arial" w:hAnsi="Arial"/>
                <w:sz w:val="18"/>
                <w:szCs w:val="18"/>
                <w:color w:val="auto"/>
              </w:rPr>
              <w:t>Net loans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2,686,675</w:t>
            </w:r>
          </w:p>
        </w:tc>
        <w:tc>
          <w:tcPr>
            <w:tcW w:w="20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2,698,249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(11,574)</w:t>
            </w:r>
          </w:p>
        </w:tc>
      </w:tr>
      <w:tr>
        <w:trPr>
          <w:trHeight w:val="20"/>
        </w:trPr>
        <w:tc>
          <w:tcPr>
            <w:tcW w:w="7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7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Deferred tax assets (1)</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65,196</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62,456</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2,740</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10"/>
        </w:trPr>
        <w:tc>
          <w:tcPr>
            <w:tcW w:w="7180" w:type="dxa"/>
            <w:vAlign w:val="bottom"/>
          </w:tcPr>
          <w:p>
            <w:pPr>
              <w:ind w:left="140"/>
              <w:spacing w:after="0"/>
              <w:rPr>
                <w:sz w:val="20"/>
                <w:szCs w:val="20"/>
                <w:color w:val="auto"/>
              </w:rPr>
            </w:pPr>
            <w:r>
              <w:rPr>
                <w:rFonts w:ascii="Arial" w:cs="Arial" w:eastAsia="Arial" w:hAnsi="Arial"/>
                <w:sz w:val="18"/>
                <w:szCs w:val="18"/>
                <w:color w:val="auto"/>
              </w:rPr>
              <w:t>Total Assets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4,195,179</w:t>
            </w:r>
          </w:p>
        </w:tc>
        <w:tc>
          <w:tcPr>
            <w:tcW w:w="20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4,204,013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(8,834)</w:t>
            </w:r>
          </w:p>
        </w:tc>
      </w:tr>
      <w:tr>
        <w:trPr>
          <w:trHeight w:val="20"/>
        </w:trPr>
        <w:tc>
          <w:tcPr>
            <w:tcW w:w="7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Liabilities and shareholders's equity</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7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Allowance for credit losses on unfunded lending commitments (2)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3,274</w:t>
            </w: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1,805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1,469</w:t>
            </w:r>
          </w:p>
        </w:tc>
      </w:tr>
      <w:tr>
        <w:trPr>
          <w:trHeight w:val="20"/>
        </w:trPr>
        <w:tc>
          <w:tcPr>
            <w:tcW w:w="7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0"/>
        </w:trPr>
        <w:tc>
          <w:tcPr>
            <w:tcW w:w="7180" w:type="dxa"/>
            <w:vAlign w:val="bottom"/>
          </w:tcPr>
          <w:p>
            <w:pPr>
              <w:ind w:left="140"/>
              <w:spacing w:after="0"/>
              <w:rPr>
                <w:sz w:val="20"/>
                <w:szCs w:val="20"/>
                <w:color w:val="auto"/>
              </w:rPr>
            </w:pPr>
            <w:r>
              <w:rPr>
                <w:rFonts w:ascii="Arial" w:cs="Arial" w:eastAsia="Arial" w:hAnsi="Arial"/>
                <w:sz w:val="18"/>
                <w:szCs w:val="18"/>
                <w:color w:val="auto"/>
              </w:rPr>
              <w:t>Total liabilities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3,815,960</w:t>
            </w:r>
          </w:p>
        </w:tc>
        <w:tc>
          <w:tcPr>
            <w:tcW w:w="20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3,814,491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1,469</w:t>
            </w:r>
          </w:p>
        </w:tc>
      </w:tr>
      <w:tr>
        <w:trPr>
          <w:trHeight w:val="20"/>
        </w:trPr>
        <w:tc>
          <w:tcPr>
            <w:tcW w:w="7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7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Retained earnings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29,842</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40,145</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(10,303)</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10"/>
        </w:trPr>
        <w:tc>
          <w:tcPr>
            <w:tcW w:w="7180" w:type="dxa"/>
            <w:vAlign w:val="bottom"/>
          </w:tcPr>
          <w:p>
            <w:pPr>
              <w:ind w:left="140"/>
              <w:spacing w:after="0"/>
              <w:rPr>
                <w:sz w:val="20"/>
                <w:szCs w:val="20"/>
                <w:color w:val="auto"/>
              </w:rPr>
            </w:pPr>
            <w:r>
              <w:rPr>
                <w:rFonts w:ascii="Arial" w:cs="Arial" w:eastAsia="Arial" w:hAnsi="Arial"/>
                <w:sz w:val="18"/>
                <w:szCs w:val="18"/>
                <w:color w:val="auto"/>
              </w:rPr>
              <w:t>Total shareholders' equity</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379,219</w:t>
            </w:r>
          </w:p>
        </w:tc>
        <w:tc>
          <w:tcPr>
            <w:tcW w:w="20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389,522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(10,303)</w:t>
            </w:r>
          </w:p>
        </w:tc>
      </w:tr>
      <w:tr>
        <w:trPr>
          <w:trHeight w:val="20"/>
        </w:trPr>
        <w:tc>
          <w:tcPr>
            <w:tcW w:w="7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7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liabilities and shareholders' equity</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4,195,179</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4,204,013</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(8,834)</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29"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Included in Accrued income and other assets in our Condensed Consolidated Statements of Financial Condition.</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Included in Accrued expenses and other liabilities in our Condensed Consolidated Statements of Financial Condition.</w:t>
      </w:r>
    </w:p>
    <w:p>
      <w:pPr>
        <w:spacing w:after="0" w:line="23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March 2020, the FASB issued ASU 2020-04, ‘‘Reference Rate Reform (Topic 848), Facilitation of the Effects of Reference Rate Reform on Financial Reporting’’. This new ASU provides temporary optional expedients and exceptions to GAAP guidance on contract modifications and hedge accounting to ease the financial reporting burdens of the expected market transition from LIBOR and other interbank offered rates to alternative reference rates. Entities can elect not to apply certain modification accounting requirements to contracts affected by reference rate reform, if certain criteria are met. Entities that make such elections would not have to remeasure contracts at the modification date or reassess a previous accounting determination. Entities can elect various optional expedients that would allow them to continue applying hedge accounting for hedging relationships affected by reference rate reform, if certain criteria are met. This amended guidance and our ability to elect its temporary optional expedients and exceptions are effective for us as of March 12, 2020 through December 31, 2022.</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60" w:type="dxa"/>
            <w:vAlign w:val="bottom"/>
            <w:gridSpan w:val="3"/>
          </w:tcPr>
          <w:p>
            <w:pPr>
              <w:spacing w:after="0"/>
              <w:rPr>
                <w:sz w:val="20"/>
                <w:szCs w:val="20"/>
                <w:color w:val="auto"/>
              </w:rPr>
            </w:pPr>
            <w:r>
              <w:rPr>
                <w:rFonts w:ascii="Arial" w:cs="Arial" w:eastAsia="Arial" w:hAnsi="Arial"/>
                <w:sz w:val="18"/>
                <w:szCs w:val="18"/>
                <w:color w:val="auto"/>
              </w:rPr>
              <w:t>3.  Securities</w:t>
            </w: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4660" w:type="dxa"/>
            <w:vAlign w:val="bottom"/>
            <w:gridSpan w:val="3"/>
          </w:tcPr>
          <w:p>
            <w:pPr>
              <w:spacing w:after="0"/>
              <w:rPr>
                <w:sz w:val="20"/>
                <w:szCs w:val="20"/>
                <w:color w:val="auto"/>
              </w:rPr>
            </w:pPr>
            <w:r>
              <w:rPr>
                <w:rFonts w:ascii="Arial" w:cs="Arial" w:eastAsia="Arial" w:hAnsi="Arial"/>
                <w:sz w:val="18"/>
                <w:szCs w:val="18"/>
                <w:color w:val="auto"/>
              </w:rPr>
              <w:t>Securities available for sale consist of the following:</w:t>
            </w: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8"/>
                <w:szCs w:val="18"/>
                <w:color w:val="auto"/>
                <w:w w:val="93"/>
              </w:rPr>
              <w:t>Amortized</w:t>
            </w:r>
          </w:p>
        </w:tc>
        <w:tc>
          <w:tcPr>
            <w:tcW w:w="2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Unrealized</w:t>
            </w:r>
          </w:p>
        </w:tc>
        <w:tc>
          <w:tcPr>
            <w:tcW w:w="8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6"/>
              </w:rPr>
              <w:t>Cost</w:t>
            </w:r>
          </w:p>
        </w:tc>
        <w:tc>
          <w:tcPr>
            <w:tcW w:w="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Gains</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84"/>
              </w:rPr>
              <w:t>Losses</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5"/>
              </w:rPr>
              <w:t>Fair Value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gridSpan w:val="3"/>
            <w:vMerge w:val="restart"/>
          </w:tcPr>
          <w:p>
            <w:pPr>
              <w:spacing w:after="0"/>
              <w:rPr>
                <w:sz w:val="20"/>
                <w:szCs w:val="20"/>
                <w:color w:val="auto"/>
              </w:rPr>
            </w:pPr>
            <w:r>
              <w:rPr>
                <w:rFonts w:ascii="Arial" w:cs="Arial" w:eastAsia="Arial" w:hAnsi="Arial"/>
                <w:sz w:val="18"/>
                <w:szCs w:val="18"/>
                <w:color w:val="auto"/>
              </w:rPr>
              <w:t>June 30, 2021</w:t>
            </w:r>
          </w:p>
        </w:tc>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40" w:type="dxa"/>
            <w:vAlign w:val="bottom"/>
            <w:gridSpan w:val="5"/>
          </w:tcPr>
          <w:p>
            <w:pPr>
              <w:jc w:val="right"/>
              <w:ind w:right="940"/>
              <w:spacing w:after="0"/>
              <w:rPr>
                <w:sz w:val="20"/>
                <w:szCs w:val="20"/>
                <w:color w:val="auto"/>
              </w:rPr>
            </w:pPr>
            <w:r>
              <w:rPr>
                <w:rFonts w:ascii="Arial" w:cs="Arial" w:eastAsia="Arial" w:hAnsi="Arial"/>
                <w:sz w:val="18"/>
                <w:szCs w:val="18"/>
                <w:color w:val="auto"/>
              </w:rPr>
              <w:t>(In thousands)</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660" w:type="dxa"/>
            <w:vAlign w:val="bottom"/>
            <w:gridSpan w:val="3"/>
            <w:vMerge w:val="continue"/>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U.S. agency</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8,355</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245</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8,596</w:t>
            </w:r>
          </w:p>
        </w:tc>
        <w:tc>
          <w:tcPr>
            <w:tcW w:w="0" w:type="dxa"/>
            <w:vAlign w:val="bottom"/>
          </w:tcPr>
          <w:p>
            <w:pPr>
              <w:spacing w:after="0"/>
              <w:rPr>
                <w:sz w:val="1"/>
                <w:szCs w:val="1"/>
                <w:color w:val="auto"/>
              </w:rPr>
            </w:pPr>
          </w:p>
        </w:tc>
      </w:tr>
      <w:tr>
        <w:trPr>
          <w:trHeight w:val="216"/>
        </w:trPr>
        <w:tc>
          <w:tcPr>
            <w:tcW w:w="4660" w:type="dxa"/>
            <w:vAlign w:val="bottom"/>
            <w:gridSpan w:val="3"/>
          </w:tcPr>
          <w:p>
            <w:pPr>
              <w:ind w:left="140"/>
              <w:spacing w:after="0"/>
              <w:rPr>
                <w:sz w:val="20"/>
                <w:szCs w:val="20"/>
                <w:color w:val="auto"/>
              </w:rPr>
            </w:pPr>
            <w:r>
              <w:rPr>
                <w:rFonts w:ascii="Arial" w:cs="Arial" w:eastAsia="Arial" w:hAnsi="Arial"/>
                <w:sz w:val="18"/>
                <w:szCs w:val="18"/>
                <w:color w:val="auto"/>
              </w:rPr>
              <w:t>U.S. agency residential mortgage-backed</w:t>
            </w: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364,072</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3,185</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1,890</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365,367</w:t>
            </w:r>
          </w:p>
        </w:tc>
        <w:tc>
          <w:tcPr>
            <w:tcW w:w="0" w:type="dxa"/>
            <w:vAlign w:val="bottom"/>
          </w:tcPr>
          <w:p>
            <w:pPr>
              <w:spacing w:after="0"/>
              <w:rPr>
                <w:sz w:val="1"/>
                <w:szCs w:val="1"/>
                <w:color w:val="auto"/>
              </w:rPr>
            </w:pPr>
          </w:p>
        </w:tc>
      </w:tr>
      <w:tr>
        <w:trPr>
          <w:trHeight w:val="216"/>
        </w:trPr>
        <w:tc>
          <w:tcPr>
            <w:tcW w:w="46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U.S. agency commercial mortgage-backed</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18,829</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197</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19,010</w:t>
            </w:r>
          </w:p>
        </w:tc>
        <w:tc>
          <w:tcPr>
            <w:tcW w:w="0" w:type="dxa"/>
            <w:vAlign w:val="bottom"/>
          </w:tcPr>
          <w:p>
            <w:pPr>
              <w:spacing w:after="0"/>
              <w:rPr>
                <w:sz w:val="1"/>
                <w:szCs w:val="1"/>
                <w:color w:val="auto"/>
              </w:rPr>
            </w:pPr>
          </w:p>
        </w:tc>
      </w:tr>
      <w:tr>
        <w:trPr>
          <w:trHeight w:val="216"/>
        </w:trPr>
        <w:tc>
          <w:tcPr>
            <w:tcW w:w="4660" w:type="dxa"/>
            <w:vAlign w:val="bottom"/>
            <w:gridSpan w:val="3"/>
          </w:tcPr>
          <w:p>
            <w:pPr>
              <w:ind w:left="140"/>
              <w:spacing w:after="0"/>
              <w:rPr>
                <w:sz w:val="20"/>
                <w:szCs w:val="20"/>
                <w:color w:val="auto"/>
              </w:rPr>
            </w:pPr>
            <w:r>
              <w:rPr>
                <w:rFonts w:ascii="Arial" w:cs="Arial" w:eastAsia="Arial" w:hAnsi="Arial"/>
                <w:sz w:val="18"/>
                <w:szCs w:val="18"/>
                <w:color w:val="auto"/>
              </w:rPr>
              <w:t>Private label mortgage-backed</w:t>
            </w: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67,976</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1,329</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69,264</w:t>
            </w:r>
          </w:p>
        </w:tc>
        <w:tc>
          <w:tcPr>
            <w:tcW w:w="0" w:type="dxa"/>
            <w:vAlign w:val="bottom"/>
          </w:tcPr>
          <w:p>
            <w:pPr>
              <w:spacing w:after="0"/>
              <w:rPr>
                <w:sz w:val="1"/>
                <w:szCs w:val="1"/>
                <w:color w:val="auto"/>
              </w:rPr>
            </w:pPr>
          </w:p>
        </w:tc>
      </w:tr>
      <w:tr>
        <w:trPr>
          <w:trHeight w:val="216"/>
        </w:trPr>
        <w:tc>
          <w:tcPr>
            <w:tcW w:w="46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Other asset backed</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193,509</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1,743</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195,226</w:t>
            </w:r>
          </w:p>
        </w:tc>
        <w:tc>
          <w:tcPr>
            <w:tcW w:w="0" w:type="dxa"/>
            <w:vAlign w:val="bottom"/>
          </w:tcPr>
          <w:p>
            <w:pPr>
              <w:spacing w:after="0"/>
              <w:rPr>
                <w:sz w:val="1"/>
                <w:szCs w:val="1"/>
                <w:color w:val="auto"/>
              </w:rPr>
            </w:pPr>
          </w:p>
        </w:tc>
      </w:tr>
      <w:tr>
        <w:trPr>
          <w:trHeight w:val="216"/>
        </w:trPr>
        <w:tc>
          <w:tcPr>
            <w:tcW w:w="4660" w:type="dxa"/>
            <w:vAlign w:val="bottom"/>
            <w:gridSpan w:val="3"/>
          </w:tcPr>
          <w:p>
            <w:pPr>
              <w:ind w:left="140"/>
              <w:spacing w:after="0"/>
              <w:rPr>
                <w:sz w:val="20"/>
                <w:szCs w:val="20"/>
                <w:color w:val="auto"/>
              </w:rPr>
            </w:pPr>
            <w:r>
              <w:rPr>
                <w:rFonts w:ascii="Arial" w:cs="Arial" w:eastAsia="Arial" w:hAnsi="Arial"/>
                <w:sz w:val="18"/>
                <w:szCs w:val="18"/>
                <w:color w:val="auto"/>
              </w:rPr>
              <w:t>Obligations of states and political subdivisions</w:t>
            </w: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509,250</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10,499</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533</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519,216</w:t>
            </w:r>
          </w:p>
        </w:tc>
        <w:tc>
          <w:tcPr>
            <w:tcW w:w="0" w:type="dxa"/>
            <w:vAlign w:val="bottom"/>
          </w:tcPr>
          <w:p>
            <w:pPr>
              <w:spacing w:after="0"/>
              <w:rPr>
                <w:sz w:val="1"/>
                <w:szCs w:val="1"/>
                <w:color w:val="auto"/>
              </w:rPr>
            </w:pPr>
          </w:p>
        </w:tc>
      </w:tr>
      <w:tr>
        <w:trPr>
          <w:trHeight w:val="216"/>
        </w:trPr>
        <w:tc>
          <w:tcPr>
            <w:tcW w:w="46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Corporate</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148,205</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3,570</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172</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151,603</w:t>
            </w:r>
          </w:p>
        </w:tc>
        <w:tc>
          <w:tcPr>
            <w:tcW w:w="0" w:type="dxa"/>
            <w:vAlign w:val="bottom"/>
          </w:tcPr>
          <w:p>
            <w:pPr>
              <w:spacing w:after="0"/>
              <w:rPr>
                <w:sz w:val="1"/>
                <w:szCs w:val="1"/>
                <w:color w:val="auto"/>
              </w:rPr>
            </w:pPr>
          </w:p>
        </w:tc>
      </w:tr>
      <w:tr>
        <w:trPr>
          <w:trHeight w:val="216"/>
        </w:trPr>
        <w:tc>
          <w:tcPr>
            <w:tcW w:w="4660" w:type="dxa"/>
            <w:vAlign w:val="bottom"/>
            <w:gridSpan w:val="3"/>
          </w:tcPr>
          <w:p>
            <w:pPr>
              <w:ind w:left="140"/>
              <w:spacing w:after="0"/>
              <w:rPr>
                <w:sz w:val="20"/>
                <w:szCs w:val="20"/>
                <w:color w:val="auto"/>
              </w:rPr>
            </w:pPr>
            <w:r>
              <w:rPr>
                <w:rFonts w:ascii="Arial" w:cs="Arial" w:eastAsia="Arial" w:hAnsi="Arial"/>
                <w:sz w:val="18"/>
                <w:szCs w:val="18"/>
                <w:color w:val="auto"/>
              </w:rPr>
              <w:t>Trust preferred</w:t>
            </w: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1,973</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106</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1,867</w:t>
            </w:r>
          </w:p>
        </w:tc>
        <w:tc>
          <w:tcPr>
            <w:tcW w:w="0" w:type="dxa"/>
            <w:vAlign w:val="bottom"/>
          </w:tcPr>
          <w:p>
            <w:pPr>
              <w:spacing w:after="0"/>
              <w:rPr>
                <w:sz w:val="1"/>
                <w:szCs w:val="1"/>
                <w:color w:val="auto"/>
              </w:rPr>
            </w:pPr>
          </w:p>
        </w:tc>
      </w:tr>
      <w:tr>
        <w:trPr>
          <w:trHeight w:val="216"/>
        </w:trPr>
        <w:tc>
          <w:tcPr>
            <w:tcW w:w="46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Foreign government</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499</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7"/>
        </w:trPr>
        <w:tc>
          <w:tcPr>
            <w:tcW w:w="3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36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Total</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1,312,668</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20,780</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2,788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1,330,660</w:t>
            </w:r>
          </w:p>
        </w:tc>
        <w:tc>
          <w:tcPr>
            <w:tcW w:w="0" w:type="dxa"/>
            <w:vAlign w:val="bottom"/>
          </w:tcPr>
          <w:p>
            <w:pPr>
              <w:spacing w:after="0"/>
              <w:rPr>
                <w:sz w:val="1"/>
                <w:szCs w:val="1"/>
                <w:color w:val="auto"/>
              </w:rPr>
            </w:pPr>
          </w:p>
        </w:tc>
      </w:tr>
      <w:tr>
        <w:trPr>
          <w:trHeight w:val="21"/>
        </w:trPr>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gridSpan w:val="3"/>
          </w:tcPr>
          <w:p>
            <w:pPr>
              <w:spacing w:after="0"/>
              <w:rPr>
                <w:sz w:val="20"/>
                <w:szCs w:val="20"/>
                <w:color w:val="auto"/>
              </w:rPr>
            </w:pPr>
            <w:r>
              <w:rPr>
                <w:rFonts w:ascii="Arial" w:cs="Arial" w:eastAsia="Arial" w:hAnsi="Arial"/>
                <w:sz w:val="18"/>
                <w:szCs w:val="18"/>
                <w:color w:val="auto"/>
              </w:rPr>
              <w:t>December 31, 2020</w:t>
            </w: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U.S. agency</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10,456</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305</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10,748</w:t>
            </w:r>
          </w:p>
        </w:tc>
        <w:tc>
          <w:tcPr>
            <w:tcW w:w="0" w:type="dxa"/>
            <w:vAlign w:val="bottom"/>
          </w:tcPr>
          <w:p>
            <w:pPr>
              <w:spacing w:after="0"/>
              <w:rPr>
                <w:sz w:val="1"/>
                <w:szCs w:val="1"/>
                <w:color w:val="auto"/>
              </w:rPr>
            </w:pPr>
          </w:p>
        </w:tc>
      </w:tr>
      <w:tr>
        <w:trPr>
          <w:trHeight w:val="216"/>
        </w:trPr>
        <w:tc>
          <w:tcPr>
            <w:tcW w:w="4660" w:type="dxa"/>
            <w:vAlign w:val="bottom"/>
            <w:gridSpan w:val="3"/>
          </w:tcPr>
          <w:p>
            <w:pPr>
              <w:ind w:left="140"/>
              <w:spacing w:after="0"/>
              <w:rPr>
                <w:sz w:val="20"/>
                <w:szCs w:val="20"/>
                <w:color w:val="auto"/>
              </w:rPr>
            </w:pPr>
            <w:r>
              <w:rPr>
                <w:rFonts w:ascii="Arial" w:cs="Arial" w:eastAsia="Arial" w:hAnsi="Arial"/>
                <w:sz w:val="18"/>
                <w:szCs w:val="18"/>
                <w:color w:val="auto"/>
              </w:rPr>
              <w:t>U.S. agency residential mortgage-backed</w:t>
            </w: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340,224</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4,951</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593</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344,582</w:t>
            </w:r>
          </w:p>
        </w:tc>
        <w:tc>
          <w:tcPr>
            <w:tcW w:w="0" w:type="dxa"/>
            <w:vAlign w:val="bottom"/>
          </w:tcPr>
          <w:p>
            <w:pPr>
              <w:spacing w:after="0"/>
              <w:rPr>
                <w:sz w:val="1"/>
                <w:szCs w:val="1"/>
                <w:color w:val="auto"/>
              </w:rPr>
            </w:pPr>
          </w:p>
        </w:tc>
      </w:tr>
      <w:tr>
        <w:trPr>
          <w:trHeight w:val="216"/>
        </w:trPr>
        <w:tc>
          <w:tcPr>
            <w:tcW w:w="46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U.S. agency commercial mortgage-backed</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6,869</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326</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7,195</w:t>
            </w:r>
          </w:p>
        </w:tc>
        <w:tc>
          <w:tcPr>
            <w:tcW w:w="0" w:type="dxa"/>
            <w:vAlign w:val="bottom"/>
          </w:tcPr>
          <w:p>
            <w:pPr>
              <w:spacing w:after="0"/>
              <w:rPr>
                <w:sz w:val="1"/>
                <w:szCs w:val="1"/>
                <w:color w:val="auto"/>
              </w:rPr>
            </w:pPr>
          </w:p>
        </w:tc>
      </w:tr>
      <w:tr>
        <w:trPr>
          <w:trHeight w:val="216"/>
        </w:trPr>
        <w:tc>
          <w:tcPr>
            <w:tcW w:w="4660" w:type="dxa"/>
            <w:vAlign w:val="bottom"/>
            <w:gridSpan w:val="3"/>
          </w:tcPr>
          <w:p>
            <w:pPr>
              <w:ind w:left="140"/>
              <w:spacing w:after="0"/>
              <w:rPr>
                <w:sz w:val="20"/>
                <w:szCs w:val="20"/>
                <w:color w:val="auto"/>
              </w:rPr>
            </w:pPr>
            <w:r>
              <w:rPr>
                <w:rFonts w:ascii="Arial" w:cs="Arial" w:eastAsia="Arial" w:hAnsi="Arial"/>
                <w:sz w:val="18"/>
                <w:szCs w:val="18"/>
                <w:color w:val="auto"/>
              </w:rPr>
              <w:t>Private label mortgage-backed</w:t>
            </w: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41,429</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1,539</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139</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42,829</w:t>
            </w:r>
          </w:p>
        </w:tc>
        <w:tc>
          <w:tcPr>
            <w:tcW w:w="0" w:type="dxa"/>
            <w:vAlign w:val="bottom"/>
          </w:tcPr>
          <w:p>
            <w:pPr>
              <w:spacing w:after="0"/>
              <w:rPr>
                <w:sz w:val="1"/>
                <w:szCs w:val="1"/>
                <w:color w:val="auto"/>
              </w:rPr>
            </w:pPr>
          </w:p>
        </w:tc>
      </w:tr>
      <w:tr>
        <w:trPr>
          <w:trHeight w:val="216"/>
        </w:trPr>
        <w:tc>
          <w:tcPr>
            <w:tcW w:w="46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Other asset backed</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252,596</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1,796</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211</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254,181</w:t>
            </w:r>
          </w:p>
        </w:tc>
        <w:tc>
          <w:tcPr>
            <w:tcW w:w="0" w:type="dxa"/>
            <w:vAlign w:val="bottom"/>
          </w:tcPr>
          <w:p>
            <w:pPr>
              <w:spacing w:after="0"/>
              <w:rPr>
                <w:sz w:val="1"/>
                <w:szCs w:val="1"/>
                <w:color w:val="auto"/>
              </w:rPr>
            </w:pPr>
          </w:p>
        </w:tc>
      </w:tr>
      <w:tr>
        <w:trPr>
          <w:trHeight w:val="216"/>
        </w:trPr>
        <w:tc>
          <w:tcPr>
            <w:tcW w:w="4660" w:type="dxa"/>
            <w:vAlign w:val="bottom"/>
            <w:gridSpan w:val="3"/>
          </w:tcPr>
          <w:p>
            <w:pPr>
              <w:ind w:left="140"/>
              <w:spacing w:after="0"/>
              <w:rPr>
                <w:sz w:val="20"/>
                <w:szCs w:val="20"/>
                <w:color w:val="auto"/>
              </w:rPr>
            </w:pPr>
            <w:r>
              <w:rPr>
                <w:rFonts w:ascii="Arial" w:cs="Arial" w:eastAsia="Arial" w:hAnsi="Arial"/>
                <w:sz w:val="18"/>
                <w:szCs w:val="18"/>
                <w:color w:val="auto"/>
              </w:rPr>
              <w:t>Obligations of states and political subdivisions</w:t>
            </w: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315,780</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8,691</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178</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324,293</w:t>
            </w:r>
          </w:p>
        </w:tc>
        <w:tc>
          <w:tcPr>
            <w:tcW w:w="0" w:type="dxa"/>
            <w:vAlign w:val="bottom"/>
          </w:tcPr>
          <w:p>
            <w:pPr>
              <w:spacing w:after="0"/>
              <w:rPr>
                <w:sz w:val="1"/>
                <w:szCs w:val="1"/>
                <w:color w:val="auto"/>
              </w:rPr>
            </w:pPr>
          </w:p>
        </w:tc>
      </w:tr>
      <w:tr>
        <w:trPr>
          <w:trHeight w:val="216"/>
        </w:trPr>
        <w:tc>
          <w:tcPr>
            <w:tcW w:w="46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Corporate</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82,307</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3,807</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86,017</w:t>
            </w:r>
          </w:p>
        </w:tc>
        <w:tc>
          <w:tcPr>
            <w:tcW w:w="0" w:type="dxa"/>
            <w:vAlign w:val="bottom"/>
          </w:tcPr>
          <w:p>
            <w:pPr>
              <w:spacing w:after="0"/>
              <w:rPr>
                <w:sz w:val="1"/>
                <w:szCs w:val="1"/>
                <w:color w:val="auto"/>
              </w:rPr>
            </w:pPr>
          </w:p>
        </w:tc>
      </w:tr>
      <w:tr>
        <w:trPr>
          <w:trHeight w:val="216"/>
        </w:trPr>
        <w:tc>
          <w:tcPr>
            <w:tcW w:w="4660" w:type="dxa"/>
            <w:vAlign w:val="bottom"/>
            <w:gridSpan w:val="3"/>
          </w:tcPr>
          <w:p>
            <w:pPr>
              <w:ind w:left="140"/>
              <w:spacing w:after="0"/>
              <w:rPr>
                <w:sz w:val="20"/>
                <w:szCs w:val="20"/>
                <w:color w:val="auto"/>
              </w:rPr>
            </w:pPr>
            <w:r>
              <w:rPr>
                <w:rFonts w:ascii="Arial" w:cs="Arial" w:eastAsia="Arial" w:hAnsi="Arial"/>
                <w:sz w:val="18"/>
                <w:szCs w:val="18"/>
                <w:color w:val="auto"/>
              </w:rPr>
              <w:t>Trust preferred</w:t>
            </w: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1,971</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173</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1,798</w:t>
            </w:r>
          </w:p>
        </w:tc>
        <w:tc>
          <w:tcPr>
            <w:tcW w:w="0" w:type="dxa"/>
            <w:vAlign w:val="bottom"/>
          </w:tcPr>
          <w:p>
            <w:pPr>
              <w:spacing w:after="0"/>
              <w:rPr>
                <w:sz w:val="1"/>
                <w:szCs w:val="1"/>
                <w:color w:val="auto"/>
              </w:rPr>
            </w:pPr>
          </w:p>
        </w:tc>
      </w:tr>
      <w:tr>
        <w:trPr>
          <w:trHeight w:val="216"/>
        </w:trPr>
        <w:tc>
          <w:tcPr>
            <w:tcW w:w="46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Foreign government</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500</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27"/>
        </w:trPr>
        <w:tc>
          <w:tcPr>
            <w:tcW w:w="3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36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Total</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1,052,132</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21,431</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1,404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1,072,159</w:t>
            </w:r>
          </w:p>
        </w:tc>
        <w:tc>
          <w:tcPr>
            <w:tcW w:w="0" w:type="dxa"/>
            <w:vAlign w:val="bottom"/>
          </w:tcPr>
          <w:p>
            <w:pPr>
              <w:spacing w:after="0"/>
              <w:rPr>
                <w:sz w:val="1"/>
                <w:szCs w:val="1"/>
                <w:color w:val="auto"/>
              </w:rPr>
            </w:pPr>
          </w:p>
        </w:tc>
      </w:tr>
      <w:tr>
        <w:trPr>
          <w:trHeight w:val="21"/>
        </w:trPr>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320" w:type="dxa"/>
            <w:vAlign w:val="bottom"/>
            <w:vMerge w:val="restart"/>
          </w:tcPr>
          <w:p>
            <w:pPr>
              <w:jc w:val="right"/>
              <w:ind w:right="170"/>
              <w:spacing w:after="0"/>
              <w:rPr>
                <w:sz w:val="20"/>
                <w:szCs w:val="20"/>
                <w:color w:val="auto"/>
              </w:rPr>
            </w:pPr>
            <w:r>
              <w:rPr>
                <w:rFonts w:ascii="Arial" w:cs="Arial" w:eastAsia="Arial" w:hAnsi="Arial"/>
                <w:sz w:val="18"/>
                <w:szCs w:val="18"/>
                <w:color w:val="auto"/>
              </w:rPr>
              <w:t>11</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41"/>
        </w:trPr>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3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34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362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2" w:right="339" w:bottom="1440" w:gutter="0" w:footer="0" w:header="0"/>
        </w:sectPr>
      </w:pPr>
    </w:p>
    <w:bookmarkStart w:id="12" w:name="page13"/>
    <w:bookmarkEnd w:id="1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0"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Our investments’ gross unrealized losses and fair values aggregated by investment type and length of time that individual securities have been at a continuous unrealized loss position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0" w:type="dxa"/>
            <w:vAlign w:val="bottom"/>
            <w:gridSpan w:val="5"/>
          </w:tcPr>
          <w:p>
            <w:pPr>
              <w:jc w:val="right"/>
              <w:ind w:right="540"/>
              <w:spacing w:after="0"/>
              <w:rPr>
                <w:sz w:val="20"/>
                <w:szCs w:val="20"/>
                <w:color w:val="auto"/>
              </w:rPr>
            </w:pPr>
            <w:r>
              <w:rPr>
                <w:rFonts w:ascii="Arial" w:cs="Arial" w:eastAsia="Arial" w:hAnsi="Arial"/>
                <w:sz w:val="18"/>
                <w:szCs w:val="18"/>
                <w:color w:val="auto"/>
                <w:w w:val="97"/>
              </w:rPr>
              <w:t>Less Than Twelve Months</w:t>
            </w:r>
          </w:p>
        </w:tc>
        <w:tc>
          <w:tcPr>
            <w:tcW w:w="160" w:type="dxa"/>
            <w:vAlign w:val="bottom"/>
          </w:tcPr>
          <w:p>
            <w:pPr>
              <w:spacing w:after="0"/>
              <w:rPr>
                <w:sz w:val="20"/>
                <w:szCs w:val="20"/>
                <w:color w:val="auto"/>
              </w:rPr>
            </w:pPr>
          </w:p>
        </w:tc>
        <w:tc>
          <w:tcPr>
            <w:tcW w:w="2520" w:type="dxa"/>
            <w:vAlign w:val="bottom"/>
            <w:gridSpan w:val="5"/>
          </w:tcPr>
          <w:p>
            <w:pPr>
              <w:jc w:val="right"/>
              <w:ind w:right="560"/>
              <w:spacing w:after="0"/>
              <w:rPr>
                <w:sz w:val="20"/>
                <w:szCs w:val="20"/>
                <w:color w:val="auto"/>
              </w:rPr>
            </w:pPr>
            <w:r>
              <w:rPr>
                <w:rFonts w:ascii="Arial" w:cs="Arial" w:eastAsia="Arial" w:hAnsi="Arial"/>
                <w:sz w:val="18"/>
                <w:szCs w:val="18"/>
                <w:color w:val="auto"/>
              </w:rPr>
              <w:t>Twelve Months or More</w:t>
            </w:r>
          </w:p>
        </w:tc>
        <w:tc>
          <w:tcPr>
            <w:tcW w:w="140" w:type="dxa"/>
            <w:vAlign w:val="bottom"/>
          </w:tcPr>
          <w:p>
            <w:pPr>
              <w:spacing w:after="0"/>
              <w:rPr>
                <w:sz w:val="20"/>
                <w:szCs w:val="20"/>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Total</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2"/>
        </w:trPr>
        <w:tc>
          <w:tcPr>
            <w:tcW w:w="32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70"/>
              <w:spacing w:after="0" w:line="201" w:lineRule="exact"/>
              <w:rPr>
                <w:sz w:val="20"/>
                <w:szCs w:val="20"/>
                <w:color w:val="auto"/>
              </w:rPr>
            </w:pPr>
            <w:r>
              <w:rPr>
                <w:rFonts w:ascii="Arial" w:cs="Arial" w:eastAsia="Arial" w:hAnsi="Arial"/>
                <w:sz w:val="18"/>
                <w:szCs w:val="18"/>
                <w:color w:val="auto"/>
                <w:w w:val="95"/>
              </w:rPr>
              <w:t>Unrealized</w:t>
            </w:r>
          </w:p>
        </w:tc>
        <w:tc>
          <w:tcPr>
            <w:tcW w:w="2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70"/>
              <w:spacing w:after="0" w:line="201" w:lineRule="exact"/>
              <w:rPr>
                <w:sz w:val="20"/>
                <w:szCs w:val="20"/>
                <w:color w:val="auto"/>
              </w:rPr>
            </w:pPr>
            <w:r>
              <w:rPr>
                <w:rFonts w:ascii="Arial" w:cs="Arial" w:eastAsia="Arial" w:hAnsi="Arial"/>
                <w:sz w:val="18"/>
                <w:szCs w:val="18"/>
                <w:color w:val="auto"/>
                <w:w w:val="92"/>
              </w:rPr>
              <w:t>Unrealized</w:t>
            </w: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70"/>
              <w:spacing w:after="0" w:line="201" w:lineRule="exact"/>
              <w:rPr>
                <w:sz w:val="20"/>
                <w:szCs w:val="20"/>
                <w:color w:val="auto"/>
              </w:rPr>
            </w:pPr>
            <w:r>
              <w:rPr>
                <w:rFonts w:ascii="Arial" w:cs="Arial" w:eastAsia="Arial" w:hAnsi="Arial"/>
                <w:sz w:val="18"/>
                <w:szCs w:val="18"/>
                <w:color w:val="auto"/>
                <w:w w:val="95"/>
              </w:rPr>
              <w:t>Unrealized</w:t>
            </w:r>
          </w:p>
        </w:tc>
        <w:tc>
          <w:tcPr>
            <w:tcW w:w="100" w:type="dxa"/>
            <w:vAlign w:val="bottom"/>
          </w:tcPr>
          <w:p>
            <w:pPr>
              <w:spacing w:after="0"/>
              <w:rPr>
                <w:sz w:val="17"/>
                <w:szCs w:val="17"/>
                <w:color w:val="auto"/>
              </w:rPr>
            </w:pPr>
          </w:p>
        </w:tc>
      </w:tr>
      <w:tr>
        <w:trPr>
          <w:trHeight w:val="237"/>
        </w:trPr>
        <w:tc>
          <w:tcPr>
            <w:tcW w:w="3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5"/>
              </w:rPr>
              <w:t>Fair Value</w:t>
            </w: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Losses</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2"/>
              </w:rPr>
              <w:t>Fair Value</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Losses</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2"/>
              </w:rPr>
              <w:t>Fair Value</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Losses</w:t>
            </w:r>
          </w:p>
        </w:tc>
        <w:tc>
          <w:tcPr>
            <w:tcW w:w="100" w:type="dxa"/>
            <w:vAlign w:val="bottom"/>
          </w:tcPr>
          <w:p>
            <w:pPr>
              <w:spacing w:after="0"/>
              <w:rPr>
                <w:sz w:val="20"/>
                <w:szCs w:val="20"/>
                <w:color w:val="auto"/>
              </w:rPr>
            </w:pPr>
          </w:p>
        </w:tc>
      </w:tr>
      <w:tr>
        <w:trPr>
          <w:trHeight w:val="230"/>
        </w:trPr>
        <w:tc>
          <w:tcPr>
            <w:tcW w:w="3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20" w:type="dxa"/>
            <w:vAlign w:val="bottom"/>
            <w:gridSpan w:val="5"/>
          </w:tcPr>
          <w:p>
            <w:pPr>
              <w:jc w:val="right"/>
              <w:ind w:right="980"/>
              <w:spacing w:after="0"/>
              <w:rPr>
                <w:sz w:val="20"/>
                <w:szCs w:val="20"/>
                <w:color w:val="auto"/>
              </w:rPr>
            </w:pPr>
            <w:r>
              <w:rPr>
                <w:rFonts w:ascii="Arial" w:cs="Arial" w:eastAsia="Arial" w:hAnsi="Arial"/>
                <w:sz w:val="18"/>
                <w:szCs w:val="18"/>
                <w:color w:val="auto"/>
              </w:rPr>
              <w:t>(In thousands)</w:t>
            </w: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8"/>
        </w:trPr>
        <w:tc>
          <w:tcPr>
            <w:tcW w:w="3280" w:type="dxa"/>
            <w:vAlign w:val="bottom"/>
          </w:tcPr>
          <w:p>
            <w:pPr>
              <w:jc w:val="center"/>
              <w:ind w:right="2170"/>
              <w:spacing w:after="0"/>
              <w:rPr>
                <w:sz w:val="20"/>
                <w:szCs w:val="20"/>
                <w:color w:val="auto"/>
              </w:rPr>
            </w:pPr>
            <w:r>
              <w:rPr>
                <w:rFonts w:ascii="Arial" w:cs="Arial" w:eastAsia="Arial" w:hAnsi="Arial"/>
                <w:sz w:val="18"/>
                <w:szCs w:val="18"/>
                <w:color w:val="auto"/>
                <w:w w:val="89"/>
              </w:rPr>
              <w:t>June 30, 2021</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U.S. agency</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1,491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1,491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r>
      <w:tr>
        <w:trPr>
          <w:trHeight w:val="216"/>
        </w:trPr>
        <w:tc>
          <w:tcPr>
            <w:tcW w:w="3280" w:type="dxa"/>
            <w:vAlign w:val="bottom"/>
          </w:tcPr>
          <w:p>
            <w:pPr>
              <w:ind w:left="140"/>
              <w:spacing w:after="0"/>
              <w:rPr>
                <w:sz w:val="20"/>
                <w:szCs w:val="20"/>
                <w:color w:val="auto"/>
              </w:rPr>
            </w:pPr>
            <w:r>
              <w:rPr>
                <w:rFonts w:ascii="Arial" w:cs="Arial" w:eastAsia="Arial" w:hAnsi="Arial"/>
                <w:sz w:val="18"/>
                <w:szCs w:val="18"/>
                <w:color w:val="auto"/>
                <w:w w:val="94"/>
              </w:rPr>
              <w:t>U.S. agency residential mortgage-backed</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144,894</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1,830</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6,617</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60</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151,511</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1,890</w:t>
            </w:r>
          </w:p>
        </w:tc>
      </w:tr>
      <w:tr>
        <w:trPr>
          <w:trHeight w:val="202"/>
        </w:trPr>
        <w:tc>
          <w:tcPr>
            <w:tcW w:w="328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U.S. agency commercial mortgage-</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280" w:type="dxa"/>
            <w:vAlign w:val="bottom"/>
            <w:shd w:val="clear" w:color="auto" w:fill="CCEEFF"/>
          </w:tcPr>
          <w:p>
            <w:pPr>
              <w:jc w:val="center"/>
              <w:ind w:right="2150"/>
              <w:spacing w:after="0"/>
              <w:rPr>
                <w:sz w:val="20"/>
                <w:szCs w:val="20"/>
                <w:color w:val="auto"/>
              </w:rPr>
            </w:pPr>
            <w:r>
              <w:rPr>
                <w:rFonts w:ascii="Arial" w:cs="Arial" w:eastAsia="Arial" w:hAnsi="Arial"/>
                <w:sz w:val="18"/>
                <w:szCs w:val="18"/>
                <w:color w:val="auto"/>
                <w:w w:val="89"/>
              </w:rPr>
              <w:t>backed</w:t>
            </w: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2,892</w:t>
            </w: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2,892</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r>
      <w:tr>
        <w:trPr>
          <w:trHeight w:val="216"/>
        </w:trPr>
        <w:tc>
          <w:tcPr>
            <w:tcW w:w="3280" w:type="dxa"/>
            <w:vAlign w:val="bottom"/>
          </w:tcPr>
          <w:p>
            <w:pPr>
              <w:ind w:left="140"/>
              <w:spacing w:after="0"/>
              <w:rPr>
                <w:sz w:val="20"/>
                <w:szCs w:val="20"/>
                <w:color w:val="auto"/>
              </w:rPr>
            </w:pPr>
            <w:r>
              <w:rPr>
                <w:rFonts w:ascii="Arial" w:cs="Arial" w:eastAsia="Arial" w:hAnsi="Arial"/>
                <w:sz w:val="18"/>
                <w:szCs w:val="18"/>
                <w:color w:val="auto"/>
              </w:rPr>
              <w:t>Private label mortgage-backed</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5,574</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27</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1,426</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7,000</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41</w:t>
            </w:r>
          </w:p>
        </w:tc>
      </w:tr>
      <w:tr>
        <w:trPr>
          <w:trHeight w:val="216"/>
        </w:trPr>
        <w:tc>
          <w:tcPr>
            <w:tcW w:w="3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asset backed</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10,466</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1,697</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12,163</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r>
      <w:tr>
        <w:trPr>
          <w:trHeight w:val="202"/>
        </w:trPr>
        <w:tc>
          <w:tcPr>
            <w:tcW w:w="3280" w:type="dxa"/>
            <w:vAlign w:val="bottom"/>
          </w:tcPr>
          <w:p>
            <w:pPr>
              <w:ind w:left="140"/>
              <w:spacing w:after="0" w:line="201" w:lineRule="exact"/>
              <w:rPr>
                <w:sz w:val="20"/>
                <w:szCs w:val="20"/>
                <w:color w:val="auto"/>
              </w:rPr>
            </w:pPr>
            <w:r>
              <w:rPr>
                <w:rFonts w:ascii="Arial" w:cs="Arial" w:eastAsia="Arial" w:hAnsi="Arial"/>
                <w:sz w:val="18"/>
                <w:szCs w:val="18"/>
                <w:color w:val="auto"/>
              </w:rPr>
              <w:t>Obligations of states and political</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280" w:type="dxa"/>
            <w:vAlign w:val="bottom"/>
          </w:tcPr>
          <w:p>
            <w:pPr>
              <w:jc w:val="center"/>
              <w:ind w:right="1770"/>
              <w:spacing w:after="0"/>
              <w:rPr>
                <w:sz w:val="20"/>
                <w:szCs w:val="20"/>
                <w:color w:val="auto"/>
              </w:rPr>
            </w:pPr>
            <w:r>
              <w:rPr>
                <w:rFonts w:ascii="Arial" w:cs="Arial" w:eastAsia="Arial" w:hAnsi="Arial"/>
                <w:sz w:val="18"/>
                <w:szCs w:val="18"/>
                <w:color w:val="auto"/>
                <w:w w:val="91"/>
              </w:rPr>
              <w:t>subdivisions</w:t>
            </w:r>
          </w:p>
        </w:tc>
        <w:tc>
          <w:tcPr>
            <w:tcW w:w="140" w:type="dxa"/>
            <w:vAlign w:val="bottom"/>
          </w:tcPr>
          <w:p>
            <w:pPr>
              <w:spacing w:after="0"/>
              <w:rPr>
                <w:sz w:val="20"/>
                <w:szCs w:val="20"/>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60,954</w:t>
            </w:r>
          </w:p>
        </w:tc>
        <w:tc>
          <w:tcPr>
            <w:tcW w:w="12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533</w:t>
            </w: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60,954</w:t>
            </w: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533</w:t>
            </w:r>
          </w:p>
        </w:tc>
      </w:tr>
      <w:tr>
        <w:trPr>
          <w:trHeight w:val="216"/>
        </w:trPr>
        <w:tc>
          <w:tcPr>
            <w:tcW w:w="3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20,313</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164</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547</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20,860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w:t>
            </w:r>
          </w:p>
        </w:tc>
      </w:tr>
      <w:tr>
        <w:trPr>
          <w:trHeight w:val="223"/>
        </w:trPr>
        <w:tc>
          <w:tcPr>
            <w:tcW w:w="3280" w:type="dxa"/>
            <w:vAlign w:val="bottom"/>
          </w:tcPr>
          <w:p>
            <w:pPr>
              <w:ind w:left="140"/>
              <w:spacing w:after="0"/>
              <w:rPr>
                <w:sz w:val="20"/>
                <w:szCs w:val="20"/>
                <w:color w:val="auto"/>
              </w:rPr>
            </w:pPr>
            <w:r>
              <w:rPr>
                <w:rFonts w:ascii="Arial" w:cs="Arial" w:eastAsia="Arial" w:hAnsi="Arial"/>
                <w:sz w:val="18"/>
                <w:szCs w:val="18"/>
                <w:color w:val="auto"/>
              </w:rPr>
              <w:t>Trust preferred</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1,867</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106</w:t>
            </w: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1,867</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106</w:t>
            </w:r>
          </w:p>
        </w:tc>
      </w:tr>
      <w:tr>
        <w:trPr>
          <w:trHeight w:val="256"/>
        </w:trPr>
        <w:tc>
          <w:tcPr>
            <w:tcW w:w="3280" w:type="dxa"/>
            <w:vAlign w:val="bottom"/>
            <w:tcBorders>
              <w:bottom w:val="single" w:sz="8" w:color="CCEEFF"/>
            </w:tcBorders>
            <w:shd w:val="clear" w:color="auto" w:fill="CCEEFF"/>
          </w:tcPr>
          <w:p>
            <w:pPr>
              <w:jc w:val="center"/>
              <w:ind w:right="2150"/>
              <w:spacing w:after="0"/>
              <w:rPr>
                <w:sz w:val="20"/>
                <w:szCs w:val="20"/>
                <w:color w:val="auto"/>
              </w:rPr>
            </w:pPr>
            <w:r>
              <w:rPr>
                <w:rFonts w:ascii="Arial" w:cs="Arial" w:eastAsia="Arial" w:hAnsi="Arial"/>
                <w:sz w:val="18"/>
                <w:szCs w:val="18"/>
                <w:color w:val="auto"/>
                <w:w w:val="89"/>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245,093</w:t>
            </w:r>
          </w:p>
        </w:tc>
        <w:tc>
          <w:tcPr>
            <w:tcW w:w="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2,585</w:t>
            </w:r>
          </w:p>
        </w:tc>
        <w:tc>
          <w:tcPr>
            <w:tcW w:w="2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13,645</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258,738</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2,788</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3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shd w:val="clear" w:color="auto" w:fill="CCEEFF"/>
          </w:tcPr>
          <w:p>
            <w:pPr>
              <w:jc w:val="center"/>
              <w:ind w:right="1770"/>
              <w:spacing w:after="0"/>
              <w:rPr>
                <w:sz w:val="20"/>
                <w:szCs w:val="20"/>
                <w:color w:val="auto"/>
              </w:rPr>
            </w:pPr>
            <w:r>
              <w:rPr>
                <w:rFonts w:ascii="Arial" w:cs="Arial" w:eastAsia="Arial" w:hAnsi="Arial"/>
                <w:sz w:val="18"/>
                <w:szCs w:val="18"/>
                <w:color w:val="auto"/>
                <w:w w:val="89"/>
              </w:rPr>
              <w:t>December 31, 2020</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280" w:type="dxa"/>
            <w:vAlign w:val="bottom"/>
          </w:tcPr>
          <w:p>
            <w:pPr>
              <w:ind w:left="140"/>
              <w:spacing w:after="0"/>
              <w:rPr>
                <w:sz w:val="20"/>
                <w:szCs w:val="20"/>
                <w:color w:val="auto"/>
              </w:rPr>
            </w:pPr>
            <w:r>
              <w:rPr>
                <w:rFonts w:ascii="Arial" w:cs="Arial" w:eastAsia="Arial" w:hAnsi="Arial"/>
                <w:sz w:val="18"/>
                <w:szCs w:val="18"/>
                <w:color w:val="auto"/>
              </w:rPr>
              <w:t>U.S. agency</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1,469</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2,329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3,798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r>
      <w:tr>
        <w:trPr>
          <w:trHeight w:val="216"/>
        </w:trPr>
        <w:tc>
          <w:tcPr>
            <w:tcW w:w="328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4"/>
              </w:rPr>
              <w:t>U.S. agency residential mortgage-backed</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96,839</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592</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96,922</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593</w:t>
            </w:r>
          </w:p>
        </w:tc>
      </w:tr>
      <w:tr>
        <w:trPr>
          <w:trHeight w:val="216"/>
        </w:trPr>
        <w:tc>
          <w:tcPr>
            <w:tcW w:w="3280" w:type="dxa"/>
            <w:vAlign w:val="bottom"/>
          </w:tcPr>
          <w:p>
            <w:pPr>
              <w:ind w:left="140"/>
              <w:spacing w:after="0"/>
              <w:rPr>
                <w:sz w:val="20"/>
                <w:szCs w:val="20"/>
                <w:color w:val="auto"/>
              </w:rPr>
            </w:pPr>
            <w:r>
              <w:rPr>
                <w:rFonts w:ascii="Arial" w:cs="Arial" w:eastAsia="Arial" w:hAnsi="Arial"/>
                <w:sz w:val="18"/>
                <w:szCs w:val="18"/>
                <w:color w:val="auto"/>
              </w:rPr>
              <w:t>Private label mortgage-backed</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11,838</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95</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2,050</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13,888</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139</w:t>
            </w:r>
          </w:p>
        </w:tc>
      </w:tr>
      <w:tr>
        <w:trPr>
          <w:trHeight w:val="216"/>
        </w:trPr>
        <w:tc>
          <w:tcPr>
            <w:tcW w:w="3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asset backed</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7,142</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21,197</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186</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28,339</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w:t>
            </w:r>
          </w:p>
        </w:tc>
      </w:tr>
      <w:tr>
        <w:trPr>
          <w:trHeight w:val="202"/>
        </w:trPr>
        <w:tc>
          <w:tcPr>
            <w:tcW w:w="3280" w:type="dxa"/>
            <w:vAlign w:val="bottom"/>
          </w:tcPr>
          <w:p>
            <w:pPr>
              <w:ind w:left="140"/>
              <w:spacing w:after="0" w:line="201" w:lineRule="exact"/>
              <w:rPr>
                <w:sz w:val="20"/>
                <w:szCs w:val="20"/>
                <w:color w:val="auto"/>
              </w:rPr>
            </w:pPr>
            <w:r>
              <w:rPr>
                <w:rFonts w:ascii="Arial" w:cs="Arial" w:eastAsia="Arial" w:hAnsi="Arial"/>
                <w:sz w:val="18"/>
                <w:szCs w:val="18"/>
                <w:color w:val="auto"/>
              </w:rPr>
              <w:t>Obligations of states and political</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280" w:type="dxa"/>
            <w:vAlign w:val="bottom"/>
          </w:tcPr>
          <w:p>
            <w:pPr>
              <w:jc w:val="center"/>
              <w:ind w:right="1770"/>
              <w:spacing w:after="0"/>
              <w:rPr>
                <w:sz w:val="20"/>
                <w:szCs w:val="20"/>
                <w:color w:val="auto"/>
              </w:rPr>
            </w:pPr>
            <w:r>
              <w:rPr>
                <w:rFonts w:ascii="Arial" w:cs="Arial" w:eastAsia="Arial" w:hAnsi="Arial"/>
                <w:sz w:val="18"/>
                <w:szCs w:val="18"/>
                <w:color w:val="auto"/>
                <w:w w:val="91"/>
              </w:rPr>
              <w:t>subdivisions</w:t>
            </w:r>
          </w:p>
        </w:tc>
        <w:tc>
          <w:tcPr>
            <w:tcW w:w="140" w:type="dxa"/>
            <w:vAlign w:val="bottom"/>
          </w:tcPr>
          <w:p>
            <w:pPr>
              <w:spacing w:after="0"/>
              <w:rPr>
                <w:sz w:val="20"/>
                <w:szCs w:val="20"/>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28,957</w:t>
            </w:r>
          </w:p>
        </w:tc>
        <w:tc>
          <w:tcPr>
            <w:tcW w:w="12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177</w:t>
            </w: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800</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29,757</w:t>
            </w: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178</w:t>
            </w:r>
          </w:p>
        </w:tc>
      </w:tr>
      <w:tr>
        <w:trPr>
          <w:trHeight w:val="216"/>
        </w:trPr>
        <w:tc>
          <w:tcPr>
            <w:tcW w:w="3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1,924</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97</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1,924</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w:t>
            </w:r>
          </w:p>
        </w:tc>
      </w:tr>
      <w:tr>
        <w:trPr>
          <w:trHeight w:val="223"/>
        </w:trPr>
        <w:tc>
          <w:tcPr>
            <w:tcW w:w="3280" w:type="dxa"/>
            <w:vAlign w:val="bottom"/>
          </w:tcPr>
          <w:p>
            <w:pPr>
              <w:ind w:left="140"/>
              <w:spacing w:after="0"/>
              <w:rPr>
                <w:sz w:val="20"/>
                <w:szCs w:val="20"/>
                <w:color w:val="auto"/>
              </w:rPr>
            </w:pPr>
            <w:r>
              <w:rPr>
                <w:rFonts w:ascii="Arial" w:cs="Arial" w:eastAsia="Arial" w:hAnsi="Arial"/>
                <w:sz w:val="18"/>
                <w:szCs w:val="18"/>
                <w:color w:val="auto"/>
              </w:rPr>
              <w:t>Trust preferred</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1,798</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173</w:t>
            </w: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1,798</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173</w:t>
            </w:r>
          </w:p>
        </w:tc>
      </w:tr>
      <w:tr>
        <w:trPr>
          <w:trHeight w:val="257"/>
        </w:trPr>
        <w:tc>
          <w:tcPr>
            <w:tcW w:w="3280" w:type="dxa"/>
            <w:vAlign w:val="bottom"/>
            <w:tcBorders>
              <w:bottom w:val="single" w:sz="8" w:color="CCEEFF"/>
            </w:tcBorders>
            <w:shd w:val="clear" w:color="auto" w:fill="CCEEFF"/>
          </w:tcPr>
          <w:p>
            <w:pPr>
              <w:jc w:val="center"/>
              <w:ind w:right="2150"/>
              <w:spacing w:after="0"/>
              <w:rPr>
                <w:sz w:val="20"/>
                <w:szCs w:val="20"/>
                <w:color w:val="auto"/>
              </w:rPr>
            </w:pPr>
            <w:r>
              <w:rPr>
                <w:rFonts w:ascii="Arial" w:cs="Arial" w:eastAsia="Arial" w:hAnsi="Arial"/>
                <w:sz w:val="18"/>
                <w:szCs w:val="18"/>
                <w:color w:val="auto"/>
                <w:w w:val="89"/>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148,169</w:t>
            </w:r>
          </w:p>
        </w:tc>
        <w:tc>
          <w:tcPr>
            <w:tcW w:w="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989</w:t>
            </w:r>
          </w:p>
        </w:tc>
        <w:tc>
          <w:tcPr>
            <w:tcW w:w="2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28,257</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176,426</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1,404</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399"/>
        </w:trPr>
        <w:tc>
          <w:tcPr>
            <w:tcW w:w="3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1"/>
        </w:trPr>
        <w:tc>
          <w:tcPr>
            <w:tcW w:w="32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r>
    </w:tbl>
    <w:p>
      <w:pPr>
        <w:sectPr>
          <w:pgSz w:w="11900" w:h="16838" w:orient="portrait"/>
          <w:cols w:equalWidth="0" w:num="1">
            <w:col w:w="11240"/>
          </w:cols>
          <w:pgMar w:left="320" w:top="122" w:right="339" w:bottom="1440" w:gutter="0" w:footer="0" w:header="0"/>
        </w:sectPr>
      </w:pPr>
    </w:p>
    <w:bookmarkStart w:id="13" w:name="page14"/>
    <w:bookmarkEnd w:id="1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Securities available for sale in unrealized loss positions are evaluated quarterly for impairment related to credit losses. For securities available for sale in an unrealized loss position, we first assess whether we intend to sell, or it is more likely than not that we will be required to sell the security before recovery of its amortized cost basis. If either of the criteria regarding intent or requirement to sell is met, the security’s amortized cost basis is written down to fair value through income. For securities available for sale that do not meet this criteria, we evaluate whether the decline in fair value has resulted from credit losses or other factors. In making this assessment, we consider the extent to which fair value is less than amortized cost, adverse conditions specifically related to the security and the issuer and the impact of changes in market interest rates on the market value of the security, among other factors. If this assessment indicates that a credit loss exists, we compare the present value of cash flows expected to be collected from the security with the amortized cost basis of the security. If the present value of cash flows expected to be collected is less than the amortized cost basis for the security, a credit loss exists and an ACL is recorded, limited to the amount that the fair value of the security is less than its amortized cost basis. Any impairment that has not been recorded through an ACL is recognized in other comprehensive income (loss), net of applicable taxes. No ACL for securities available for sale was needed at June 30, 2021. Accrued interest receivable on securities available for sale totaled $5.4 million at June 30, 2021 and is excluded from the estimate of credit losses.</w:t>
      </w:r>
    </w:p>
    <w:p>
      <w:pPr>
        <w:spacing w:after="0" w:line="20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231F20"/>
        </w:rPr>
        <w:t>U.S. agency, U.S. agency residential mortgage-backed and U.S. agency commercial mortgage-backed securities — at June 30, 2021, we had 12 U.S. agency, 47 U.S. agency residential mortgage-backed and eight U.S. agency commercial mortgage-backed securities whose fair value is less than amortized cost. These securities are either explicitly or implicitly guaranteed by the U.S. government, are highly rated by major credit rating agencies, and have a long history of no credit losses. The unrealized losses are largely attributed to widening spreads to Treasury bonds and/or an increase in interest rates since acquisition.</w:t>
      </w:r>
    </w:p>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231F20"/>
        </w:rPr>
        <w:t xml:space="preserve">Private label mortgage backed, other asset backed and corporate securities — at June 30, 2021, we had </w:t>
      </w:r>
      <w:r>
        <w:rPr>
          <w:rFonts w:ascii="Arial" w:cs="Arial" w:eastAsia="Arial" w:hAnsi="Arial"/>
          <w:sz w:val="18"/>
          <w:szCs w:val="18"/>
          <w:color w:val="000000"/>
        </w:rPr>
        <w:t>14</w:t>
      </w:r>
      <w:r>
        <w:rPr>
          <w:rFonts w:ascii="Arial" w:cs="Arial" w:eastAsia="Arial" w:hAnsi="Arial"/>
          <w:sz w:val="18"/>
          <w:szCs w:val="18"/>
          <w:color w:val="231F20"/>
        </w:rPr>
        <w:t xml:space="preserve"> private label mortgage backed, </w:t>
      </w:r>
      <w:r>
        <w:rPr>
          <w:rFonts w:ascii="Arial" w:cs="Arial" w:eastAsia="Arial" w:hAnsi="Arial"/>
          <w:sz w:val="18"/>
          <w:szCs w:val="18"/>
          <w:color w:val="000000"/>
        </w:rPr>
        <w:t>17</w:t>
      </w:r>
      <w:r>
        <w:rPr>
          <w:rFonts w:ascii="Arial" w:cs="Arial" w:eastAsia="Arial" w:hAnsi="Arial"/>
          <w:sz w:val="18"/>
          <w:szCs w:val="18"/>
          <w:color w:val="231F20"/>
        </w:rPr>
        <w:t xml:space="preserve"> other asset backed and </w:t>
      </w:r>
      <w:r>
        <w:rPr>
          <w:rFonts w:ascii="Arial" w:cs="Arial" w:eastAsia="Arial" w:hAnsi="Arial"/>
          <w:sz w:val="18"/>
          <w:szCs w:val="18"/>
          <w:color w:val="000000"/>
        </w:rPr>
        <w:t>19</w:t>
      </w:r>
      <w:r>
        <w:rPr>
          <w:rFonts w:ascii="Arial" w:cs="Arial" w:eastAsia="Arial" w:hAnsi="Arial"/>
          <w:sz w:val="18"/>
          <w:szCs w:val="18"/>
          <w:color w:val="231F20"/>
        </w:rPr>
        <w:t xml:space="preserve"> corporate securities whose fair value is less than amortized cost. The unrealized losses are primarily due to credit spread widening </w:t>
      </w:r>
      <w:r>
        <w:rPr>
          <w:rFonts w:ascii="Arial" w:cs="Arial" w:eastAsia="Arial" w:hAnsi="Arial"/>
          <w:sz w:val="18"/>
          <w:szCs w:val="18"/>
          <w:color w:val="000000"/>
        </w:rPr>
        <w:t>and/or an</w:t>
      </w:r>
      <w:r>
        <w:rPr>
          <w:rFonts w:ascii="Arial" w:cs="Arial" w:eastAsia="Arial" w:hAnsi="Arial"/>
          <w:sz w:val="18"/>
          <w:szCs w:val="18"/>
          <w:color w:val="231F20"/>
        </w:rPr>
        <w:t xml:space="preserve"> </w:t>
      </w:r>
      <w:r>
        <w:rPr>
          <w:rFonts w:ascii="Arial" w:cs="Arial" w:eastAsia="Arial" w:hAnsi="Arial"/>
          <w:sz w:val="18"/>
          <w:szCs w:val="18"/>
          <w:color w:val="000000"/>
        </w:rPr>
        <w:t xml:space="preserve">increase in interest rates </w:t>
      </w:r>
      <w:r>
        <w:rPr>
          <w:rFonts w:ascii="Arial" w:cs="Arial" w:eastAsia="Arial" w:hAnsi="Arial"/>
          <w:sz w:val="18"/>
          <w:szCs w:val="18"/>
          <w:color w:val="231F20"/>
        </w:rPr>
        <w:t>since acquisition.</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231F20"/>
        </w:rPr>
        <w:t>O</w:t>
      </w:r>
      <w:r>
        <w:rPr>
          <w:rFonts w:ascii="Arial" w:cs="Arial" w:eastAsia="Arial" w:hAnsi="Arial"/>
          <w:sz w:val="18"/>
          <w:szCs w:val="18"/>
          <w:color w:val="000000"/>
        </w:rPr>
        <w:t>bligations of states and political subdivisions — at June 30, 2021, we ha</w:t>
      </w:r>
      <w:r>
        <w:rPr>
          <w:rFonts w:ascii="Arial" w:cs="Arial" w:eastAsia="Arial" w:hAnsi="Arial"/>
          <w:sz w:val="18"/>
          <w:szCs w:val="18"/>
          <w:color w:val="231F20"/>
        </w:rPr>
        <w:t xml:space="preserve">d </w:t>
      </w:r>
      <w:r>
        <w:rPr>
          <w:rFonts w:ascii="Arial" w:cs="Arial" w:eastAsia="Arial" w:hAnsi="Arial"/>
          <w:sz w:val="18"/>
          <w:szCs w:val="18"/>
          <w:color w:val="000000"/>
        </w:rPr>
        <w:t>116</w:t>
      </w:r>
      <w:r>
        <w:rPr>
          <w:rFonts w:ascii="Arial" w:cs="Arial" w:eastAsia="Arial" w:hAnsi="Arial"/>
          <w:sz w:val="18"/>
          <w:szCs w:val="18"/>
          <w:color w:val="231F20"/>
        </w:rPr>
        <w:t xml:space="preserve"> municipal securities whose fair value is less than amortized cost. </w:t>
      </w:r>
      <w:r>
        <w:rPr>
          <w:rFonts w:ascii="Arial" w:cs="Arial" w:eastAsia="Arial" w:hAnsi="Arial"/>
          <w:sz w:val="18"/>
          <w:szCs w:val="18"/>
          <w:color w:val="000000"/>
        </w:rPr>
        <w:t>The</w:t>
      </w:r>
      <w:r>
        <w:rPr>
          <w:rFonts w:ascii="Arial" w:cs="Arial" w:eastAsia="Arial" w:hAnsi="Arial"/>
          <w:sz w:val="18"/>
          <w:szCs w:val="18"/>
          <w:color w:val="231F20"/>
        </w:rPr>
        <w:t xml:space="preserve"> </w:t>
      </w:r>
      <w:r>
        <w:rPr>
          <w:rFonts w:ascii="Arial" w:cs="Arial" w:eastAsia="Arial" w:hAnsi="Arial"/>
          <w:sz w:val="18"/>
          <w:szCs w:val="18"/>
          <w:color w:val="000000"/>
        </w:rPr>
        <w:t xml:space="preserve">unrealized losses are </w:t>
      </w:r>
      <w:r>
        <w:rPr>
          <w:rFonts w:ascii="Arial" w:cs="Arial" w:eastAsia="Arial" w:hAnsi="Arial"/>
          <w:sz w:val="18"/>
          <w:szCs w:val="18"/>
          <w:color w:val="231F20"/>
        </w:rPr>
        <w:t>primarily due to</w:t>
      </w:r>
      <w:r>
        <w:rPr>
          <w:rFonts w:ascii="Arial" w:cs="Arial" w:eastAsia="Arial" w:hAnsi="Arial"/>
          <w:sz w:val="18"/>
          <w:szCs w:val="18"/>
          <w:color w:val="000000"/>
        </w:rPr>
        <w:t xml:space="preserve"> an increase in interest rates </w:t>
      </w:r>
      <w:r>
        <w:rPr>
          <w:rFonts w:ascii="Arial" w:cs="Arial" w:eastAsia="Arial" w:hAnsi="Arial"/>
          <w:sz w:val="18"/>
          <w:szCs w:val="18"/>
          <w:color w:val="231F20"/>
        </w:rPr>
        <w:t>since</w:t>
      </w:r>
      <w:r>
        <w:rPr>
          <w:rFonts w:ascii="Arial" w:cs="Arial" w:eastAsia="Arial" w:hAnsi="Arial"/>
          <w:sz w:val="18"/>
          <w:szCs w:val="18"/>
          <w:color w:val="000000"/>
        </w:rPr>
        <w:t xml:space="preserve"> acquisition.</w:t>
      </w:r>
    </w:p>
    <w:p>
      <w:pPr>
        <w:spacing w:after="0" w:line="19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231F20"/>
        </w:rPr>
        <w:t xml:space="preserve">Trust preferred securities — at </w:t>
      </w:r>
      <w:r>
        <w:rPr>
          <w:rFonts w:ascii="Arial" w:cs="Arial" w:eastAsia="Arial" w:hAnsi="Arial"/>
          <w:sz w:val="17"/>
          <w:szCs w:val="17"/>
          <w:color w:val="000000"/>
        </w:rPr>
        <w:t>June 30, 2021</w:t>
      </w:r>
      <w:r>
        <w:rPr>
          <w:rFonts w:ascii="Arial" w:cs="Arial" w:eastAsia="Arial" w:hAnsi="Arial"/>
          <w:sz w:val="17"/>
          <w:szCs w:val="17"/>
          <w:color w:val="231F20"/>
        </w:rPr>
        <w:t xml:space="preserve">, </w:t>
      </w:r>
      <w:r>
        <w:rPr>
          <w:rFonts w:ascii="Arial" w:cs="Arial" w:eastAsia="Arial" w:hAnsi="Arial"/>
          <w:sz w:val="17"/>
          <w:szCs w:val="17"/>
          <w:color w:val="000000"/>
        </w:rPr>
        <w:t>we had two trust preferred securities whose fair value is less than amortized cost. Both of our trust preferred</w:t>
      </w:r>
      <w:r>
        <w:rPr>
          <w:rFonts w:ascii="Arial" w:cs="Arial" w:eastAsia="Arial" w:hAnsi="Arial"/>
          <w:sz w:val="17"/>
          <w:szCs w:val="17"/>
          <w:color w:val="231F20"/>
        </w:rPr>
        <w:t xml:space="preserve"> </w:t>
      </w:r>
      <w:r>
        <w:rPr>
          <w:rFonts w:ascii="Arial" w:cs="Arial" w:eastAsia="Arial" w:hAnsi="Arial"/>
          <w:sz w:val="17"/>
          <w:szCs w:val="17"/>
          <w:color w:val="000000"/>
        </w:rPr>
        <w:t>securities are single issue securities issued by a trust subsidiary of a bank holding company. The pricing of trust preferred securities has suffered from credit spread widening. One of the securities is rated by a major rating agency as investment grade while the other one is non-rated. The non-rated issue is a relatively small bank and was never rated. The issuer of this non-rated trust preferred security, which had a total amortized cost of $1.0 million and total fair value of $0.91 million as of June 30, 2021, continues to have satisfactory credit metrics and make interest payments.</w:t>
      </w:r>
    </w:p>
    <w:p>
      <w:pPr>
        <w:spacing w:after="0" w:line="2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231F20"/>
        </w:rPr>
        <w:t>At June 31, 2021 management does not intend to liquidate any of the securities discussed above and it is more likely than not that we will not be required to sell these securities prior to recovery of these unrealized losse</w:t>
      </w:r>
      <w:r>
        <w:rPr>
          <w:rFonts w:ascii="Arial" w:cs="Arial" w:eastAsia="Arial" w:hAnsi="Arial"/>
          <w:sz w:val="18"/>
          <w:szCs w:val="18"/>
          <w:color w:val="000000"/>
        </w:rPr>
        <w:t>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recorded no credit related charges in our Condensed Consolidated Statements of Operations related to securities available for sale during the six month periods ended June 30, 2021 and 2020, respectively.</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80" w:type="dxa"/>
            <w:vAlign w:val="bottom"/>
          </w:tcPr>
          <w:p>
            <w:pPr>
              <w:spacing w:after="0"/>
              <w:rPr>
                <w:sz w:val="20"/>
                <w:szCs w:val="20"/>
                <w:color w:val="auto"/>
              </w:rPr>
            </w:pPr>
            <w:r>
              <w:rPr>
                <w:rFonts w:ascii="Arial" w:cs="Arial" w:eastAsia="Arial" w:hAnsi="Arial"/>
                <w:sz w:val="18"/>
                <w:szCs w:val="18"/>
                <w:color w:val="auto"/>
                <w:w w:val="96"/>
              </w:rPr>
              <w:t>The amortized cost and fair value of securities available for sale at June 30, 2021, by contractual maturity, follow:</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5"/>
        </w:trPr>
        <w:tc>
          <w:tcPr>
            <w:tcW w:w="8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316"/>
              <w:spacing w:after="0"/>
              <w:rPr>
                <w:sz w:val="20"/>
                <w:szCs w:val="20"/>
                <w:color w:val="auto"/>
              </w:rPr>
            </w:pPr>
            <w:r>
              <w:rPr>
                <w:rFonts w:ascii="Arial" w:cs="Arial" w:eastAsia="Arial" w:hAnsi="Arial"/>
                <w:sz w:val="18"/>
                <w:szCs w:val="18"/>
                <w:color w:val="auto"/>
                <w:w w:val="96"/>
              </w:rPr>
              <w:t>Amortized</w:t>
            </w:r>
          </w:p>
        </w:tc>
        <w:tc>
          <w:tcPr>
            <w:tcW w:w="220" w:type="dxa"/>
            <w:vAlign w:val="bottom"/>
          </w:tcPr>
          <w:p>
            <w:pPr>
              <w:spacing w:after="0"/>
              <w:rPr>
                <w:sz w:val="24"/>
                <w:szCs w:val="24"/>
                <w:color w:val="auto"/>
              </w:rPr>
            </w:pPr>
          </w:p>
        </w:tc>
        <w:tc>
          <w:tcPr>
            <w:tcW w:w="1000" w:type="dxa"/>
            <w:vAlign w:val="bottom"/>
            <w:gridSpan w:val="2"/>
          </w:tcPr>
          <w:p>
            <w:pPr>
              <w:ind w:left="200"/>
              <w:spacing w:after="0"/>
              <w:rPr>
                <w:sz w:val="20"/>
                <w:szCs w:val="20"/>
                <w:color w:val="auto"/>
              </w:rPr>
            </w:pPr>
            <w:r>
              <w:rPr>
                <w:rFonts w:ascii="Arial" w:cs="Arial" w:eastAsia="Arial" w:hAnsi="Arial"/>
                <w:sz w:val="18"/>
                <w:szCs w:val="18"/>
                <w:color w:val="auto"/>
              </w:rPr>
              <w:t>Fair</w:t>
            </w:r>
          </w:p>
        </w:tc>
      </w:tr>
      <w:tr>
        <w:trPr>
          <w:trHeight w:val="237"/>
        </w:trPr>
        <w:tc>
          <w:tcPr>
            <w:tcW w:w="86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Cost</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Value</w:t>
            </w: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(In</w:t>
            </w:r>
          </w:p>
        </w:tc>
        <w:tc>
          <w:tcPr>
            <w:tcW w:w="1340" w:type="dxa"/>
            <w:vAlign w:val="bottom"/>
            <w:gridSpan w:val="3"/>
          </w:tcPr>
          <w:p>
            <w:pPr>
              <w:jc w:val="right"/>
              <w:ind w:right="630"/>
              <w:spacing w:after="0"/>
              <w:rPr>
                <w:sz w:val="20"/>
                <w:szCs w:val="20"/>
                <w:color w:val="auto"/>
              </w:rPr>
            </w:pPr>
            <w:r>
              <w:rPr>
                <w:rFonts w:ascii="Arial" w:cs="Arial" w:eastAsia="Arial" w:hAnsi="Arial"/>
                <w:sz w:val="17"/>
                <w:szCs w:val="17"/>
                <w:color w:val="auto"/>
                <w:w w:val="71"/>
              </w:rPr>
              <w:t>thousands)</w:t>
            </w: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Maturing within one year</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36"/>
              <w:spacing w:after="0"/>
              <w:rPr>
                <w:sz w:val="20"/>
                <w:szCs w:val="20"/>
                <w:color w:val="auto"/>
              </w:rPr>
            </w:pPr>
            <w:r>
              <w:rPr>
                <w:rFonts w:ascii="Arial" w:cs="Arial" w:eastAsia="Arial" w:hAnsi="Arial"/>
                <w:sz w:val="18"/>
                <w:szCs w:val="18"/>
                <w:color w:val="auto"/>
              </w:rPr>
              <w:t>15,770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16,080</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Maturing after one year but within five years</w:t>
            </w:r>
          </w:p>
        </w:tc>
        <w:tc>
          <w:tcPr>
            <w:tcW w:w="140" w:type="dxa"/>
            <w:vAlign w:val="bottom"/>
          </w:tcPr>
          <w:p>
            <w:pPr>
              <w:spacing w:after="0"/>
              <w:rPr>
                <w:sz w:val="18"/>
                <w:szCs w:val="18"/>
                <w:color w:val="auto"/>
              </w:rPr>
            </w:pPr>
          </w:p>
        </w:tc>
        <w:tc>
          <w:tcPr>
            <w:tcW w:w="1200" w:type="dxa"/>
            <w:vAlign w:val="bottom"/>
            <w:gridSpan w:val="2"/>
          </w:tcPr>
          <w:p>
            <w:pPr>
              <w:jc w:val="right"/>
              <w:ind w:right="136"/>
              <w:spacing w:after="0"/>
              <w:rPr>
                <w:sz w:val="20"/>
                <w:szCs w:val="20"/>
                <w:color w:val="auto"/>
              </w:rPr>
            </w:pPr>
            <w:r>
              <w:rPr>
                <w:rFonts w:ascii="Arial" w:cs="Arial" w:eastAsia="Arial" w:hAnsi="Arial"/>
                <w:sz w:val="18"/>
                <w:szCs w:val="18"/>
                <w:color w:val="auto"/>
              </w:rPr>
              <w:t>112,878</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116,373</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Maturing after five years but within ten years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165,791</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171,342</w:t>
            </w: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Maturing after ten years</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373,843</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377,998</w:t>
            </w:r>
          </w:p>
        </w:tc>
      </w:tr>
      <w:tr>
        <w:trPr>
          <w:trHeight w:val="216"/>
        </w:trPr>
        <w:tc>
          <w:tcPr>
            <w:tcW w:w="86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668,282</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681,793</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U.S. agency residential mortgage-backed</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364,072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365,367</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U.S. agency commercial mortgage-backed</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36"/>
              <w:spacing w:after="0"/>
              <w:rPr>
                <w:sz w:val="20"/>
                <w:szCs w:val="20"/>
                <w:color w:val="auto"/>
              </w:rPr>
            </w:pPr>
            <w:r>
              <w:rPr>
                <w:rFonts w:ascii="Arial" w:cs="Arial" w:eastAsia="Arial" w:hAnsi="Arial"/>
                <w:sz w:val="18"/>
                <w:szCs w:val="18"/>
                <w:color w:val="auto"/>
              </w:rPr>
              <w:t>18,829</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19,010</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Private label mortgage-backed</w:t>
            </w:r>
          </w:p>
        </w:tc>
        <w:tc>
          <w:tcPr>
            <w:tcW w:w="140" w:type="dxa"/>
            <w:vAlign w:val="bottom"/>
          </w:tcPr>
          <w:p>
            <w:pPr>
              <w:spacing w:after="0"/>
              <w:rPr>
                <w:sz w:val="18"/>
                <w:szCs w:val="18"/>
                <w:color w:val="auto"/>
              </w:rPr>
            </w:pPr>
          </w:p>
        </w:tc>
        <w:tc>
          <w:tcPr>
            <w:tcW w:w="1200" w:type="dxa"/>
            <w:vAlign w:val="bottom"/>
            <w:gridSpan w:val="2"/>
          </w:tcPr>
          <w:p>
            <w:pPr>
              <w:jc w:val="right"/>
              <w:ind w:right="136"/>
              <w:spacing w:after="0"/>
              <w:rPr>
                <w:sz w:val="20"/>
                <w:szCs w:val="20"/>
                <w:color w:val="auto"/>
              </w:rPr>
            </w:pPr>
            <w:r>
              <w:rPr>
                <w:rFonts w:ascii="Arial" w:cs="Arial" w:eastAsia="Arial" w:hAnsi="Arial"/>
                <w:sz w:val="18"/>
                <w:szCs w:val="18"/>
                <w:color w:val="auto"/>
              </w:rPr>
              <w:t>67,976</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69,264</w:t>
            </w: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asset backed</w:t>
            </w: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193,509</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195,226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color w:val="auto"/>
              </w:rPr>
              <w:t>Total</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1,312,668</w:t>
            </w:r>
          </w:p>
        </w:tc>
        <w:tc>
          <w:tcPr>
            <w:tcW w:w="2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1,330,660</w:t>
            </w:r>
          </w:p>
        </w:tc>
      </w:tr>
      <w:tr>
        <w:trPr>
          <w:trHeight w:val="21"/>
        </w:trPr>
        <w:tc>
          <w:tcPr>
            <w:tcW w:w="8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actual maturity may differ from the contractual maturity because issuers may have the right to call or prepay obligations with or without call or prepayment penalties.</w:t>
      </w:r>
    </w:p>
    <w:p>
      <w:pPr>
        <w:spacing w:after="0" w:line="19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Gains and losses realized on the sale of securities available for sale are determined using the specific identification method and are recognized on a trade-date basis. A summary of proceeds from the sale of securities available for sale and gains and losses for the six month periods ending June 30,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Realized</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7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ind w:left="60"/>
              <w:spacing w:after="0"/>
              <w:rPr>
                <w:sz w:val="20"/>
                <w:szCs w:val="20"/>
                <w:color w:val="auto"/>
              </w:rPr>
            </w:pPr>
            <w:r>
              <w:rPr>
                <w:rFonts w:ascii="Arial" w:cs="Arial" w:eastAsia="Arial" w:hAnsi="Arial"/>
                <w:sz w:val="18"/>
                <w:szCs w:val="18"/>
                <w:color w:val="auto"/>
              </w:rPr>
              <w:t>Proceeds</w:t>
            </w:r>
          </w:p>
        </w:tc>
        <w:tc>
          <w:tcPr>
            <w:tcW w:w="220" w:type="dxa"/>
            <w:vAlign w:val="bottom"/>
          </w:tcPr>
          <w:p>
            <w:pPr>
              <w:spacing w:after="0"/>
              <w:rPr>
                <w:sz w:val="19"/>
                <w:szCs w:val="19"/>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Gains</w:t>
            </w:r>
          </w:p>
        </w:tc>
        <w:tc>
          <w:tcPr>
            <w:tcW w:w="260" w:type="dxa"/>
            <w:vAlign w:val="bottom"/>
          </w:tcPr>
          <w:p>
            <w:pPr>
              <w:spacing w:after="0"/>
              <w:rPr>
                <w:sz w:val="19"/>
                <w:szCs w:val="19"/>
                <w:color w:val="auto"/>
              </w:rPr>
            </w:pPr>
          </w:p>
        </w:tc>
        <w:tc>
          <w:tcPr>
            <w:tcW w:w="860" w:type="dxa"/>
            <w:vAlign w:val="bottom"/>
          </w:tcPr>
          <w:p>
            <w:pPr>
              <w:jc w:val="right"/>
              <w:ind w:right="230"/>
              <w:spacing w:after="0"/>
              <w:rPr>
                <w:sz w:val="20"/>
                <w:szCs w:val="20"/>
                <w:color w:val="auto"/>
              </w:rPr>
            </w:pPr>
            <w:r>
              <w:rPr>
                <w:rFonts w:ascii="Arial" w:cs="Arial" w:eastAsia="Arial" w:hAnsi="Arial"/>
                <w:sz w:val="18"/>
                <w:szCs w:val="18"/>
                <w:color w:val="auto"/>
                <w:w w:val="91"/>
              </w:rPr>
              <w:t>Losses</w:t>
            </w:r>
          </w:p>
        </w:tc>
        <w:tc>
          <w:tcPr>
            <w:tcW w:w="100" w:type="dxa"/>
            <w:vAlign w:val="bottom"/>
          </w:tcPr>
          <w:p>
            <w:pPr>
              <w:spacing w:after="0"/>
              <w:rPr>
                <w:sz w:val="19"/>
                <w:szCs w:val="19"/>
                <w:color w:val="auto"/>
              </w:rPr>
            </w:pPr>
          </w:p>
        </w:tc>
      </w:tr>
      <w:tr>
        <w:trPr>
          <w:trHeight w:val="216"/>
        </w:trPr>
        <w:tc>
          <w:tcPr>
            <w:tcW w:w="73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w w:val="92"/>
              </w:rPr>
              <w:t>(In thousands)</w:t>
            </w: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jc w:val="right"/>
              <w:ind w:right="6870"/>
              <w:spacing w:after="0"/>
              <w:rPr>
                <w:sz w:val="20"/>
                <w:szCs w:val="20"/>
                <w:color w:val="auto"/>
              </w:rPr>
            </w:pPr>
            <w:r>
              <w:rPr>
                <w:rFonts w:ascii="Arial" w:cs="Arial" w:eastAsia="Arial" w:hAnsi="Arial"/>
                <w:sz w:val="18"/>
                <w:szCs w:val="18"/>
                <w:color w:val="auto"/>
                <w:w w:val="84"/>
              </w:rPr>
              <w:t>2021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81,178</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1,466</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w:t>
            </w:r>
          </w:p>
        </w:tc>
      </w:tr>
      <w:tr>
        <w:trPr>
          <w:trHeight w:val="230"/>
        </w:trPr>
        <w:tc>
          <w:tcPr>
            <w:tcW w:w="7320" w:type="dxa"/>
            <w:vAlign w:val="bottom"/>
          </w:tcPr>
          <w:p>
            <w:pPr>
              <w:jc w:val="right"/>
              <w:ind w:right="6870"/>
              <w:spacing w:after="0"/>
              <w:rPr>
                <w:sz w:val="20"/>
                <w:szCs w:val="20"/>
                <w:color w:val="auto"/>
              </w:rPr>
            </w:pPr>
            <w:r>
              <w:rPr>
                <w:rFonts w:ascii="Arial" w:cs="Arial" w:eastAsia="Arial" w:hAnsi="Arial"/>
                <w:sz w:val="18"/>
                <w:szCs w:val="18"/>
                <w:color w:val="auto"/>
                <w:w w:val="84"/>
              </w:rPr>
              <w:t>2020</w:t>
            </w:r>
          </w:p>
        </w:tc>
        <w:tc>
          <w:tcPr>
            <w:tcW w:w="18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36,593</w:t>
            </w:r>
          </w:p>
        </w:tc>
        <w:tc>
          <w:tcPr>
            <w:tcW w:w="2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253</w:t>
            </w:r>
          </w:p>
        </w:tc>
        <w:tc>
          <w:tcPr>
            <w:tcW w:w="26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bl>
    <w:p>
      <w:pPr>
        <w:spacing w:after="0" w:line="214"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Loans</w:t>
      </w:r>
    </w:p>
    <w:p>
      <w:pPr>
        <w:spacing w:after="0" w:line="25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estimate the ACL based on relevant available information from both internal and external sources, including historical loss trends, current conditions and forecasts, specific analysis of individual loans, and a review of other relevant and appropriate factors. The allowance process is designed to provide for expected future losses based on our reasonable and supportable (“R&amp;S”) forecast as of the reporting date. Our ACL process is administered by our Risk Management group utilizing a third party software solution, with significant input and ultimate approval from our Executive Enterprise Risk Committee. Further, we have established a CECL Forecast Committee, which includes a cross discipline structure with membership from Executive Management, Risk Management, and Accounting, which approves ACL model assumptions each quarter. Our ACL is comprised of three principal elements: (i) specific analysis of individual loans identified during the review of the loan portfolio, (ii) pooled analysis of loans with similar risk characteristics based on historical experience, adjusted for current conditions, R&amp;S forecasts, and expected prepayments, and (iii) additional allowances based on subjective factors, including local and general economic business factors and trends, portfolio concentrations and changes in the size and/or the general terms of the loan portfolios.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first ACL element (specific allocations) includes loans that do not share similar risk characteristics and are evaluated on an individual basis. We will typically evaluate on an individual basis loans that are on nonaccrual, commercial loans designated as a TDR, or mortgage and installment TDR loans with a rate concession. When we determine that foreclosure is probable or when repayment is expected to be provided substantially through the operation or sale of underlying collateral, expected credit losses are based on the fair value of the collateral at the reporting date, adjusted for estimated selling costs. For loans evaluated on an individual basis that are not determined to be collateral dependent, a discounted cash flow analysis is performed to determine expected credit losses.</w:t>
      </w:r>
    </w:p>
    <w:p>
      <w:pPr>
        <w:spacing w:after="0" w:line="21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second ACL element (pooled analysis) includes loans with similar risk characteristics, which are broken down by segment, class, and risk metric. The Bank’s primary segments of commercial, mortgage, and installment loans are further classified by other relevant attributes, such as collateral type, lien position, occupancy status, amortization method, and balance size. Commercial classes are additionally segmented by risk rating, and mortgage and installment loan classes by credit score tier, which are updated at least semi-annually.</w:t>
      </w:r>
    </w:p>
    <w:p>
      <w:pPr>
        <w:spacing w:after="0" w:line="214"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We utilize a discounted cash flow (“DCF”) model to estimate expected future losses for pooled loans. Expected future cash flows are developed from payment schedules over the contractual term, adjusted for forecasted default (probability of default), loss, and prepayment assumptions. We are not required to develop forecasts over the full contractual term of the financial asset or group of financial assets. Rather, for periods beyond which the entity is able to make or obtain R&amp;S forecasts of expected credit losses, we revert to the long term average on a straight line or immediate basis, as determined by the CECL Forecast Committee, and which may vary depending on the economic outlook and uncertainty.</w:t>
      </w:r>
    </w:p>
    <w:p>
      <w:pPr>
        <w:spacing w:after="0" w:line="203"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The DCF model for the mortgage and installment pooled loan segments includes using probability of default (“PD”) assumptions that are derived through regression analysis with forecasted US unemployment levels by credit score tier. We review the Bloomberg composite forecast of approximately 50 analysts as well as the FOMC projections in setting the unemployment forecast for the R&amp;S period. The current ACL utilizes a one year R&amp;S forecast followed by immediate reversion to the 30 year average unemployment rate. PD assumptions for the remaining segments are based primarily on historical rates by risk metric as defaults were not strongly correlated with any economic indicator. Loss given default (“LGD”) assumptions for the mortgage loan segment are based on a two year forecast followed by a two year straight line reversion period to the longer term average, while LGD rates for the remaining segments are the historical average for the entire period. Prepayment assumptions represent the two year average rates per segment as calculated through the Bank’s Asset and Liability Management program.</w:t>
      </w:r>
    </w:p>
    <w:p>
      <w:pPr>
        <w:spacing w:after="0" w:line="205"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Pooled reserves for the commercial loan segment are calculated using the DCF model with assumptions generally based on historical averages by class and risk rating. Effective risk rating practices allow for strong predictability of defaults and losses over the portfolio’s expected shorter duration, relative to mortgage and installment loans. Our rating system is similar to those employed by state and federal banking regulators.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third ACL element (additional allocations based on subjective factors) is based on factors that cannot be associated with a specific credit or loan category and reflects our attempt to ensure that the overall ACL appropriately reflects a margin for the imprecision necessarily inherent in the estimates of expected credit losses. We adjust our quantitative model for certain qualitative factors to reflect the extent to which management expects current conditions and R&amp;S forecasts to differ from the conditions that existed for the period over which historical information was evaluated. The qualitative framework reflects changes related to relevant data, such as changes in asset quality trends, portfolio growth and composition, national and local economic factors, credit policy and administration and other factors not considered in the base quantitative model. We utilize a survey completed by business unit management throughout the bank, as well as discussion with the CECL Forecast Committee to establish reserves under the qualitative framework. The current period’s ACL further recognizes inherent risk related to the ongoing COVID-19 pandemic; specifically to the volume of loans on forbearance, commercial loans in high risk industries, and mortgage and installment borrowers with occupations in those high risk industries. Identified high risk industries include: food service, hospitality, entertainment, retail, investment real estate, assisted living, and non-owner occupied office.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An analysis of the allowance for credit losses by portfolio segment for the three months ended June 30,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w w:val="93"/>
              </w:rPr>
              <w:t>Subjective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w w:val="91"/>
              </w:rPr>
              <w:t>Commercial</w:t>
            </w:r>
          </w:p>
        </w:tc>
        <w:tc>
          <w:tcPr>
            <w:tcW w:w="160" w:type="dxa"/>
            <w:vAlign w:val="bottom"/>
          </w:tcPr>
          <w:p>
            <w:pPr>
              <w:spacing w:after="0"/>
              <w:rPr>
                <w:sz w:val="20"/>
                <w:szCs w:val="20"/>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w w:val="97"/>
              </w:rPr>
              <w:t>Mortgage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w w:val="94"/>
              </w:rPr>
              <w:t>Installment</w:t>
            </w:r>
          </w:p>
        </w:tc>
        <w:tc>
          <w:tcPr>
            <w:tcW w:w="140" w:type="dxa"/>
            <w:vAlign w:val="bottom"/>
          </w:tcPr>
          <w:p>
            <w:pPr>
              <w:spacing w:after="0"/>
              <w:rPr>
                <w:sz w:val="20"/>
                <w:szCs w:val="20"/>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w w:val="99"/>
              </w:rPr>
              <w:t>Allocation</w:t>
            </w:r>
          </w:p>
        </w:tc>
        <w:tc>
          <w:tcPr>
            <w:tcW w:w="240" w:type="dxa"/>
            <w:vAlign w:val="bottom"/>
          </w:tcPr>
          <w:p>
            <w:pPr>
              <w:spacing w:after="0"/>
              <w:rPr>
                <w:sz w:val="20"/>
                <w:szCs w:val="20"/>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30"/>
        </w:trPr>
        <w:tc>
          <w:tcPr>
            <w:tcW w:w="4620" w:type="dxa"/>
            <w:vAlign w:val="bottom"/>
            <w:vMerge w:val="restart"/>
          </w:tcPr>
          <w:p>
            <w:pPr>
              <w:spacing w:after="0"/>
              <w:rPr>
                <w:sz w:val="20"/>
                <w:szCs w:val="20"/>
                <w:color w:val="auto"/>
              </w:rPr>
            </w:pPr>
            <w:r>
              <w:rPr>
                <w:rFonts w:ascii="Arial" w:cs="Arial" w:eastAsia="Arial" w:hAnsi="Arial"/>
                <w:sz w:val="18"/>
                <w:szCs w:val="18"/>
                <w:color w:val="auto"/>
              </w:rPr>
              <w:t>2021</w:t>
            </w: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3"/>
              </w:rPr>
              <w:t>(In thousands)</w:t>
            </w:r>
          </w:p>
        </w:tc>
        <w:tc>
          <w:tcPr>
            <w:tcW w:w="2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6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Balance at beginning of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18,448</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3,979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14,798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46,755</w:t>
            </w:r>
          </w:p>
        </w:tc>
        <w:tc>
          <w:tcPr>
            <w:tcW w:w="0" w:type="dxa"/>
            <w:vAlign w:val="bottom"/>
          </w:tcPr>
          <w:p>
            <w:pPr>
              <w:spacing w:after="0"/>
              <w:rPr>
                <w:sz w:val="1"/>
                <w:szCs w:val="1"/>
                <w:color w:val="auto"/>
              </w:rPr>
            </w:pPr>
          </w:p>
        </w:tc>
      </w:tr>
      <w:tr>
        <w:trPr>
          <w:trHeight w:val="216"/>
        </w:trPr>
        <w:tc>
          <w:tcPr>
            <w:tcW w:w="4620" w:type="dxa"/>
            <w:vAlign w:val="bottom"/>
          </w:tcPr>
          <w:p>
            <w:pPr>
              <w:ind w:left="140"/>
              <w:spacing w:after="0"/>
              <w:rPr>
                <w:sz w:val="20"/>
                <w:szCs w:val="20"/>
                <w:color w:val="auto"/>
              </w:rPr>
            </w:pPr>
            <w:r>
              <w:rPr>
                <w:rFonts w:ascii="Arial" w:cs="Arial" w:eastAsia="Arial" w:hAnsi="Arial"/>
                <w:sz w:val="18"/>
                <w:szCs w:val="18"/>
                <w:color w:val="auto"/>
              </w:rPr>
              <w:t>Additions (deductions)</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Provision for credit losses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(946)</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(219)</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(1,425)</w:t>
            </w:r>
          </w:p>
        </w:tc>
        <w:tc>
          <w:tcPr>
            <w:tcW w:w="0" w:type="dxa"/>
            <w:vAlign w:val="bottom"/>
          </w:tcPr>
          <w:p>
            <w:pPr>
              <w:spacing w:after="0"/>
              <w:rPr>
                <w:sz w:val="1"/>
                <w:szCs w:val="1"/>
                <w:color w:val="auto"/>
              </w:rPr>
            </w:pPr>
          </w:p>
        </w:tc>
      </w:tr>
      <w:tr>
        <w:trPr>
          <w:trHeight w:val="216"/>
        </w:trPr>
        <w:tc>
          <w:tcPr>
            <w:tcW w:w="4620" w:type="dxa"/>
            <w:vAlign w:val="bottom"/>
          </w:tcPr>
          <w:p>
            <w:pPr>
              <w:ind w:left="360"/>
              <w:spacing w:after="0"/>
              <w:rPr>
                <w:sz w:val="20"/>
                <w:szCs w:val="20"/>
                <w:color w:val="auto"/>
              </w:rPr>
            </w:pPr>
            <w:r>
              <w:rPr>
                <w:rFonts w:ascii="Arial" w:cs="Arial" w:eastAsia="Arial" w:hAnsi="Arial"/>
                <w:sz w:val="18"/>
                <w:szCs w:val="18"/>
                <w:color w:val="auto"/>
              </w:rPr>
              <w:t>Recoveries credited to the allowance</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510</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207</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886</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Loans charged against the allowance</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(266)</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7"/>
        </w:trPr>
        <w:tc>
          <w:tcPr>
            <w:tcW w:w="46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tcPr>
          <w:p>
            <w:pPr>
              <w:ind w:left="140"/>
              <w:spacing w:after="0"/>
              <w:rPr>
                <w:sz w:val="20"/>
                <w:szCs w:val="20"/>
                <w:color w:val="auto"/>
              </w:rPr>
            </w:pPr>
            <w:r>
              <w:rPr>
                <w:rFonts w:ascii="Arial" w:cs="Arial" w:eastAsia="Arial" w:hAnsi="Arial"/>
                <w:sz w:val="18"/>
                <w:szCs w:val="18"/>
                <w:color w:val="auto"/>
              </w:rPr>
              <w:t>Balance at end of period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9,094</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18,933</w:t>
            </w:r>
          </w:p>
        </w:tc>
        <w:tc>
          <w:tcPr>
            <w:tcW w:w="140" w:type="dxa"/>
            <w:vAlign w:val="bottom"/>
          </w:tcPr>
          <w:p>
            <w:pPr>
              <w:spacing w:after="0"/>
              <w:rPr>
                <w:sz w:val="18"/>
                <w:szCs w:val="18"/>
                <w:color w:val="auto"/>
              </w:rPr>
            </w:pP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3,701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14,198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45,926</w:t>
            </w:r>
          </w:p>
        </w:tc>
        <w:tc>
          <w:tcPr>
            <w:tcW w:w="0" w:type="dxa"/>
            <w:vAlign w:val="bottom"/>
          </w:tcPr>
          <w:p>
            <w:pPr>
              <w:spacing w:after="0"/>
              <w:rPr>
                <w:sz w:val="1"/>
                <w:szCs w:val="1"/>
                <w:color w:val="auto"/>
              </w:rPr>
            </w:pPr>
          </w:p>
        </w:tc>
      </w:tr>
      <w:tr>
        <w:trPr>
          <w:trHeight w:val="21"/>
        </w:trPr>
        <w:tc>
          <w:tcPr>
            <w:tcW w:w="4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4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Balance at beginning of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10,212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7,416</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13,609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32,495</w:t>
            </w:r>
          </w:p>
        </w:tc>
        <w:tc>
          <w:tcPr>
            <w:tcW w:w="0" w:type="dxa"/>
            <w:vAlign w:val="bottom"/>
          </w:tcPr>
          <w:p>
            <w:pPr>
              <w:spacing w:after="0"/>
              <w:rPr>
                <w:sz w:val="1"/>
                <w:szCs w:val="1"/>
                <w:color w:val="auto"/>
              </w:rPr>
            </w:pPr>
          </w:p>
        </w:tc>
      </w:tr>
      <w:tr>
        <w:trPr>
          <w:trHeight w:val="216"/>
        </w:trPr>
        <w:tc>
          <w:tcPr>
            <w:tcW w:w="4620" w:type="dxa"/>
            <w:vAlign w:val="bottom"/>
          </w:tcPr>
          <w:p>
            <w:pPr>
              <w:ind w:left="140"/>
              <w:spacing w:after="0"/>
              <w:rPr>
                <w:sz w:val="20"/>
                <w:szCs w:val="20"/>
                <w:color w:val="auto"/>
              </w:rPr>
            </w:pPr>
            <w:r>
              <w:rPr>
                <w:rFonts w:ascii="Arial" w:cs="Arial" w:eastAsia="Arial" w:hAnsi="Arial"/>
                <w:sz w:val="18"/>
                <w:szCs w:val="18"/>
                <w:color w:val="auto"/>
              </w:rPr>
              <w:t>Additions (deductions)</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Provision for credit losses (1)</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175</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3,682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5,188</w:t>
            </w:r>
          </w:p>
        </w:tc>
        <w:tc>
          <w:tcPr>
            <w:tcW w:w="0" w:type="dxa"/>
            <w:vAlign w:val="bottom"/>
          </w:tcPr>
          <w:p>
            <w:pPr>
              <w:spacing w:after="0"/>
              <w:rPr>
                <w:sz w:val="1"/>
                <w:szCs w:val="1"/>
                <w:color w:val="auto"/>
              </w:rPr>
            </w:pPr>
          </w:p>
        </w:tc>
      </w:tr>
      <w:tr>
        <w:trPr>
          <w:trHeight w:val="216"/>
        </w:trPr>
        <w:tc>
          <w:tcPr>
            <w:tcW w:w="4620" w:type="dxa"/>
            <w:vAlign w:val="bottom"/>
          </w:tcPr>
          <w:p>
            <w:pPr>
              <w:ind w:left="360"/>
              <w:spacing w:after="0"/>
              <w:rPr>
                <w:sz w:val="20"/>
                <w:szCs w:val="20"/>
                <w:color w:val="auto"/>
              </w:rPr>
            </w:pPr>
            <w:r>
              <w:rPr>
                <w:rFonts w:ascii="Arial" w:cs="Arial" w:eastAsia="Arial" w:hAnsi="Arial"/>
                <w:sz w:val="18"/>
                <w:szCs w:val="18"/>
                <w:color w:val="auto"/>
              </w:rPr>
              <w:t>Recoveries credited to the allowance</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1,058</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207</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1,355</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Loans charged against the allowance</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(4,000)</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(423)</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(4,538)</w:t>
            </w:r>
          </w:p>
        </w:tc>
        <w:tc>
          <w:tcPr>
            <w:tcW w:w="0" w:type="dxa"/>
            <w:vAlign w:val="bottom"/>
          </w:tcPr>
          <w:p>
            <w:pPr>
              <w:spacing w:after="0"/>
              <w:rPr>
                <w:sz w:val="1"/>
                <w:szCs w:val="1"/>
                <w:color w:val="auto"/>
              </w:rPr>
            </w:pPr>
          </w:p>
        </w:tc>
      </w:tr>
      <w:tr>
        <w:trPr>
          <w:trHeight w:val="27"/>
        </w:trPr>
        <w:tc>
          <w:tcPr>
            <w:tcW w:w="46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tcPr>
          <w:p>
            <w:pPr>
              <w:ind w:left="140"/>
              <w:spacing w:after="0"/>
              <w:rPr>
                <w:sz w:val="20"/>
                <w:szCs w:val="20"/>
                <w:color w:val="auto"/>
              </w:rPr>
            </w:pPr>
            <w:r>
              <w:rPr>
                <w:rFonts w:ascii="Arial" w:cs="Arial" w:eastAsia="Arial" w:hAnsi="Arial"/>
                <w:sz w:val="18"/>
                <w:szCs w:val="18"/>
                <w:color w:val="auto"/>
              </w:rPr>
              <w:t>Balance at end of period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8,731</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7,261</w:t>
            </w:r>
          </w:p>
        </w:tc>
        <w:tc>
          <w:tcPr>
            <w:tcW w:w="140" w:type="dxa"/>
            <w:vAlign w:val="bottom"/>
          </w:tcPr>
          <w:p>
            <w:pPr>
              <w:spacing w:after="0"/>
              <w:rPr>
                <w:sz w:val="18"/>
                <w:szCs w:val="18"/>
                <w:color w:val="auto"/>
              </w:rPr>
            </w:pP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1,217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17,291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34,500</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right="140" w:hanging="332"/>
        <w:spacing w:after="0" w:line="277"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Beginning January 1, 2021, calculation is based on CECL methodology. Prior to January 1, 2021, calculation was based on the probable incurred loss methodology.</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An analysis of the allowance for credit losses by portfolio segment for the six months ended June 30, follows (1):</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w w:val="93"/>
              </w:rPr>
              <w:t>Subjective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w w:val="91"/>
              </w:rPr>
              <w:t>Commercial</w:t>
            </w:r>
          </w:p>
        </w:tc>
        <w:tc>
          <w:tcPr>
            <w:tcW w:w="160" w:type="dxa"/>
            <w:vAlign w:val="bottom"/>
          </w:tcPr>
          <w:p>
            <w:pPr>
              <w:spacing w:after="0"/>
              <w:rPr>
                <w:sz w:val="20"/>
                <w:szCs w:val="20"/>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w w:val="97"/>
              </w:rPr>
              <w:t>Mortgage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w w:val="94"/>
              </w:rPr>
              <w:t>Installment</w:t>
            </w:r>
          </w:p>
        </w:tc>
        <w:tc>
          <w:tcPr>
            <w:tcW w:w="140" w:type="dxa"/>
            <w:vAlign w:val="bottom"/>
          </w:tcPr>
          <w:p>
            <w:pPr>
              <w:spacing w:after="0"/>
              <w:rPr>
                <w:sz w:val="20"/>
                <w:szCs w:val="20"/>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w w:val="99"/>
              </w:rPr>
              <w:t>Allocation</w:t>
            </w:r>
          </w:p>
        </w:tc>
        <w:tc>
          <w:tcPr>
            <w:tcW w:w="240" w:type="dxa"/>
            <w:vAlign w:val="bottom"/>
          </w:tcPr>
          <w:p>
            <w:pPr>
              <w:spacing w:after="0"/>
              <w:rPr>
                <w:sz w:val="20"/>
                <w:szCs w:val="20"/>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30"/>
        </w:trPr>
        <w:tc>
          <w:tcPr>
            <w:tcW w:w="4620" w:type="dxa"/>
            <w:vAlign w:val="bottom"/>
            <w:vMerge w:val="restart"/>
          </w:tcPr>
          <w:p>
            <w:pPr>
              <w:spacing w:after="0"/>
              <w:rPr>
                <w:sz w:val="20"/>
                <w:szCs w:val="20"/>
                <w:color w:val="auto"/>
              </w:rPr>
            </w:pPr>
            <w:r>
              <w:rPr>
                <w:rFonts w:ascii="Arial" w:cs="Arial" w:eastAsia="Arial" w:hAnsi="Arial"/>
                <w:sz w:val="18"/>
                <w:szCs w:val="18"/>
                <w:color w:val="auto"/>
              </w:rPr>
              <w:t>2021</w:t>
            </w: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3"/>
              </w:rPr>
              <w:t>(In thousands)</w:t>
            </w:r>
          </w:p>
        </w:tc>
        <w:tc>
          <w:tcPr>
            <w:tcW w:w="2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6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Balance at beginning of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6,998</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1,112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19,918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35,429</w:t>
            </w:r>
          </w:p>
        </w:tc>
        <w:tc>
          <w:tcPr>
            <w:tcW w:w="0" w:type="dxa"/>
            <w:vAlign w:val="bottom"/>
          </w:tcPr>
          <w:p>
            <w:pPr>
              <w:spacing w:after="0"/>
              <w:rPr>
                <w:sz w:val="1"/>
                <w:szCs w:val="1"/>
                <w:color w:val="auto"/>
              </w:rPr>
            </w:pPr>
          </w:p>
        </w:tc>
      </w:tr>
      <w:tr>
        <w:trPr>
          <w:trHeight w:val="216"/>
        </w:trPr>
        <w:tc>
          <w:tcPr>
            <w:tcW w:w="4620" w:type="dxa"/>
            <w:vAlign w:val="bottom"/>
          </w:tcPr>
          <w:p>
            <w:pPr>
              <w:ind w:left="140"/>
              <w:spacing w:after="0"/>
              <w:rPr>
                <w:sz w:val="20"/>
                <w:szCs w:val="20"/>
                <w:color w:val="auto"/>
              </w:rPr>
            </w:pPr>
            <w:r>
              <w:rPr>
                <w:rFonts w:ascii="Arial" w:cs="Arial" w:eastAsia="Arial" w:hAnsi="Arial"/>
                <w:sz w:val="18"/>
                <w:szCs w:val="18"/>
                <w:color w:val="auto"/>
              </w:rPr>
              <w:t>Additions (deductions)</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Impact of adoption of ASC 326</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12,000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3,052</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(6,029)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11,574</w:t>
            </w:r>
          </w:p>
        </w:tc>
        <w:tc>
          <w:tcPr>
            <w:tcW w:w="0" w:type="dxa"/>
            <w:vAlign w:val="bottom"/>
          </w:tcPr>
          <w:p>
            <w:pPr>
              <w:spacing w:after="0"/>
              <w:rPr>
                <w:sz w:val="1"/>
                <w:szCs w:val="1"/>
                <w:color w:val="auto"/>
              </w:rPr>
            </w:pPr>
          </w:p>
        </w:tc>
      </w:tr>
      <w:tr>
        <w:trPr>
          <w:trHeight w:val="216"/>
        </w:trPr>
        <w:tc>
          <w:tcPr>
            <w:tcW w:w="4620" w:type="dxa"/>
            <w:vAlign w:val="bottom"/>
          </w:tcPr>
          <w:p>
            <w:pPr>
              <w:ind w:left="340"/>
              <w:spacing w:after="0"/>
              <w:rPr>
                <w:sz w:val="20"/>
                <w:szCs w:val="20"/>
                <w:color w:val="auto"/>
              </w:rPr>
            </w:pPr>
            <w:r>
              <w:rPr>
                <w:rFonts w:ascii="Arial" w:cs="Arial" w:eastAsia="Arial" w:hAnsi="Arial"/>
                <w:sz w:val="18"/>
                <w:szCs w:val="18"/>
                <w:color w:val="auto"/>
              </w:rPr>
              <w:t>Provision for credit losses</w:t>
            </w:r>
          </w:p>
        </w:tc>
        <w:tc>
          <w:tcPr>
            <w:tcW w:w="1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(1,622)</w:t>
            </w: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(306)</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309</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(1,899)</w:t>
            </w:r>
          </w:p>
        </w:tc>
        <w:tc>
          <w:tcPr>
            <w:tcW w:w="0" w:type="dxa"/>
            <w:vAlign w:val="bottom"/>
          </w:tcPr>
          <w:p>
            <w:pPr>
              <w:spacing w:after="0"/>
              <w:rPr>
                <w:sz w:val="1"/>
                <w:szCs w:val="1"/>
                <w:color w:val="auto"/>
              </w:rPr>
            </w:pPr>
          </w:p>
        </w:tc>
      </w:tr>
      <w:tr>
        <w:trPr>
          <w:trHeight w:val="202"/>
        </w:trPr>
        <w:tc>
          <w:tcPr>
            <w:tcW w:w="462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Initial allowance on loans purchased with credit</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deterioration</w:t>
            </w: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4620" w:type="dxa"/>
            <w:vAlign w:val="bottom"/>
          </w:tcPr>
          <w:p>
            <w:pPr>
              <w:ind w:left="340"/>
              <w:spacing w:after="0"/>
              <w:rPr>
                <w:sz w:val="20"/>
                <w:szCs w:val="20"/>
                <w:color w:val="auto"/>
              </w:rPr>
            </w:pPr>
            <w:r>
              <w:rPr>
                <w:rFonts w:ascii="Arial" w:cs="Arial" w:eastAsia="Arial" w:hAnsi="Arial"/>
                <w:sz w:val="18"/>
                <w:szCs w:val="18"/>
                <w:color w:val="auto"/>
              </w:rPr>
              <w:t>Recoveries credited to the allowance</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669</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381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384</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1,434</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Loans charged against the allowance</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(562)</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(746)</w:t>
            </w:r>
          </w:p>
        </w:tc>
        <w:tc>
          <w:tcPr>
            <w:tcW w:w="0" w:type="dxa"/>
            <w:vAlign w:val="bottom"/>
          </w:tcPr>
          <w:p>
            <w:pPr>
              <w:spacing w:after="0"/>
              <w:rPr>
                <w:sz w:val="1"/>
                <w:szCs w:val="1"/>
                <w:color w:val="auto"/>
              </w:rPr>
            </w:pPr>
          </w:p>
        </w:tc>
      </w:tr>
      <w:tr>
        <w:trPr>
          <w:trHeight w:val="27"/>
        </w:trPr>
        <w:tc>
          <w:tcPr>
            <w:tcW w:w="46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tcPr>
          <w:p>
            <w:pPr>
              <w:ind w:left="140"/>
              <w:spacing w:after="0"/>
              <w:rPr>
                <w:sz w:val="20"/>
                <w:szCs w:val="20"/>
                <w:color w:val="auto"/>
              </w:rPr>
            </w:pPr>
            <w:r>
              <w:rPr>
                <w:rFonts w:ascii="Arial" w:cs="Arial" w:eastAsia="Arial" w:hAnsi="Arial"/>
                <w:sz w:val="18"/>
                <w:szCs w:val="18"/>
                <w:color w:val="auto"/>
              </w:rPr>
              <w:t>Balance at end of period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9,094</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18,933</w:t>
            </w:r>
          </w:p>
        </w:tc>
        <w:tc>
          <w:tcPr>
            <w:tcW w:w="140" w:type="dxa"/>
            <w:vAlign w:val="bottom"/>
          </w:tcPr>
          <w:p>
            <w:pPr>
              <w:spacing w:after="0"/>
              <w:rPr>
                <w:sz w:val="18"/>
                <w:szCs w:val="18"/>
                <w:color w:val="auto"/>
              </w:rPr>
            </w:pP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3,701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14,198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45,926</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Balance at beginning of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8,216</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1,283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8,727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26,148</w:t>
            </w:r>
          </w:p>
        </w:tc>
        <w:tc>
          <w:tcPr>
            <w:tcW w:w="0" w:type="dxa"/>
            <w:vAlign w:val="bottom"/>
          </w:tcPr>
          <w:p>
            <w:pPr>
              <w:spacing w:after="0"/>
              <w:rPr>
                <w:sz w:val="1"/>
                <w:szCs w:val="1"/>
                <w:color w:val="auto"/>
              </w:rPr>
            </w:pPr>
          </w:p>
        </w:tc>
      </w:tr>
      <w:tr>
        <w:trPr>
          <w:trHeight w:val="216"/>
        </w:trPr>
        <w:tc>
          <w:tcPr>
            <w:tcW w:w="4620" w:type="dxa"/>
            <w:vAlign w:val="bottom"/>
          </w:tcPr>
          <w:p>
            <w:pPr>
              <w:ind w:left="140"/>
              <w:spacing w:after="0"/>
              <w:rPr>
                <w:sz w:val="20"/>
                <w:szCs w:val="20"/>
                <w:color w:val="auto"/>
              </w:rPr>
            </w:pPr>
            <w:r>
              <w:rPr>
                <w:rFonts w:ascii="Arial" w:cs="Arial" w:eastAsia="Arial" w:hAnsi="Arial"/>
                <w:sz w:val="18"/>
                <w:szCs w:val="18"/>
                <w:color w:val="auto"/>
              </w:rPr>
              <w:t>Additions (deductions)</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Provision for credit losses (1)</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304</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8,564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11,909</w:t>
            </w:r>
          </w:p>
        </w:tc>
        <w:tc>
          <w:tcPr>
            <w:tcW w:w="0" w:type="dxa"/>
            <w:vAlign w:val="bottom"/>
          </w:tcPr>
          <w:p>
            <w:pPr>
              <w:spacing w:after="0"/>
              <w:rPr>
                <w:sz w:val="1"/>
                <w:szCs w:val="1"/>
                <w:color w:val="auto"/>
              </w:rPr>
            </w:pPr>
          </w:p>
        </w:tc>
      </w:tr>
      <w:tr>
        <w:trPr>
          <w:trHeight w:val="216"/>
        </w:trPr>
        <w:tc>
          <w:tcPr>
            <w:tcW w:w="4620" w:type="dxa"/>
            <w:vAlign w:val="bottom"/>
          </w:tcPr>
          <w:p>
            <w:pPr>
              <w:ind w:left="340"/>
              <w:spacing w:after="0"/>
              <w:rPr>
                <w:sz w:val="20"/>
                <w:szCs w:val="20"/>
                <w:color w:val="auto"/>
              </w:rPr>
            </w:pPr>
            <w:r>
              <w:rPr>
                <w:rFonts w:ascii="Arial" w:cs="Arial" w:eastAsia="Arial" w:hAnsi="Arial"/>
                <w:sz w:val="18"/>
                <w:szCs w:val="18"/>
                <w:color w:val="auto"/>
              </w:rPr>
              <w:t>Recoveries credited to the allowance</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1,166</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381</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1,754</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Loans charged against the allowance</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(4,036)</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(751)</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(5,311)</w:t>
            </w:r>
          </w:p>
        </w:tc>
        <w:tc>
          <w:tcPr>
            <w:tcW w:w="0" w:type="dxa"/>
            <w:vAlign w:val="bottom"/>
          </w:tcPr>
          <w:p>
            <w:pPr>
              <w:spacing w:after="0"/>
              <w:rPr>
                <w:sz w:val="1"/>
                <w:szCs w:val="1"/>
                <w:color w:val="auto"/>
              </w:rPr>
            </w:pPr>
          </w:p>
        </w:tc>
      </w:tr>
      <w:tr>
        <w:trPr>
          <w:trHeight w:val="27"/>
        </w:trPr>
        <w:tc>
          <w:tcPr>
            <w:tcW w:w="46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tcPr>
          <w:p>
            <w:pPr>
              <w:ind w:left="140"/>
              <w:spacing w:after="0"/>
              <w:rPr>
                <w:sz w:val="20"/>
                <w:szCs w:val="20"/>
                <w:color w:val="auto"/>
              </w:rPr>
            </w:pPr>
            <w:r>
              <w:rPr>
                <w:rFonts w:ascii="Arial" w:cs="Arial" w:eastAsia="Arial" w:hAnsi="Arial"/>
                <w:sz w:val="18"/>
                <w:szCs w:val="18"/>
                <w:color w:val="auto"/>
              </w:rPr>
              <w:t>Balance at end of period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8,731</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7,261</w:t>
            </w:r>
          </w:p>
        </w:tc>
        <w:tc>
          <w:tcPr>
            <w:tcW w:w="140" w:type="dxa"/>
            <w:vAlign w:val="bottom"/>
          </w:tcPr>
          <w:p>
            <w:pPr>
              <w:spacing w:after="0"/>
              <w:rPr>
                <w:sz w:val="18"/>
                <w:szCs w:val="18"/>
                <w:color w:val="auto"/>
              </w:rPr>
            </w:pP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1,217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17,291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34,500</w:t>
            </w:r>
          </w:p>
        </w:tc>
        <w:tc>
          <w:tcPr>
            <w:tcW w:w="0" w:type="dxa"/>
            <w:vAlign w:val="bottom"/>
          </w:tcPr>
          <w:p>
            <w:pPr>
              <w:spacing w:after="0"/>
              <w:rPr>
                <w:sz w:val="1"/>
                <w:szCs w:val="1"/>
                <w:color w:val="auto"/>
              </w:rPr>
            </w:pPr>
          </w:p>
        </w:tc>
      </w:tr>
      <w:tr>
        <w:trPr>
          <w:trHeight w:val="21"/>
        </w:trPr>
        <w:tc>
          <w:tcPr>
            <w:tcW w:w="4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right="140" w:hanging="332"/>
        <w:spacing w:after="0" w:line="277"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Beginning January 1, 2021, calculation is based on CECL methodology. Prior to January 1, 2021, calculation was based on the probable incurred loss methodology.</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ACL and recorded investment in loans by portfolio segment at December 31, 2020 follows (1):</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w w:val="93"/>
              </w:rPr>
              <w:t>Subjective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auto"/>
              </w:rPr>
              <w:t>Commercial</w:t>
            </w:r>
          </w:p>
        </w:tc>
        <w:tc>
          <w:tcPr>
            <w:tcW w:w="160" w:type="dxa"/>
            <w:vAlign w:val="bottom"/>
          </w:tcPr>
          <w:p>
            <w:pPr>
              <w:spacing w:after="0"/>
              <w:rPr>
                <w:sz w:val="20"/>
                <w:szCs w:val="20"/>
                <w:color w:val="auto"/>
              </w:rPr>
            </w:pPr>
          </w:p>
        </w:tc>
        <w:tc>
          <w:tcPr>
            <w:tcW w:w="1080" w:type="dxa"/>
            <w:vAlign w:val="bottom"/>
            <w:gridSpan w:val="2"/>
          </w:tcPr>
          <w:p>
            <w:pPr>
              <w:ind w:left="60"/>
              <w:spacing w:after="0"/>
              <w:rPr>
                <w:sz w:val="20"/>
                <w:szCs w:val="20"/>
                <w:color w:val="auto"/>
              </w:rPr>
            </w:pPr>
            <w:r>
              <w:rPr>
                <w:rFonts w:ascii="Arial" w:cs="Arial" w:eastAsia="Arial" w:hAnsi="Arial"/>
                <w:sz w:val="18"/>
                <w:szCs w:val="18"/>
                <w:color w:val="auto"/>
              </w:rPr>
              <w:t>Mortgage</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w w:val="94"/>
              </w:rPr>
              <w:t>Installment</w:t>
            </w:r>
          </w:p>
        </w:tc>
        <w:tc>
          <w:tcPr>
            <w:tcW w:w="140" w:type="dxa"/>
            <w:vAlign w:val="bottom"/>
          </w:tcPr>
          <w:p>
            <w:pPr>
              <w:spacing w:after="0"/>
              <w:rPr>
                <w:sz w:val="20"/>
                <w:szCs w:val="20"/>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w w:val="99"/>
              </w:rPr>
              <w:t>Allocation</w:t>
            </w:r>
          </w:p>
        </w:tc>
        <w:tc>
          <w:tcPr>
            <w:tcW w:w="240" w:type="dxa"/>
            <w:vAlign w:val="bottom"/>
          </w:tcPr>
          <w:p>
            <w:pPr>
              <w:spacing w:after="0"/>
              <w:rPr>
                <w:sz w:val="20"/>
                <w:szCs w:val="20"/>
                <w:color w:val="auto"/>
              </w:rPr>
            </w:pPr>
          </w:p>
        </w:tc>
        <w:tc>
          <w:tcPr>
            <w:tcW w:w="980" w:type="dxa"/>
            <w:vAlign w:val="bottom"/>
            <w:gridSpan w:val="2"/>
          </w:tcPr>
          <w:p>
            <w:pPr>
              <w:ind w:left="14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30"/>
        </w:trPr>
        <w:tc>
          <w:tcPr>
            <w:tcW w:w="4620" w:type="dxa"/>
            <w:vAlign w:val="bottom"/>
            <w:vMerge w:val="restart"/>
          </w:tcPr>
          <w:p>
            <w:pPr>
              <w:spacing w:after="0"/>
              <w:rPr>
                <w:sz w:val="20"/>
                <w:szCs w:val="20"/>
                <w:color w:val="auto"/>
              </w:rPr>
            </w:pPr>
            <w:r>
              <w:rPr>
                <w:rFonts w:ascii="Arial" w:cs="Arial" w:eastAsia="Arial" w:hAnsi="Arial"/>
                <w:sz w:val="18"/>
                <w:szCs w:val="18"/>
                <w:color w:val="auto"/>
              </w:rPr>
              <w:t>December 31, 2020</w:t>
            </w: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3"/>
              </w:rPr>
              <w:t>(In thousands)</w:t>
            </w:r>
          </w:p>
        </w:tc>
        <w:tc>
          <w:tcPr>
            <w:tcW w:w="2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46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620" w:type="dxa"/>
            <w:vAlign w:val="bottom"/>
          </w:tcPr>
          <w:p>
            <w:pPr>
              <w:ind w:left="140"/>
              <w:spacing w:after="0"/>
              <w:rPr>
                <w:sz w:val="20"/>
                <w:szCs w:val="20"/>
                <w:color w:val="auto"/>
              </w:rPr>
            </w:pPr>
            <w:r>
              <w:rPr>
                <w:rFonts w:ascii="Arial" w:cs="Arial" w:eastAsia="Arial" w:hAnsi="Arial"/>
                <w:sz w:val="18"/>
                <w:szCs w:val="18"/>
                <w:color w:val="auto"/>
              </w:rPr>
              <w:t>ACL:</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Individually evaluated for impairment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4,124</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5,581</w:t>
            </w:r>
          </w:p>
        </w:tc>
        <w:tc>
          <w:tcPr>
            <w:tcW w:w="0" w:type="dxa"/>
            <w:vAlign w:val="bottom"/>
          </w:tcPr>
          <w:p>
            <w:pPr>
              <w:spacing w:after="0"/>
              <w:rPr>
                <w:sz w:val="1"/>
                <w:szCs w:val="1"/>
                <w:color w:val="auto"/>
              </w:rPr>
            </w:pPr>
          </w:p>
        </w:tc>
      </w:tr>
      <w:tr>
        <w:trPr>
          <w:trHeight w:val="216"/>
        </w:trPr>
        <w:tc>
          <w:tcPr>
            <w:tcW w:w="4620" w:type="dxa"/>
            <w:vAlign w:val="bottom"/>
          </w:tcPr>
          <w:p>
            <w:pPr>
              <w:ind w:left="340"/>
              <w:spacing w:after="0"/>
              <w:rPr>
                <w:sz w:val="20"/>
                <w:szCs w:val="20"/>
                <w:color w:val="auto"/>
              </w:rPr>
            </w:pPr>
            <w:r>
              <w:rPr>
                <w:rFonts w:ascii="Arial" w:cs="Arial" w:eastAsia="Arial" w:hAnsi="Arial"/>
                <w:sz w:val="18"/>
                <w:szCs w:val="18"/>
                <w:color w:val="auto"/>
              </w:rPr>
              <w:t>Collectively evaluated for impairment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6,135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2,874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921</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19,918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29,848</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Loans acquired with deteriorated credit quality</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6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tcPr>
          <w:p>
            <w:pPr>
              <w:ind w:left="140"/>
              <w:spacing w:after="0"/>
              <w:rPr>
                <w:sz w:val="20"/>
                <w:szCs w:val="20"/>
                <w:color w:val="auto"/>
              </w:rPr>
            </w:pPr>
            <w:r>
              <w:rPr>
                <w:rFonts w:ascii="Arial" w:cs="Arial" w:eastAsia="Arial" w:hAnsi="Arial"/>
                <w:sz w:val="18"/>
                <w:szCs w:val="18"/>
                <w:color w:val="auto"/>
              </w:rPr>
              <w:t>Total ending ACL</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7,401</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6,998</w:t>
            </w:r>
          </w:p>
        </w:tc>
        <w:tc>
          <w:tcPr>
            <w:tcW w:w="100" w:type="dxa"/>
            <w:vAlign w:val="bottom"/>
          </w:tcPr>
          <w:p>
            <w:pPr>
              <w:spacing w:after="0"/>
              <w:rPr>
                <w:sz w:val="18"/>
                <w:szCs w:val="18"/>
                <w:color w:val="auto"/>
              </w:rPr>
            </w:pP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1,112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19,918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35,429</w:t>
            </w:r>
          </w:p>
        </w:tc>
        <w:tc>
          <w:tcPr>
            <w:tcW w:w="0" w:type="dxa"/>
            <w:vAlign w:val="bottom"/>
          </w:tcPr>
          <w:p>
            <w:pPr>
              <w:spacing w:after="0"/>
              <w:rPr>
                <w:sz w:val="1"/>
                <w:szCs w:val="1"/>
                <w:color w:val="auto"/>
              </w:rPr>
            </w:pPr>
          </w:p>
        </w:tc>
      </w:tr>
      <w:tr>
        <w:trPr>
          <w:trHeight w:val="21"/>
        </w:trPr>
        <w:tc>
          <w:tcPr>
            <w:tcW w:w="4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4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40"/>
              <w:spacing w:after="0"/>
              <w:rPr>
                <w:sz w:val="20"/>
                <w:szCs w:val="20"/>
                <w:color w:val="auto"/>
              </w:rPr>
            </w:pPr>
            <w:r>
              <w:rPr>
                <w:rFonts w:ascii="Arial" w:cs="Arial" w:eastAsia="Arial" w:hAnsi="Arial"/>
                <w:sz w:val="18"/>
                <w:szCs w:val="18"/>
                <w:color w:val="auto"/>
              </w:rPr>
              <w:t>Loans</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Individually evaluated for impairment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39,245</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1,996</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50,672</w:t>
            </w:r>
          </w:p>
        </w:tc>
        <w:tc>
          <w:tcPr>
            <w:tcW w:w="0" w:type="dxa"/>
            <w:vAlign w:val="bottom"/>
          </w:tcPr>
          <w:p>
            <w:pPr>
              <w:spacing w:after="0"/>
              <w:rPr>
                <w:sz w:val="1"/>
                <w:szCs w:val="1"/>
                <w:color w:val="auto"/>
              </w:rPr>
            </w:pPr>
          </w:p>
        </w:tc>
      </w:tr>
      <w:tr>
        <w:trPr>
          <w:trHeight w:val="216"/>
        </w:trPr>
        <w:tc>
          <w:tcPr>
            <w:tcW w:w="4620" w:type="dxa"/>
            <w:vAlign w:val="bottom"/>
          </w:tcPr>
          <w:p>
            <w:pPr>
              <w:ind w:left="340"/>
              <w:spacing w:after="0"/>
              <w:rPr>
                <w:sz w:val="20"/>
                <w:szCs w:val="20"/>
                <w:color w:val="auto"/>
              </w:rPr>
            </w:pPr>
            <w:r>
              <w:rPr>
                <w:rFonts w:ascii="Arial" w:cs="Arial" w:eastAsia="Arial" w:hAnsi="Arial"/>
                <w:sz w:val="18"/>
                <w:szCs w:val="18"/>
                <w:color w:val="auto"/>
              </w:rPr>
              <w:t>Collectively evaluated for impairment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1,236,052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980,449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474,379</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2,690,880</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Loans acquired with deteriorated credit quality</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147</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1,025</w:t>
            </w:r>
          </w:p>
        </w:tc>
        <w:tc>
          <w:tcPr>
            <w:tcW w:w="0" w:type="dxa"/>
            <w:vAlign w:val="bottom"/>
          </w:tcPr>
          <w:p>
            <w:pPr>
              <w:spacing w:after="0"/>
              <w:rPr>
                <w:sz w:val="1"/>
                <w:szCs w:val="1"/>
                <w:color w:val="auto"/>
              </w:rPr>
            </w:pPr>
          </w:p>
        </w:tc>
      </w:tr>
      <w:tr>
        <w:trPr>
          <w:trHeight w:val="27"/>
        </w:trPr>
        <w:tc>
          <w:tcPr>
            <w:tcW w:w="46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tcPr>
          <w:p>
            <w:pPr>
              <w:ind w:left="140"/>
              <w:spacing w:after="0"/>
              <w:rPr>
                <w:sz w:val="20"/>
                <w:szCs w:val="20"/>
                <w:color w:val="auto"/>
              </w:rPr>
            </w:pPr>
            <w:r>
              <w:rPr>
                <w:rFonts w:ascii="Arial" w:cs="Arial" w:eastAsia="Arial" w:hAnsi="Arial"/>
                <w:sz w:val="18"/>
                <w:szCs w:val="18"/>
                <w:color w:val="auto"/>
              </w:rPr>
              <w:t>Total loans recorded investment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1,245,951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1,020,104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476,522</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2,742,577</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interest included in recorded investment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1,185</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8,899</w:t>
            </w:r>
          </w:p>
        </w:tc>
        <w:tc>
          <w:tcPr>
            <w:tcW w:w="0" w:type="dxa"/>
            <w:vAlign w:val="bottom"/>
          </w:tcPr>
          <w:p>
            <w:pPr>
              <w:spacing w:after="0"/>
              <w:rPr>
                <w:sz w:val="1"/>
                <w:szCs w:val="1"/>
                <w:color w:val="auto"/>
              </w:rPr>
            </w:pPr>
          </w:p>
        </w:tc>
      </w:tr>
      <w:tr>
        <w:trPr>
          <w:trHeight w:val="27"/>
        </w:trPr>
        <w:tc>
          <w:tcPr>
            <w:tcW w:w="46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tcPr>
          <w:p>
            <w:pPr>
              <w:ind w:left="140"/>
              <w:spacing w:after="0"/>
              <w:rPr>
                <w:sz w:val="20"/>
                <w:szCs w:val="20"/>
                <w:color w:val="auto"/>
              </w:rPr>
            </w:pPr>
            <w:r>
              <w:rPr>
                <w:rFonts w:ascii="Arial" w:cs="Arial" w:eastAsia="Arial" w:hAnsi="Arial"/>
                <w:sz w:val="18"/>
                <w:szCs w:val="18"/>
                <w:color w:val="auto"/>
              </w:rPr>
              <w:t>Total loans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1,242,415</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1,015,926</w:t>
            </w:r>
          </w:p>
        </w:tc>
        <w:tc>
          <w:tcPr>
            <w:tcW w:w="100" w:type="dxa"/>
            <w:vAlign w:val="bottom"/>
          </w:tcPr>
          <w:p>
            <w:pPr>
              <w:spacing w:after="0"/>
              <w:rPr>
                <w:sz w:val="18"/>
                <w:szCs w:val="18"/>
                <w:color w:val="auto"/>
              </w:rPr>
            </w:pP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475,337</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2,733,678</w:t>
            </w:r>
          </w:p>
        </w:tc>
        <w:tc>
          <w:tcPr>
            <w:tcW w:w="0" w:type="dxa"/>
            <w:vAlign w:val="bottom"/>
          </w:tcPr>
          <w:p>
            <w:pPr>
              <w:spacing w:after="0"/>
              <w:rPr>
                <w:sz w:val="1"/>
                <w:szCs w:val="1"/>
                <w:color w:val="auto"/>
              </w:rPr>
            </w:pPr>
          </w:p>
        </w:tc>
      </w:tr>
      <w:tr>
        <w:trPr>
          <w:trHeight w:val="21"/>
        </w:trPr>
        <w:tc>
          <w:tcPr>
            <w:tcW w:w="4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right="140" w:hanging="332"/>
        <w:spacing w:after="0" w:line="277"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Beginning January 1, 2021, calculation is based on CECL methodology. Prior to January 1, 2021, calculation was based on the probable incurred loss methodology.</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Loans on non-accrual status and past due more than 90 days (“Non-performing Loans”) follow:</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4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color w:val="auto"/>
                <w:w w:val="96"/>
              </w:rPr>
              <w:t>June 30, 2021</w:t>
            </w: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gridSpan w:val="2"/>
          </w:tcPr>
          <w:p>
            <w:pPr>
              <w:jc w:val="center"/>
              <w:ind w:right="280"/>
              <w:spacing w:after="0" w:line="201" w:lineRule="exact"/>
              <w:rPr>
                <w:sz w:val="20"/>
                <w:szCs w:val="20"/>
                <w:color w:val="auto"/>
              </w:rPr>
            </w:pPr>
            <w:r>
              <w:rPr>
                <w:rFonts w:ascii="Arial" w:cs="Arial" w:eastAsia="Arial" w:hAnsi="Arial"/>
                <w:sz w:val="18"/>
                <w:szCs w:val="18"/>
                <w:color w:val="auto"/>
                <w:w w:val="88"/>
              </w:rPr>
              <w:t>December 31,</w:t>
            </w:r>
          </w:p>
        </w:tc>
        <w:tc>
          <w:tcPr>
            <w:tcW w:w="0" w:type="dxa"/>
            <w:vAlign w:val="bottom"/>
          </w:tcPr>
          <w:p>
            <w:pPr>
              <w:spacing w:after="0"/>
              <w:rPr>
                <w:sz w:val="1"/>
                <w:szCs w:val="1"/>
                <w:color w:val="auto"/>
              </w:rPr>
            </w:pPr>
          </w:p>
        </w:tc>
      </w:tr>
      <w:tr>
        <w:trPr>
          <w:trHeight w:val="237"/>
        </w:trPr>
        <w:tc>
          <w:tcPr>
            <w:tcW w:w="3400" w:type="dxa"/>
            <w:vAlign w:val="bottom"/>
          </w:tcPr>
          <w:p>
            <w:pPr>
              <w:spacing w:after="0"/>
              <w:rPr>
                <w:sz w:val="20"/>
                <w:szCs w:val="20"/>
                <w:color w:val="auto"/>
              </w:rPr>
            </w:pPr>
          </w:p>
        </w:tc>
        <w:tc>
          <w:tcPr>
            <w:tcW w:w="2420" w:type="dxa"/>
            <w:vAlign w:val="bottom"/>
            <w:gridSpan w:val="6"/>
          </w:tcPr>
          <w:p>
            <w:pPr>
              <w:ind w:left="40"/>
              <w:spacing w:after="0"/>
              <w:rPr>
                <w:sz w:val="20"/>
                <w:szCs w:val="20"/>
                <w:color w:val="auto"/>
              </w:rPr>
            </w:pPr>
            <w:r>
              <w:rPr>
                <w:rFonts w:ascii="Arial" w:cs="Arial" w:eastAsia="Arial" w:hAnsi="Arial"/>
                <w:sz w:val="18"/>
                <w:szCs w:val="18"/>
                <w:color w:val="auto"/>
              </w:rPr>
              <w:t>Non- Accrual   Non-Accrual</w:t>
            </w: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9"/>
              </w:rPr>
              <w:t>2020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ind w:right="150"/>
              <w:spacing w:after="0" w:line="201" w:lineRule="exact"/>
              <w:rPr>
                <w:sz w:val="20"/>
                <w:szCs w:val="20"/>
                <w:color w:val="auto"/>
              </w:rPr>
            </w:pPr>
            <w:r>
              <w:rPr>
                <w:rFonts w:ascii="Arial" w:cs="Arial" w:eastAsia="Arial" w:hAnsi="Arial"/>
                <w:sz w:val="18"/>
                <w:szCs w:val="18"/>
                <w:color w:val="auto"/>
              </w:rPr>
              <w:t>with no</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260"/>
              <w:spacing w:after="0" w:line="201" w:lineRule="exact"/>
              <w:rPr>
                <w:sz w:val="20"/>
                <w:szCs w:val="20"/>
                <w:color w:val="auto"/>
              </w:rPr>
            </w:pPr>
            <w:r>
              <w:rPr>
                <w:rFonts w:ascii="Arial" w:cs="Arial" w:eastAsia="Arial" w:hAnsi="Arial"/>
                <w:sz w:val="18"/>
                <w:szCs w:val="18"/>
                <w:color w:val="auto"/>
                <w:w w:val="91"/>
              </w:rPr>
              <w:t>with an</w:t>
            </w: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tcPr>
          <w:p>
            <w:pPr>
              <w:jc w:val="right"/>
              <w:ind w:right="560"/>
              <w:spacing w:after="0" w:line="201" w:lineRule="exact"/>
              <w:rPr>
                <w:sz w:val="20"/>
                <w:szCs w:val="20"/>
                <w:color w:val="auto"/>
              </w:rPr>
            </w:pPr>
            <w:r>
              <w:rPr>
                <w:rFonts w:ascii="Arial" w:cs="Arial" w:eastAsia="Arial" w:hAnsi="Arial"/>
                <w:sz w:val="18"/>
                <w:szCs w:val="18"/>
                <w:color w:val="auto"/>
              </w:rPr>
              <w:t>Total</w:t>
            </w: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0" w:type="dxa"/>
            <w:vAlign w:val="bottom"/>
          </w:tcPr>
          <w:p>
            <w:pPr>
              <w:spacing w:after="0"/>
              <w:rPr>
                <w:sz w:val="18"/>
                <w:szCs w:val="18"/>
                <w:color w:val="auto"/>
              </w:rPr>
            </w:pPr>
          </w:p>
        </w:tc>
        <w:tc>
          <w:tcPr>
            <w:tcW w:w="1040" w:type="dxa"/>
            <w:vAlign w:val="bottom"/>
            <w:gridSpan w:val="2"/>
          </w:tcPr>
          <w:p>
            <w:pPr>
              <w:spacing w:after="0"/>
              <w:rPr>
                <w:sz w:val="20"/>
                <w:szCs w:val="20"/>
                <w:color w:val="auto"/>
              </w:rPr>
            </w:pPr>
            <w:r>
              <w:rPr>
                <w:rFonts w:ascii="Arial" w:cs="Arial" w:eastAsia="Arial" w:hAnsi="Arial"/>
                <w:sz w:val="18"/>
                <w:szCs w:val="18"/>
                <w:color w:val="auto"/>
                <w:w w:val="94"/>
              </w:rPr>
              <w:t>Allowance for</w:t>
            </w:r>
          </w:p>
        </w:tc>
        <w:tc>
          <w:tcPr>
            <w:tcW w:w="140" w:type="dxa"/>
            <w:vAlign w:val="bottom"/>
          </w:tcPr>
          <w:p>
            <w:pPr>
              <w:spacing w:after="0"/>
              <w:rPr>
                <w:sz w:val="18"/>
                <w:szCs w:val="18"/>
                <w:color w:val="auto"/>
              </w:rPr>
            </w:pPr>
          </w:p>
        </w:tc>
        <w:tc>
          <w:tcPr>
            <w:tcW w:w="1240" w:type="dxa"/>
            <w:vAlign w:val="bottom"/>
            <w:gridSpan w:val="3"/>
          </w:tcPr>
          <w:p>
            <w:pPr>
              <w:ind w:left="20"/>
              <w:spacing w:after="0"/>
              <w:rPr>
                <w:sz w:val="20"/>
                <w:szCs w:val="20"/>
                <w:color w:val="auto"/>
              </w:rPr>
            </w:pPr>
            <w:r>
              <w:rPr>
                <w:rFonts w:ascii="Arial" w:cs="Arial" w:eastAsia="Arial" w:hAnsi="Arial"/>
                <w:sz w:val="18"/>
                <w:szCs w:val="18"/>
                <w:color w:val="auto"/>
              </w:rPr>
              <w:t>Allowance for</w:t>
            </w:r>
          </w:p>
        </w:tc>
        <w:tc>
          <w:tcPr>
            <w:tcW w:w="220" w:type="dxa"/>
            <w:vAlign w:val="bottom"/>
          </w:tcPr>
          <w:p>
            <w:pPr>
              <w:spacing w:after="0"/>
              <w:rPr>
                <w:sz w:val="18"/>
                <w:szCs w:val="18"/>
                <w:color w:val="auto"/>
              </w:rPr>
            </w:pPr>
          </w:p>
        </w:tc>
        <w:tc>
          <w:tcPr>
            <w:tcW w:w="1000" w:type="dxa"/>
            <w:vAlign w:val="bottom"/>
            <w:gridSpan w:val="2"/>
          </w:tcPr>
          <w:p>
            <w:pPr>
              <w:ind w:left="120"/>
              <w:spacing w:after="0"/>
              <w:rPr>
                <w:sz w:val="20"/>
                <w:szCs w:val="20"/>
                <w:color w:val="auto"/>
              </w:rPr>
            </w:pPr>
            <w:r>
              <w:rPr>
                <w:rFonts w:ascii="Arial" w:cs="Arial" w:eastAsia="Arial" w:hAnsi="Arial"/>
                <w:sz w:val="18"/>
                <w:szCs w:val="18"/>
                <w:color w:val="auto"/>
              </w:rPr>
              <w:t>Total</w:t>
            </w:r>
          </w:p>
        </w:tc>
        <w:tc>
          <w:tcPr>
            <w:tcW w:w="1180" w:type="dxa"/>
            <w:vAlign w:val="bottom"/>
            <w:gridSpan w:val="3"/>
          </w:tcPr>
          <w:p>
            <w:pPr>
              <w:jc w:val="center"/>
              <w:ind w:right="160"/>
              <w:spacing w:after="0"/>
              <w:rPr>
                <w:sz w:val="20"/>
                <w:szCs w:val="20"/>
                <w:color w:val="auto"/>
              </w:rPr>
            </w:pPr>
            <w:r>
              <w:rPr>
                <w:rFonts w:ascii="Arial" w:cs="Arial" w:eastAsia="Arial" w:hAnsi="Arial"/>
                <w:sz w:val="18"/>
                <w:szCs w:val="18"/>
                <w:color w:val="auto"/>
                <w:w w:val="94"/>
              </w:rPr>
              <w:t>90+ and Still</w:t>
            </w:r>
          </w:p>
        </w:tc>
        <w:tc>
          <w:tcPr>
            <w:tcW w:w="1340" w:type="dxa"/>
            <w:vAlign w:val="bottom"/>
            <w:gridSpan w:val="3"/>
          </w:tcPr>
          <w:p>
            <w:pPr>
              <w:spacing w:after="0"/>
              <w:rPr>
                <w:sz w:val="20"/>
                <w:szCs w:val="20"/>
                <w:color w:val="auto"/>
              </w:rPr>
            </w:pPr>
            <w:r>
              <w:rPr>
                <w:rFonts w:ascii="Arial" w:cs="Arial" w:eastAsia="Arial" w:hAnsi="Arial"/>
                <w:sz w:val="18"/>
                <w:szCs w:val="18"/>
                <w:color w:val="auto"/>
              </w:rPr>
              <w:t>Non-Performing</w:t>
            </w:r>
          </w:p>
        </w:tc>
        <w:tc>
          <w:tcPr>
            <w:tcW w:w="1680" w:type="dxa"/>
            <w:vAlign w:val="bottom"/>
            <w:gridSpan w:val="3"/>
          </w:tcPr>
          <w:p>
            <w:pPr>
              <w:spacing w:after="0"/>
              <w:rPr>
                <w:sz w:val="20"/>
                <w:szCs w:val="20"/>
                <w:color w:val="auto"/>
              </w:rPr>
            </w:pPr>
            <w:r>
              <w:rPr>
                <w:rFonts w:ascii="Arial" w:cs="Arial" w:eastAsia="Arial" w:hAnsi="Arial"/>
                <w:sz w:val="18"/>
                <w:szCs w:val="18"/>
                <w:color w:val="auto"/>
                <w:w w:val="96"/>
              </w:rPr>
              <w:t>Total Non-Performing</w:t>
            </w:r>
          </w:p>
        </w:tc>
        <w:tc>
          <w:tcPr>
            <w:tcW w:w="0" w:type="dxa"/>
            <w:vAlign w:val="bottom"/>
          </w:tcPr>
          <w:p>
            <w:pPr>
              <w:spacing w:after="0"/>
              <w:rPr>
                <w:sz w:val="1"/>
                <w:szCs w:val="1"/>
                <w:color w:val="auto"/>
              </w:rPr>
            </w:pPr>
          </w:p>
        </w:tc>
      </w:tr>
      <w:tr>
        <w:trPr>
          <w:trHeight w:val="237"/>
        </w:trPr>
        <w:tc>
          <w:tcPr>
            <w:tcW w:w="3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w w:val="90"/>
              </w:rPr>
              <w:t>Credit Loss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Credit Loss</w:t>
            </w:r>
          </w:p>
        </w:tc>
        <w:tc>
          <w:tcPr>
            <w:tcW w:w="1220" w:type="dxa"/>
            <w:vAlign w:val="bottom"/>
            <w:gridSpan w:val="3"/>
          </w:tcPr>
          <w:p>
            <w:pPr>
              <w:ind w:left="60"/>
              <w:spacing w:after="0"/>
              <w:rPr>
                <w:sz w:val="20"/>
                <w:szCs w:val="20"/>
                <w:color w:val="auto"/>
              </w:rPr>
            </w:pPr>
            <w:r>
              <w:rPr>
                <w:rFonts w:ascii="Arial" w:cs="Arial" w:eastAsia="Arial" w:hAnsi="Arial"/>
                <w:sz w:val="18"/>
                <w:szCs w:val="18"/>
                <w:color w:val="auto"/>
              </w:rPr>
              <w:t>Non-Accrual</w:t>
            </w:r>
          </w:p>
        </w:tc>
        <w:tc>
          <w:tcPr>
            <w:tcW w:w="140" w:type="dxa"/>
            <w:vAlign w:val="bottom"/>
          </w:tcPr>
          <w:p>
            <w:pPr>
              <w:spacing w:after="0"/>
              <w:rPr>
                <w:sz w:val="20"/>
                <w:szCs w:val="20"/>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8"/>
                <w:szCs w:val="18"/>
                <w:color w:val="auto"/>
                <w:w w:val="94"/>
              </w:rPr>
              <w:t>Accruing</w:t>
            </w:r>
          </w:p>
        </w:tc>
        <w:tc>
          <w:tcPr>
            <w:tcW w:w="220" w:type="dxa"/>
            <w:vAlign w:val="bottom"/>
          </w:tcPr>
          <w:p>
            <w:pPr>
              <w:spacing w:after="0"/>
              <w:rPr>
                <w:sz w:val="20"/>
                <w:szCs w:val="20"/>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Loans</w:t>
            </w:r>
          </w:p>
        </w:tc>
        <w:tc>
          <w:tcPr>
            <w:tcW w:w="200" w:type="dxa"/>
            <w:vAlign w:val="bottom"/>
          </w:tcPr>
          <w:p>
            <w:pPr>
              <w:spacing w:after="0"/>
              <w:rPr>
                <w:sz w:val="20"/>
                <w:szCs w:val="20"/>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Loans (1)</w:t>
            </w:r>
          </w:p>
        </w:tc>
        <w:tc>
          <w:tcPr>
            <w:tcW w:w="0" w:type="dxa"/>
            <w:vAlign w:val="bottom"/>
          </w:tcPr>
          <w:p>
            <w:pPr>
              <w:spacing w:after="0"/>
              <w:rPr>
                <w:sz w:val="1"/>
                <w:szCs w:val="1"/>
                <w:color w:val="auto"/>
              </w:rPr>
            </w:pPr>
          </w:p>
        </w:tc>
      </w:tr>
      <w:tr>
        <w:trPr>
          <w:trHeight w:val="230"/>
        </w:trPr>
        <w:tc>
          <w:tcPr>
            <w:tcW w:w="3400" w:type="dxa"/>
            <w:vAlign w:val="bottom"/>
            <w:vMerge w:val="restart"/>
          </w:tcPr>
          <w:p>
            <w:pPr>
              <w:ind w:left="40"/>
              <w:spacing w:after="0"/>
              <w:rPr>
                <w:sz w:val="20"/>
                <w:szCs w:val="20"/>
                <w:color w:val="auto"/>
              </w:rPr>
            </w:pPr>
            <w:r>
              <w:rPr>
                <w:rFonts w:ascii="Arial" w:cs="Arial" w:eastAsia="Arial" w:hAnsi="Arial"/>
                <w:sz w:val="18"/>
                <w:szCs w:val="18"/>
                <w:color w:val="auto"/>
              </w:rPr>
              <w:t>Commercial</w:t>
            </w:r>
          </w:p>
        </w:tc>
        <w:tc>
          <w:tcPr>
            <w:tcW w:w="1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0"/>
              </w:rPr>
              <w:t>(In thousands)</w:t>
            </w:r>
          </w:p>
        </w:tc>
        <w:tc>
          <w:tcPr>
            <w:tcW w:w="16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Commercial and industrial (2)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189</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189</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1,387</w:t>
            </w:r>
          </w:p>
        </w:tc>
        <w:tc>
          <w:tcPr>
            <w:tcW w:w="0" w:type="dxa"/>
            <w:vAlign w:val="bottom"/>
          </w:tcPr>
          <w:p>
            <w:pPr>
              <w:spacing w:after="0"/>
              <w:rPr>
                <w:sz w:val="1"/>
                <w:szCs w:val="1"/>
                <w:color w:val="auto"/>
              </w:rPr>
            </w:pPr>
          </w:p>
        </w:tc>
      </w:tr>
      <w:tr>
        <w:trPr>
          <w:trHeight w:val="216"/>
        </w:trPr>
        <w:tc>
          <w:tcPr>
            <w:tcW w:w="3400" w:type="dxa"/>
            <w:vAlign w:val="bottom"/>
          </w:tcPr>
          <w:p>
            <w:pPr>
              <w:ind w:left="200"/>
              <w:spacing w:after="0"/>
              <w:rPr>
                <w:sz w:val="20"/>
                <w:szCs w:val="20"/>
                <w:color w:val="auto"/>
              </w:rPr>
            </w:pPr>
            <w:r>
              <w:rPr>
                <w:rFonts w:ascii="Arial" w:cs="Arial" w:eastAsia="Arial" w:hAnsi="Arial"/>
                <w:sz w:val="18"/>
                <w:szCs w:val="18"/>
                <w:color w:val="auto"/>
              </w:rPr>
              <w:t>Commercial real estate</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Mortgage</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ind w:left="200"/>
              <w:spacing w:after="0"/>
              <w:rPr>
                <w:sz w:val="20"/>
                <w:szCs w:val="20"/>
                <w:color w:val="auto"/>
              </w:rPr>
            </w:pPr>
            <w:r>
              <w:rPr>
                <w:rFonts w:ascii="Arial" w:cs="Arial" w:eastAsia="Arial" w:hAnsi="Arial"/>
                <w:sz w:val="18"/>
                <w:szCs w:val="18"/>
                <w:color w:val="auto"/>
              </w:rPr>
              <w:t>1-4 family owner occupied - jumbo</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619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619</w:t>
            </w:r>
          </w:p>
        </w:tc>
        <w:tc>
          <w:tcPr>
            <w:tcW w:w="1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619</w:t>
            </w:r>
          </w:p>
        </w:tc>
        <w:tc>
          <w:tcPr>
            <w:tcW w:w="20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216"/>
        </w:trPr>
        <w:tc>
          <w:tcPr>
            <w:tcW w:w="340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w w:val="93"/>
              </w:rPr>
              <w:t>1-4 family owner occupied - non-jumbo (3)</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1,602</w:t>
            </w:r>
          </w:p>
        </w:tc>
        <w:tc>
          <w:tcPr>
            <w:tcW w:w="22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1,706</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1,706</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2,281</w:t>
            </w:r>
          </w:p>
        </w:tc>
        <w:tc>
          <w:tcPr>
            <w:tcW w:w="0" w:type="dxa"/>
            <w:vAlign w:val="bottom"/>
          </w:tcPr>
          <w:p>
            <w:pPr>
              <w:spacing w:after="0"/>
              <w:rPr>
                <w:sz w:val="1"/>
                <w:szCs w:val="1"/>
                <w:color w:val="auto"/>
              </w:rPr>
            </w:pPr>
          </w:p>
        </w:tc>
      </w:tr>
      <w:tr>
        <w:trPr>
          <w:trHeight w:val="216"/>
        </w:trPr>
        <w:tc>
          <w:tcPr>
            <w:tcW w:w="3400" w:type="dxa"/>
            <w:vAlign w:val="bottom"/>
          </w:tcPr>
          <w:p>
            <w:pPr>
              <w:ind w:left="200"/>
              <w:spacing w:after="0"/>
              <w:rPr>
                <w:sz w:val="20"/>
                <w:szCs w:val="20"/>
                <w:color w:val="auto"/>
              </w:rPr>
            </w:pPr>
            <w:r>
              <w:rPr>
                <w:rFonts w:ascii="Arial" w:cs="Arial" w:eastAsia="Arial" w:hAnsi="Arial"/>
                <w:sz w:val="18"/>
                <w:szCs w:val="18"/>
                <w:color w:val="auto"/>
              </w:rPr>
              <w:t>1-4 family non-owner occupied</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701</w:t>
            </w:r>
          </w:p>
        </w:tc>
        <w:tc>
          <w:tcPr>
            <w:tcW w:w="2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875</w:t>
            </w:r>
          </w:p>
        </w:tc>
        <w:tc>
          <w:tcPr>
            <w:tcW w:w="1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875</w:t>
            </w:r>
          </w:p>
        </w:tc>
        <w:tc>
          <w:tcPr>
            <w:tcW w:w="20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1,112</w:t>
            </w:r>
          </w:p>
        </w:tc>
        <w:tc>
          <w:tcPr>
            <w:tcW w:w="0" w:type="dxa"/>
            <w:vAlign w:val="bottom"/>
          </w:tcPr>
          <w:p>
            <w:pPr>
              <w:spacing w:after="0"/>
              <w:rPr>
                <w:sz w:val="1"/>
                <w:szCs w:val="1"/>
                <w:color w:val="auto"/>
              </w:rPr>
            </w:pPr>
          </w:p>
        </w:tc>
      </w:tr>
      <w:tr>
        <w:trPr>
          <w:trHeight w:val="216"/>
        </w:trPr>
        <w:tc>
          <w:tcPr>
            <w:tcW w:w="340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1-4 family - 2nd lien</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919</w:t>
            </w:r>
          </w:p>
        </w:tc>
        <w:tc>
          <w:tcPr>
            <w:tcW w:w="22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1,105</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1,119</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1,344</w:t>
            </w:r>
          </w:p>
        </w:tc>
        <w:tc>
          <w:tcPr>
            <w:tcW w:w="0" w:type="dxa"/>
            <w:vAlign w:val="bottom"/>
          </w:tcPr>
          <w:p>
            <w:pPr>
              <w:spacing w:after="0"/>
              <w:rPr>
                <w:sz w:val="1"/>
                <w:szCs w:val="1"/>
                <w:color w:val="auto"/>
              </w:rPr>
            </w:pPr>
          </w:p>
        </w:tc>
      </w:tr>
      <w:tr>
        <w:trPr>
          <w:trHeight w:val="216"/>
        </w:trPr>
        <w:tc>
          <w:tcPr>
            <w:tcW w:w="3400" w:type="dxa"/>
            <w:vAlign w:val="bottom"/>
          </w:tcPr>
          <w:p>
            <w:pPr>
              <w:ind w:left="200"/>
              <w:spacing w:after="0"/>
              <w:rPr>
                <w:sz w:val="20"/>
                <w:szCs w:val="20"/>
                <w:color w:val="auto"/>
              </w:rPr>
            </w:pPr>
            <w:r>
              <w:rPr>
                <w:rFonts w:ascii="Arial" w:cs="Arial" w:eastAsia="Arial" w:hAnsi="Arial"/>
                <w:sz w:val="18"/>
                <w:szCs w:val="18"/>
                <w:color w:val="auto"/>
              </w:rPr>
              <w:t>Resort lending</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248</w:t>
            </w:r>
          </w:p>
        </w:tc>
        <w:tc>
          <w:tcPr>
            <w:tcW w:w="2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248</w:t>
            </w:r>
          </w:p>
        </w:tc>
        <w:tc>
          <w:tcPr>
            <w:tcW w:w="1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248</w:t>
            </w:r>
          </w:p>
        </w:tc>
        <w:tc>
          <w:tcPr>
            <w:tcW w:w="20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16"/>
        </w:trPr>
        <w:tc>
          <w:tcPr>
            <w:tcW w:w="340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Installment</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ind w:left="200"/>
              <w:spacing w:after="0"/>
              <w:rPr>
                <w:sz w:val="20"/>
                <w:szCs w:val="20"/>
                <w:color w:val="auto"/>
              </w:rPr>
            </w:pPr>
            <w:r>
              <w:rPr>
                <w:rFonts w:ascii="Arial" w:cs="Arial" w:eastAsia="Arial" w:hAnsi="Arial"/>
                <w:sz w:val="18"/>
                <w:szCs w:val="18"/>
                <w:color w:val="auto"/>
              </w:rPr>
              <w:t>Boat lending</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110</w:t>
            </w:r>
          </w:p>
        </w:tc>
        <w:tc>
          <w:tcPr>
            <w:tcW w:w="2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110</w:t>
            </w:r>
          </w:p>
        </w:tc>
        <w:tc>
          <w:tcPr>
            <w:tcW w:w="1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110</w:t>
            </w:r>
          </w:p>
        </w:tc>
        <w:tc>
          <w:tcPr>
            <w:tcW w:w="20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340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Recreational vehicle lending</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w:t>
            </w:r>
          </w:p>
        </w:tc>
        <w:tc>
          <w:tcPr>
            <w:tcW w:w="22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23"/>
        </w:trPr>
        <w:tc>
          <w:tcPr>
            <w:tcW w:w="3400" w:type="dxa"/>
            <w:vAlign w:val="bottom"/>
          </w:tcPr>
          <w:p>
            <w:pPr>
              <w:ind w:left="20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198</w:t>
            </w:r>
          </w:p>
        </w:tc>
        <w:tc>
          <w:tcPr>
            <w:tcW w:w="2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198</w:t>
            </w:r>
          </w:p>
        </w:tc>
        <w:tc>
          <w:tcPr>
            <w:tcW w:w="14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198</w:t>
            </w:r>
          </w:p>
        </w:tc>
        <w:tc>
          <w:tcPr>
            <w:tcW w:w="200" w:type="dxa"/>
            <w:vAlign w:val="bottom"/>
          </w:tcPr>
          <w:p>
            <w:pPr>
              <w:spacing w:after="0"/>
              <w:rPr>
                <w:sz w:val="19"/>
                <w:szCs w:val="19"/>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57"/>
        </w:trPr>
        <w:tc>
          <w:tcPr>
            <w:tcW w:w="3400" w:type="dxa"/>
            <w:vAlign w:val="bottom"/>
            <w:tcBorders>
              <w:bottom w:val="single" w:sz="8" w:color="CCEEFF"/>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1,083</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4,021</w:t>
            </w:r>
          </w:p>
        </w:tc>
        <w:tc>
          <w:tcPr>
            <w:tcW w:w="1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5,104</w:t>
            </w:r>
          </w:p>
        </w:tc>
        <w:tc>
          <w:tcPr>
            <w:tcW w:w="160" w:type="dxa"/>
            <w:vAlign w:val="bottom"/>
            <w:tcBorders>
              <w:bottom w:val="single" w:sz="8" w:color="CCEEFF"/>
              <w:right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5,118</w:t>
            </w:r>
          </w:p>
        </w:tc>
        <w:tc>
          <w:tcPr>
            <w:tcW w:w="1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7,873</w:t>
            </w: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3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4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interest excluded from total</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Non-performing loans at December 31, 2020 exclude PCI loans.</w:t>
      </w:r>
    </w:p>
    <w:p>
      <w:pPr>
        <w:spacing w:after="0" w:line="23"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Non-performing commercial and industrial loans exclude $0.053 million of government guaranteed loans at both June 30, 2021 and December 31, 2020.</w:t>
      </w:r>
    </w:p>
    <w:p>
      <w:pPr>
        <w:ind w:left="340" w:right="20" w:hanging="332"/>
        <w:spacing w:after="0" w:line="260"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Non-performing 1-4 family owner occupied – non jumbo loans exclude $0.374 million and $0.386 million of government guaranteed loans at June 30, 2021 and December 31, 2020, respectively.</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table provides collateral information by class of loan for collateral-dependent loans with a specific reserve. A loan is considered to be collateral dependent when the borrower is experiencing financial difficulty and the repayment is expected to be provided substantially through the operation or sale of collateral.</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60" w:type="dxa"/>
            <w:vAlign w:val="bottom"/>
          </w:tcPr>
          <w:p>
            <w:pPr>
              <w:spacing w:after="0"/>
              <w:rPr>
                <w:sz w:val="20"/>
                <w:szCs w:val="20"/>
                <w:color w:val="auto"/>
              </w:rPr>
            </w:pPr>
            <w:r>
              <w:rPr>
                <w:rFonts w:ascii="Arial" w:cs="Arial" w:eastAsia="Arial" w:hAnsi="Arial"/>
                <w:sz w:val="18"/>
                <w:szCs w:val="18"/>
                <w:color w:val="auto"/>
                <w:w w:val="98"/>
              </w:rPr>
              <w:t>The amortized cost of collateral-dependent loans by class follows:</w:t>
            </w:r>
          </w:p>
        </w:tc>
        <w:tc>
          <w:tcPr>
            <w:tcW w:w="2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51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8"/>
                <w:szCs w:val="18"/>
                <w:color w:val="auto"/>
              </w:rPr>
              <w:t>Collateral Type</w:t>
            </w:r>
          </w:p>
        </w:tc>
        <w:tc>
          <w:tcPr>
            <w:tcW w:w="3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516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Real</w:t>
            </w: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3"/>
          </w:tcPr>
          <w:p>
            <w:pPr>
              <w:ind w:left="40"/>
              <w:spacing w:after="0" w:line="201" w:lineRule="exact"/>
              <w:rPr>
                <w:sz w:val="20"/>
                <w:szCs w:val="20"/>
                <w:color w:val="auto"/>
              </w:rPr>
            </w:pPr>
            <w:r>
              <w:rPr>
                <w:rFonts w:ascii="Arial" w:cs="Arial" w:eastAsia="Arial" w:hAnsi="Arial"/>
                <w:sz w:val="18"/>
                <w:szCs w:val="18"/>
                <w:color w:val="auto"/>
              </w:rPr>
              <w:t>Allowance for</w:t>
            </w:r>
          </w:p>
        </w:tc>
        <w:tc>
          <w:tcPr>
            <w:tcW w:w="0" w:type="dxa"/>
            <w:vAlign w:val="bottom"/>
          </w:tcPr>
          <w:p>
            <w:pPr>
              <w:spacing w:after="0"/>
              <w:rPr>
                <w:sz w:val="1"/>
                <w:szCs w:val="1"/>
                <w:color w:val="auto"/>
              </w:rPr>
            </w:pPr>
          </w:p>
        </w:tc>
      </w:tr>
      <w:tr>
        <w:trPr>
          <w:trHeight w:val="237"/>
        </w:trPr>
        <w:tc>
          <w:tcPr>
            <w:tcW w:w="516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Estate</w:t>
            </w:r>
          </w:p>
        </w:tc>
        <w:tc>
          <w:tcPr>
            <w:tcW w:w="240" w:type="dxa"/>
            <w:vAlign w:val="bottom"/>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4"/>
              </w:rPr>
              <w:t>Credit Losses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160" w:type="dxa"/>
            <w:vAlign w:val="bottom"/>
            <w:vMerge w:val="restart"/>
          </w:tcPr>
          <w:p>
            <w:pPr>
              <w:spacing w:after="0"/>
              <w:rPr>
                <w:sz w:val="20"/>
                <w:szCs w:val="20"/>
                <w:color w:val="auto"/>
              </w:rPr>
            </w:pPr>
            <w:r>
              <w:rPr>
                <w:rFonts w:ascii="Arial" w:cs="Arial" w:eastAsia="Arial" w:hAnsi="Arial"/>
                <w:sz w:val="18"/>
                <w:szCs w:val="18"/>
                <w:color w:val="auto"/>
              </w:rPr>
              <w:t>June 30, 2021</w:t>
            </w:r>
          </w:p>
        </w:tc>
        <w:tc>
          <w:tcPr>
            <w:tcW w:w="2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(In</w:t>
            </w:r>
          </w:p>
        </w:tc>
        <w:tc>
          <w:tcPr>
            <w:tcW w:w="1040" w:type="dxa"/>
            <w:vAlign w:val="bottom"/>
            <w:gridSpan w:val="2"/>
          </w:tcPr>
          <w:p>
            <w:pPr>
              <w:jc w:val="right"/>
              <w:ind w:right="330"/>
              <w:spacing w:after="0"/>
              <w:rPr>
                <w:sz w:val="20"/>
                <w:szCs w:val="20"/>
                <w:color w:val="auto"/>
              </w:rPr>
            </w:pPr>
            <w:r>
              <w:rPr>
                <w:rFonts w:ascii="Arial" w:cs="Arial" w:eastAsia="Arial" w:hAnsi="Arial"/>
                <w:sz w:val="17"/>
                <w:szCs w:val="17"/>
                <w:color w:val="auto"/>
                <w:w w:val="71"/>
              </w:rPr>
              <w:t>thousands)</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5160" w:type="dxa"/>
            <w:vAlign w:val="bottom"/>
            <w:vMerge w:val="continue"/>
          </w:tcPr>
          <w:p>
            <w:pPr>
              <w:spacing w:after="0"/>
              <w:rPr>
                <w:sz w:val="16"/>
                <w:szCs w:val="16"/>
                <w:color w:val="auto"/>
              </w:rPr>
            </w:pPr>
          </w:p>
        </w:tc>
        <w:tc>
          <w:tcPr>
            <w:tcW w:w="2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80"/>
              <w:spacing w:after="0"/>
              <w:rPr>
                <w:sz w:val="20"/>
                <w:szCs w:val="20"/>
                <w:color w:val="auto"/>
              </w:rPr>
            </w:pPr>
            <w:r>
              <w:rPr>
                <w:rFonts w:ascii="Arial" w:cs="Arial" w:eastAsia="Arial" w:hAnsi="Arial"/>
                <w:sz w:val="18"/>
                <w:szCs w:val="18"/>
                <w:color w:val="auto"/>
              </w:rPr>
              <w:t>Commercial</w:t>
            </w:r>
          </w:p>
        </w:tc>
        <w:tc>
          <w:tcPr>
            <w:tcW w:w="2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Commercial and industrial</w:t>
            </w:r>
          </w:p>
        </w:tc>
        <w:tc>
          <w:tcPr>
            <w:tcW w:w="23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56"/>
              <w:spacing w:after="0"/>
              <w:rPr>
                <w:sz w:val="20"/>
                <w:szCs w:val="20"/>
                <w:color w:val="auto"/>
              </w:rPr>
            </w:pPr>
            <w:r>
              <w:rPr>
                <w:rFonts w:ascii="Arial" w:cs="Arial" w:eastAsia="Arial" w:hAnsi="Arial"/>
                <w:sz w:val="18"/>
                <w:szCs w:val="18"/>
                <w:color w:val="auto"/>
              </w:rPr>
              <w:t>104</w:t>
            </w:r>
          </w:p>
        </w:tc>
        <w:tc>
          <w:tcPr>
            <w:tcW w:w="8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667</w:t>
            </w:r>
          </w:p>
        </w:tc>
        <w:tc>
          <w:tcPr>
            <w:tcW w:w="4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16"/>
        </w:trPr>
        <w:tc>
          <w:tcPr>
            <w:tcW w:w="5160" w:type="dxa"/>
            <w:vAlign w:val="bottom"/>
          </w:tcPr>
          <w:p>
            <w:pPr>
              <w:ind w:left="260"/>
              <w:spacing w:after="0"/>
              <w:rPr>
                <w:sz w:val="20"/>
                <w:szCs w:val="20"/>
                <w:color w:val="auto"/>
              </w:rPr>
            </w:pPr>
            <w:r>
              <w:rPr>
                <w:rFonts w:ascii="Arial" w:cs="Arial" w:eastAsia="Arial" w:hAnsi="Arial"/>
                <w:sz w:val="18"/>
                <w:szCs w:val="18"/>
                <w:color w:val="auto"/>
              </w:rPr>
              <w:t>Commercial real estate</w:t>
            </w:r>
          </w:p>
        </w:tc>
        <w:tc>
          <w:tcPr>
            <w:tcW w:w="2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56"/>
              <w:spacing w:after="0"/>
              <w:rPr>
                <w:sz w:val="20"/>
                <w:szCs w:val="20"/>
                <w:color w:val="auto"/>
              </w:rPr>
            </w:pPr>
            <w:r>
              <w:rPr>
                <w:rFonts w:ascii="Arial" w:cs="Arial" w:eastAsia="Arial" w:hAnsi="Arial"/>
                <w:sz w:val="18"/>
                <w:szCs w:val="18"/>
                <w:color w:val="auto"/>
              </w:rPr>
              <w:t>136</w:t>
            </w:r>
          </w:p>
        </w:tc>
        <w:tc>
          <w:tcPr>
            <w:tcW w:w="800" w:type="dxa"/>
            <w:vAlign w:val="bottom"/>
          </w:tcPr>
          <w:p>
            <w:pPr>
              <w:spacing w:after="0"/>
              <w:rPr>
                <w:sz w:val="18"/>
                <w:szCs w:val="18"/>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Mortgage</w:t>
            </w:r>
          </w:p>
        </w:tc>
        <w:tc>
          <w:tcPr>
            <w:tcW w:w="2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ind w:left="260"/>
              <w:spacing w:after="0"/>
              <w:rPr>
                <w:sz w:val="20"/>
                <w:szCs w:val="20"/>
                <w:color w:val="auto"/>
              </w:rPr>
            </w:pPr>
            <w:r>
              <w:rPr>
                <w:rFonts w:ascii="Arial" w:cs="Arial" w:eastAsia="Arial" w:hAnsi="Arial"/>
                <w:sz w:val="18"/>
                <w:szCs w:val="18"/>
                <w:color w:val="auto"/>
              </w:rPr>
              <w:t>1-4 family owner occupied - jumbo</w:t>
            </w:r>
          </w:p>
        </w:tc>
        <w:tc>
          <w:tcPr>
            <w:tcW w:w="2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56"/>
              <w:spacing w:after="0"/>
              <w:rPr>
                <w:sz w:val="20"/>
                <w:szCs w:val="20"/>
                <w:color w:val="auto"/>
              </w:rPr>
            </w:pPr>
            <w:r>
              <w:rPr>
                <w:rFonts w:ascii="Arial" w:cs="Arial" w:eastAsia="Arial" w:hAnsi="Arial"/>
                <w:sz w:val="18"/>
                <w:szCs w:val="18"/>
                <w:color w:val="auto"/>
              </w:rPr>
              <w:t>619</w:t>
            </w:r>
          </w:p>
        </w:tc>
        <w:tc>
          <w:tcPr>
            <w:tcW w:w="800" w:type="dxa"/>
            <w:vAlign w:val="bottom"/>
          </w:tcPr>
          <w:p>
            <w:pPr>
              <w:spacing w:after="0"/>
              <w:rPr>
                <w:sz w:val="18"/>
                <w:szCs w:val="18"/>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1-4 family owner occupied - non-jumbo</w:t>
            </w:r>
          </w:p>
        </w:tc>
        <w:tc>
          <w:tcPr>
            <w:tcW w:w="2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56"/>
              <w:spacing w:after="0"/>
              <w:rPr>
                <w:sz w:val="20"/>
                <w:szCs w:val="20"/>
                <w:color w:val="auto"/>
              </w:rPr>
            </w:pPr>
            <w:r>
              <w:rPr>
                <w:rFonts w:ascii="Arial" w:cs="Arial" w:eastAsia="Arial" w:hAnsi="Arial"/>
                <w:sz w:val="18"/>
                <w:szCs w:val="18"/>
                <w:color w:val="auto"/>
              </w:rPr>
              <w:t>982</w:t>
            </w:r>
          </w:p>
        </w:tc>
        <w:tc>
          <w:tcPr>
            <w:tcW w:w="8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16"/>
        </w:trPr>
        <w:tc>
          <w:tcPr>
            <w:tcW w:w="5160" w:type="dxa"/>
            <w:vAlign w:val="bottom"/>
          </w:tcPr>
          <w:p>
            <w:pPr>
              <w:ind w:left="260"/>
              <w:spacing w:after="0"/>
              <w:rPr>
                <w:sz w:val="20"/>
                <w:szCs w:val="20"/>
                <w:color w:val="auto"/>
              </w:rPr>
            </w:pPr>
            <w:r>
              <w:rPr>
                <w:rFonts w:ascii="Arial" w:cs="Arial" w:eastAsia="Arial" w:hAnsi="Arial"/>
                <w:sz w:val="18"/>
                <w:szCs w:val="18"/>
                <w:color w:val="auto"/>
              </w:rPr>
              <w:t>1-4 family non-owner occupied</w:t>
            </w:r>
          </w:p>
        </w:tc>
        <w:tc>
          <w:tcPr>
            <w:tcW w:w="2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56"/>
              <w:spacing w:after="0"/>
              <w:rPr>
                <w:sz w:val="20"/>
                <w:szCs w:val="20"/>
                <w:color w:val="auto"/>
              </w:rPr>
            </w:pPr>
            <w:r>
              <w:rPr>
                <w:rFonts w:ascii="Arial" w:cs="Arial" w:eastAsia="Arial" w:hAnsi="Arial"/>
                <w:sz w:val="18"/>
                <w:szCs w:val="18"/>
                <w:color w:val="auto"/>
              </w:rPr>
              <w:t>396</w:t>
            </w:r>
          </w:p>
        </w:tc>
        <w:tc>
          <w:tcPr>
            <w:tcW w:w="800" w:type="dxa"/>
            <w:vAlign w:val="bottom"/>
          </w:tcPr>
          <w:p>
            <w:pPr>
              <w:spacing w:after="0"/>
              <w:rPr>
                <w:sz w:val="18"/>
                <w:szCs w:val="18"/>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1-4 family - 2nd lien</w:t>
            </w:r>
          </w:p>
        </w:tc>
        <w:tc>
          <w:tcPr>
            <w:tcW w:w="2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56"/>
              <w:spacing w:after="0"/>
              <w:rPr>
                <w:sz w:val="20"/>
                <w:szCs w:val="20"/>
                <w:color w:val="auto"/>
              </w:rPr>
            </w:pPr>
            <w:r>
              <w:rPr>
                <w:rFonts w:ascii="Arial" w:cs="Arial" w:eastAsia="Arial" w:hAnsi="Arial"/>
                <w:sz w:val="18"/>
                <w:szCs w:val="18"/>
                <w:color w:val="auto"/>
              </w:rPr>
              <w:t>446</w:t>
            </w:r>
          </w:p>
        </w:tc>
        <w:tc>
          <w:tcPr>
            <w:tcW w:w="8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5160" w:type="dxa"/>
            <w:vAlign w:val="bottom"/>
          </w:tcPr>
          <w:p>
            <w:pPr>
              <w:ind w:left="260"/>
              <w:spacing w:after="0"/>
              <w:rPr>
                <w:sz w:val="20"/>
                <w:szCs w:val="20"/>
                <w:color w:val="auto"/>
              </w:rPr>
            </w:pPr>
            <w:r>
              <w:rPr>
                <w:rFonts w:ascii="Arial" w:cs="Arial" w:eastAsia="Arial" w:hAnsi="Arial"/>
                <w:sz w:val="18"/>
                <w:szCs w:val="18"/>
                <w:color w:val="auto"/>
              </w:rPr>
              <w:t>Resort lending</w:t>
            </w:r>
          </w:p>
        </w:tc>
        <w:tc>
          <w:tcPr>
            <w:tcW w:w="2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56"/>
              <w:spacing w:after="0"/>
              <w:rPr>
                <w:sz w:val="20"/>
                <w:szCs w:val="20"/>
                <w:color w:val="auto"/>
              </w:rPr>
            </w:pPr>
            <w:r>
              <w:rPr>
                <w:rFonts w:ascii="Arial" w:cs="Arial" w:eastAsia="Arial" w:hAnsi="Arial"/>
                <w:sz w:val="18"/>
                <w:szCs w:val="18"/>
                <w:color w:val="auto"/>
              </w:rPr>
              <w:t>248</w:t>
            </w:r>
          </w:p>
        </w:tc>
        <w:tc>
          <w:tcPr>
            <w:tcW w:w="800" w:type="dxa"/>
            <w:vAlign w:val="bottom"/>
          </w:tcPr>
          <w:p>
            <w:pPr>
              <w:spacing w:after="0"/>
              <w:rPr>
                <w:sz w:val="18"/>
                <w:szCs w:val="18"/>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Installment</w:t>
            </w:r>
          </w:p>
        </w:tc>
        <w:tc>
          <w:tcPr>
            <w:tcW w:w="2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ind w:left="260"/>
              <w:spacing w:after="0"/>
              <w:rPr>
                <w:sz w:val="20"/>
                <w:szCs w:val="20"/>
                <w:color w:val="auto"/>
              </w:rPr>
            </w:pPr>
            <w:r>
              <w:rPr>
                <w:rFonts w:ascii="Arial" w:cs="Arial" w:eastAsia="Arial" w:hAnsi="Arial"/>
                <w:sz w:val="18"/>
                <w:szCs w:val="18"/>
                <w:color w:val="auto"/>
              </w:rPr>
              <w:t>Boat lending</w:t>
            </w:r>
          </w:p>
        </w:tc>
        <w:tc>
          <w:tcPr>
            <w:tcW w:w="2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56</w:t>
            </w:r>
          </w:p>
        </w:tc>
        <w:tc>
          <w:tcPr>
            <w:tcW w:w="4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Recreational vehicle lending</w:t>
            </w:r>
          </w:p>
        </w:tc>
        <w:tc>
          <w:tcPr>
            <w:tcW w:w="2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w:t>
            </w:r>
          </w:p>
        </w:tc>
        <w:tc>
          <w:tcPr>
            <w:tcW w:w="4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3"/>
        </w:trPr>
        <w:tc>
          <w:tcPr>
            <w:tcW w:w="5160" w:type="dxa"/>
            <w:vAlign w:val="bottom"/>
          </w:tcPr>
          <w:p>
            <w:pPr>
              <w:ind w:left="260"/>
              <w:spacing w:after="0"/>
              <w:rPr>
                <w:sz w:val="20"/>
                <w:szCs w:val="20"/>
                <w:color w:val="auto"/>
              </w:rPr>
            </w:pPr>
            <w:r>
              <w:rPr>
                <w:rFonts w:ascii="Arial" w:cs="Arial" w:eastAsia="Arial" w:hAnsi="Arial"/>
                <w:sz w:val="18"/>
                <w:szCs w:val="18"/>
                <w:color w:val="auto"/>
              </w:rPr>
              <w:t>Other</w:t>
            </w:r>
          </w:p>
        </w:tc>
        <w:tc>
          <w:tcPr>
            <w:tcW w:w="2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135</w:t>
            </w:r>
          </w:p>
        </w:tc>
        <w:tc>
          <w:tcPr>
            <w:tcW w:w="46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Total</w:t>
            </w:r>
          </w:p>
        </w:tc>
        <w:tc>
          <w:tcPr>
            <w:tcW w:w="21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2,942</w:t>
            </w:r>
          </w:p>
        </w:tc>
        <w:tc>
          <w:tcPr>
            <w:tcW w:w="2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top w:val="single" w:sz="8" w:color="auto"/>
              <w:bottom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888</w:t>
            </w:r>
          </w:p>
        </w:tc>
        <w:tc>
          <w:tcPr>
            <w:tcW w:w="2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884</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160" w:type="dxa"/>
            <w:vAlign w:val="bottom"/>
          </w:tcPr>
          <w:p>
            <w:pPr>
              <w:spacing w:after="0"/>
              <w:rPr>
                <w:sz w:val="18"/>
                <w:szCs w:val="18"/>
                <w:color w:val="auto"/>
              </w:rPr>
            </w:pPr>
          </w:p>
        </w:tc>
        <w:tc>
          <w:tcPr>
            <w:tcW w:w="2380" w:type="dxa"/>
            <w:vAlign w:val="bottom"/>
            <w:gridSpan w:val="2"/>
          </w:tcPr>
          <w:p>
            <w:pPr>
              <w:spacing w:after="0"/>
              <w:rPr>
                <w:sz w:val="18"/>
                <w:szCs w:val="18"/>
                <w:color w:val="auto"/>
              </w:rPr>
            </w:pPr>
          </w:p>
        </w:tc>
        <w:tc>
          <w:tcPr>
            <w:tcW w:w="1160" w:type="dxa"/>
            <w:vAlign w:val="bottom"/>
            <w:gridSpan w:val="2"/>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gridSpan w:val="2"/>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 excluded from total</w:t>
            </w:r>
          </w:p>
        </w:tc>
        <w:tc>
          <w:tcPr>
            <w:tcW w:w="23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56"/>
              <w:spacing w:after="0"/>
              <w:rPr>
                <w:sz w:val="20"/>
                <w:szCs w:val="20"/>
                <w:color w:val="auto"/>
              </w:rPr>
            </w:pPr>
            <w:r>
              <w:rPr>
                <w:rFonts w:ascii="Arial" w:cs="Arial" w:eastAsia="Arial" w:hAnsi="Arial"/>
                <w:sz w:val="18"/>
                <w:szCs w:val="18"/>
                <w:color w:val="auto"/>
              </w:rPr>
              <w:t>1</w:t>
            </w:r>
          </w:p>
        </w:tc>
        <w:tc>
          <w:tcPr>
            <w:tcW w:w="8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46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642"/>
        </w:trPr>
        <w:tc>
          <w:tcPr>
            <w:tcW w:w="5160" w:type="dxa"/>
            <w:vAlign w:val="bottom"/>
            <w:tcBorders>
              <w:top w:val="single" w:sz="8" w:color="CCEEFF"/>
            </w:tcBorders>
          </w:tcPr>
          <w:p>
            <w:pPr>
              <w:spacing w:after="0"/>
              <w:rPr>
                <w:sz w:val="24"/>
                <w:szCs w:val="24"/>
                <w:color w:val="auto"/>
              </w:rPr>
            </w:pPr>
          </w:p>
        </w:tc>
        <w:tc>
          <w:tcPr>
            <w:tcW w:w="2160" w:type="dxa"/>
            <w:vAlign w:val="bottom"/>
            <w:tcBorders>
              <w:top w:val="single" w:sz="8" w:color="CCEEFF"/>
            </w:tcBorders>
          </w:tcPr>
          <w:p>
            <w:pPr>
              <w:jc w:val="right"/>
              <w:ind w:right="1510"/>
              <w:spacing w:after="0"/>
              <w:rPr>
                <w:sz w:val="20"/>
                <w:szCs w:val="20"/>
                <w:color w:val="auto"/>
              </w:rPr>
            </w:pPr>
            <w:r>
              <w:rPr>
                <w:rFonts w:ascii="Arial" w:cs="Arial" w:eastAsia="Arial" w:hAnsi="Arial"/>
                <w:sz w:val="18"/>
                <w:szCs w:val="18"/>
                <w:color w:val="auto"/>
              </w:rPr>
              <w:t>20</w:t>
            </w:r>
          </w:p>
        </w:tc>
        <w:tc>
          <w:tcPr>
            <w:tcW w:w="2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460" w:type="dxa"/>
            <w:vAlign w:val="bottom"/>
            <w:tcBorders>
              <w:top w:val="single" w:sz="8" w:color="CCEEFF"/>
            </w:tcBorders>
          </w:tcPr>
          <w:p>
            <w:pPr>
              <w:spacing w:after="0"/>
              <w:rPr>
                <w:sz w:val="24"/>
                <w:szCs w:val="24"/>
                <w:color w:val="auto"/>
              </w:rPr>
            </w:pPr>
          </w:p>
        </w:tc>
        <w:tc>
          <w:tcPr>
            <w:tcW w:w="66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5160" w:type="dxa"/>
            <w:vAlign w:val="bottom"/>
            <w:tcBorders>
              <w:bottom w:val="single" w:sz="8" w:color="auto"/>
            </w:tcBorders>
          </w:tcPr>
          <w:p>
            <w:pPr>
              <w:spacing w:after="0"/>
              <w:rPr>
                <w:sz w:val="5"/>
                <w:szCs w:val="5"/>
                <w:color w:val="auto"/>
              </w:rPr>
            </w:pPr>
          </w:p>
        </w:tc>
        <w:tc>
          <w:tcPr>
            <w:tcW w:w="21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An aging analysis of loans by class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5"/>
          </w:tcPr>
          <w:p>
            <w:pPr>
              <w:jc w:val="right"/>
              <w:ind w:right="940"/>
              <w:spacing w:after="0"/>
              <w:rPr>
                <w:sz w:val="20"/>
                <w:szCs w:val="20"/>
                <w:color w:val="auto"/>
              </w:rPr>
            </w:pPr>
            <w:r>
              <w:rPr>
                <w:rFonts w:ascii="Arial" w:cs="Arial" w:eastAsia="Arial" w:hAnsi="Arial"/>
                <w:sz w:val="18"/>
                <w:szCs w:val="18"/>
                <w:color w:val="auto"/>
              </w:rPr>
              <w:t>Loans Past Due</w:t>
            </w:r>
          </w:p>
        </w:tc>
        <w:tc>
          <w:tcPr>
            <w:tcW w:w="3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w w:val="96"/>
              </w:rPr>
              <w:t>Loans not</w:t>
            </w:r>
          </w:p>
        </w:tc>
        <w:tc>
          <w:tcPr>
            <w:tcW w:w="220" w:type="dxa"/>
            <w:vAlign w:val="bottom"/>
          </w:tcPr>
          <w:p>
            <w:pPr>
              <w:spacing w:after="0"/>
              <w:rPr>
                <w:sz w:val="20"/>
                <w:szCs w:val="20"/>
                <w:color w:val="auto"/>
              </w:rPr>
            </w:pPr>
          </w:p>
        </w:tc>
        <w:tc>
          <w:tcPr>
            <w:tcW w:w="1000" w:type="dxa"/>
            <w:vAlign w:val="bottom"/>
            <w:gridSpan w:val="2"/>
          </w:tcPr>
          <w:p>
            <w:pPr>
              <w:ind w:left="16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23"/>
        </w:trPr>
        <w:tc>
          <w:tcPr>
            <w:tcW w:w="3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2"/>
              </w:rPr>
              <w:t>30-59 days</w:t>
            </w: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2"/>
              </w:rPr>
              <w:t>60-89 days</w:t>
            </w: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5"/>
              </w:rPr>
              <w:t>90+ days</w:t>
            </w:r>
          </w:p>
        </w:tc>
        <w:tc>
          <w:tcPr>
            <w:tcW w:w="2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89"/>
              </w:rPr>
              <w:t>Total</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7"/>
              </w:rPr>
              <w:t>Past Due</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Loans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80" w:type="dxa"/>
            <w:vAlign w:val="bottom"/>
            <w:vMerge w:val="restart"/>
          </w:tcPr>
          <w:p>
            <w:pPr>
              <w:spacing w:after="0"/>
              <w:rPr>
                <w:sz w:val="20"/>
                <w:szCs w:val="20"/>
                <w:color w:val="auto"/>
              </w:rPr>
            </w:pPr>
            <w:r>
              <w:rPr>
                <w:rFonts w:ascii="Arial" w:cs="Arial" w:eastAsia="Arial" w:hAnsi="Arial"/>
                <w:sz w:val="18"/>
                <w:szCs w:val="18"/>
                <w:color w:val="auto"/>
              </w:rPr>
              <w:t>June 30, 2021</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(In thousands)</w:t>
            </w: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32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280" w:type="dxa"/>
            <w:vAlign w:val="bottom"/>
          </w:tcPr>
          <w:p>
            <w:pPr>
              <w:ind w:left="140"/>
              <w:spacing w:after="0"/>
              <w:rPr>
                <w:sz w:val="20"/>
                <w:szCs w:val="20"/>
                <w:color w:val="auto"/>
              </w:rPr>
            </w:pPr>
            <w:r>
              <w:rPr>
                <w:rFonts w:ascii="Arial" w:cs="Arial" w:eastAsia="Arial" w:hAnsi="Arial"/>
                <w:sz w:val="18"/>
                <w:szCs w:val="18"/>
                <w:color w:val="auto"/>
              </w:rPr>
              <w:t>Commercial</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and industrial</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w:t>
            </w:r>
          </w:p>
        </w:tc>
        <w:tc>
          <w:tcPr>
            <w:tcW w:w="360" w:type="dxa"/>
            <w:vAlign w:val="bottom"/>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673,592</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673,754</w:t>
            </w:r>
          </w:p>
        </w:tc>
        <w:tc>
          <w:tcPr>
            <w:tcW w:w="0" w:type="dxa"/>
            <w:vAlign w:val="bottom"/>
          </w:tcPr>
          <w:p>
            <w:pPr>
              <w:spacing w:after="0"/>
              <w:rPr>
                <w:sz w:val="1"/>
                <w:szCs w:val="1"/>
                <w:color w:val="auto"/>
              </w:rPr>
            </w:pPr>
          </w:p>
        </w:tc>
      </w:tr>
      <w:tr>
        <w:trPr>
          <w:trHeight w:val="216"/>
        </w:trPr>
        <w:tc>
          <w:tcPr>
            <w:tcW w:w="3280" w:type="dxa"/>
            <w:vAlign w:val="bottom"/>
          </w:tcPr>
          <w:p>
            <w:pPr>
              <w:ind w:left="340"/>
              <w:spacing w:after="0"/>
              <w:rPr>
                <w:sz w:val="20"/>
                <w:szCs w:val="20"/>
                <w:color w:val="auto"/>
              </w:rPr>
            </w:pPr>
            <w:r>
              <w:rPr>
                <w:rFonts w:ascii="Arial" w:cs="Arial" w:eastAsia="Arial" w:hAnsi="Arial"/>
                <w:sz w:val="18"/>
                <w:szCs w:val="18"/>
                <w:color w:val="auto"/>
              </w:rPr>
              <w:t>Commercial real estate</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570,793</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570,793</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Mortgage</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340"/>
              <w:spacing w:after="0"/>
              <w:rPr>
                <w:sz w:val="20"/>
                <w:szCs w:val="20"/>
                <w:color w:val="auto"/>
              </w:rPr>
            </w:pPr>
            <w:r>
              <w:rPr>
                <w:rFonts w:ascii="Arial" w:cs="Arial" w:eastAsia="Arial" w:hAnsi="Arial"/>
                <w:sz w:val="18"/>
                <w:szCs w:val="18"/>
                <w:color w:val="auto"/>
              </w:rPr>
              <w:t>1-4 family owner occupied - jumbo</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619</w:t>
            </w:r>
          </w:p>
        </w:tc>
        <w:tc>
          <w:tcPr>
            <w:tcW w:w="3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619</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482,670</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483,289</w:t>
            </w:r>
          </w:p>
        </w:tc>
        <w:tc>
          <w:tcPr>
            <w:tcW w:w="0" w:type="dxa"/>
            <w:vAlign w:val="bottom"/>
          </w:tcPr>
          <w:p>
            <w:pPr>
              <w:spacing w:after="0"/>
              <w:rPr>
                <w:sz w:val="1"/>
                <w:szCs w:val="1"/>
                <w:color w:val="auto"/>
              </w:rPr>
            </w:pPr>
          </w:p>
        </w:tc>
      </w:tr>
      <w:tr>
        <w:trPr>
          <w:trHeight w:val="202"/>
        </w:trPr>
        <w:tc>
          <w:tcPr>
            <w:tcW w:w="32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1-4 family owner occupied - non-</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jc w:val="center"/>
              <w:ind w:right="1810"/>
              <w:spacing w:after="0"/>
              <w:rPr>
                <w:sz w:val="20"/>
                <w:szCs w:val="20"/>
                <w:color w:val="auto"/>
              </w:rPr>
            </w:pPr>
            <w:r>
              <w:rPr>
                <w:rFonts w:ascii="Arial" w:cs="Arial" w:eastAsia="Arial" w:hAnsi="Arial"/>
                <w:sz w:val="18"/>
                <w:szCs w:val="18"/>
                <w:color w:val="auto"/>
                <w:w w:val="93"/>
              </w:rPr>
              <w:t>jumbo</w:t>
            </w: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1,017</w:t>
            </w: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269</w:t>
            </w:r>
          </w:p>
        </w:tc>
        <w:tc>
          <w:tcPr>
            <w:tcW w:w="1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616</w:t>
            </w:r>
          </w:p>
        </w:tc>
        <w:tc>
          <w:tcPr>
            <w:tcW w:w="3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1,902</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249,216</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251,118</w:t>
            </w:r>
          </w:p>
        </w:tc>
        <w:tc>
          <w:tcPr>
            <w:tcW w:w="0" w:type="dxa"/>
            <w:vAlign w:val="bottom"/>
          </w:tcPr>
          <w:p>
            <w:pPr>
              <w:spacing w:after="0"/>
              <w:rPr>
                <w:sz w:val="1"/>
                <w:szCs w:val="1"/>
                <w:color w:val="auto"/>
              </w:rPr>
            </w:pPr>
          </w:p>
        </w:tc>
      </w:tr>
      <w:tr>
        <w:trPr>
          <w:trHeight w:val="216"/>
        </w:trPr>
        <w:tc>
          <w:tcPr>
            <w:tcW w:w="3280" w:type="dxa"/>
            <w:vAlign w:val="bottom"/>
          </w:tcPr>
          <w:p>
            <w:pPr>
              <w:ind w:left="340"/>
              <w:spacing w:after="0"/>
              <w:rPr>
                <w:sz w:val="20"/>
                <w:szCs w:val="20"/>
                <w:color w:val="auto"/>
              </w:rPr>
            </w:pPr>
            <w:r>
              <w:rPr>
                <w:rFonts w:ascii="Arial" w:cs="Arial" w:eastAsia="Arial" w:hAnsi="Arial"/>
                <w:sz w:val="18"/>
                <w:szCs w:val="18"/>
                <w:color w:val="auto"/>
              </w:rPr>
              <w:t>1-4 family non-owner occupied</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96</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396</w:t>
            </w:r>
          </w:p>
        </w:tc>
        <w:tc>
          <w:tcPr>
            <w:tcW w:w="3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875</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168,307</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169,182</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1-4 family - 2nd lien</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397</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834</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86,771</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87,605</w:t>
            </w:r>
          </w:p>
        </w:tc>
        <w:tc>
          <w:tcPr>
            <w:tcW w:w="0" w:type="dxa"/>
            <w:vAlign w:val="bottom"/>
          </w:tcPr>
          <w:p>
            <w:pPr>
              <w:spacing w:after="0"/>
              <w:rPr>
                <w:sz w:val="1"/>
                <w:szCs w:val="1"/>
                <w:color w:val="auto"/>
              </w:rPr>
            </w:pPr>
          </w:p>
        </w:tc>
      </w:tr>
      <w:tr>
        <w:trPr>
          <w:trHeight w:val="216"/>
        </w:trPr>
        <w:tc>
          <w:tcPr>
            <w:tcW w:w="3280" w:type="dxa"/>
            <w:vAlign w:val="bottom"/>
          </w:tcPr>
          <w:p>
            <w:pPr>
              <w:ind w:left="340"/>
              <w:spacing w:after="0"/>
              <w:rPr>
                <w:sz w:val="20"/>
                <w:szCs w:val="20"/>
                <w:color w:val="auto"/>
              </w:rPr>
            </w:pPr>
            <w:r>
              <w:rPr>
                <w:rFonts w:ascii="Arial" w:cs="Arial" w:eastAsia="Arial" w:hAnsi="Arial"/>
                <w:sz w:val="18"/>
                <w:szCs w:val="18"/>
                <w:color w:val="auto"/>
              </w:rPr>
              <w:t>Resort lending</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220</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248</w:t>
            </w:r>
          </w:p>
        </w:tc>
        <w:tc>
          <w:tcPr>
            <w:tcW w:w="3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468</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53,446</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53,914</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Installment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340"/>
              <w:spacing w:after="0"/>
              <w:rPr>
                <w:sz w:val="20"/>
                <w:szCs w:val="20"/>
                <w:color w:val="auto"/>
              </w:rPr>
            </w:pPr>
            <w:r>
              <w:rPr>
                <w:rFonts w:ascii="Arial" w:cs="Arial" w:eastAsia="Arial" w:hAnsi="Arial"/>
                <w:sz w:val="18"/>
                <w:szCs w:val="18"/>
                <w:color w:val="auto"/>
              </w:rPr>
              <w:t>Boat lending</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601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24</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24</w:t>
            </w:r>
          </w:p>
        </w:tc>
        <w:tc>
          <w:tcPr>
            <w:tcW w:w="3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649</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228,044</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228,693</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Recreational vehicle lending</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613</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201,332</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201,945</w:t>
            </w:r>
          </w:p>
        </w:tc>
        <w:tc>
          <w:tcPr>
            <w:tcW w:w="0" w:type="dxa"/>
            <w:vAlign w:val="bottom"/>
          </w:tcPr>
          <w:p>
            <w:pPr>
              <w:spacing w:after="0"/>
              <w:rPr>
                <w:sz w:val="1"/>
                <w:szCs w:val="1"/>
                <w:color w:val="auto"/>
              </w:rPr>
            </w:pPr>
          </w:p>
        </w:tc>
      </w:tr>
      <w:tr>
        <w:trPr>
          <w:trHeight w:val="223"/>
        </w:trPr>
        <w:tc>
          <w:tcPr>
            <w:tcW w:w="3280" w:type="dxa"/>
            <w:vAlign w:val="bottom"/>
          </w:tcPr>
          <w:p>
            <w:pPr>
              <w:ind w:left="34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312</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64</w:t>
            </w:r>
          </w:p>
        </w:tc>
        <w:tc>
          <w:tcPr>
            <w:tcW w:w="18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135</w:t>
            </w:r>
          </w:p>
        </w:tc>
        <w:tc>
          <w:tcPr>
            <w:tcW w:w="36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511</w:t>
            </w: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93,755</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94,266</w:t>
            </w:r>
          </w:p>
        </w:tc>
        <w:tc>
          <w:tcPr>
            <w:tcW w:w="0" w:type="dxa"/>
            <w:vAlign w:val="bottom"/>
          </w:tcPr>
          <w:p>
            <w:pPr>
              <w:spacing w:after="0"/>
              <w:rPr>
                <w:sz w:val="1"/>
                <w:szCs w:val="1"/>
                <w:color w:val="auto"/>
              </w:rPr>
            </w:pPr>
          </w:p>
        </w:tc>
      </w:tr>
      <w:tr>
        <w:trPr>
          <w:trHeight w:val="257"/>
        </w:trPr>
        <w:tc>
          <w:tcPr>
            <w:tcW w:w="3280" w:type="dxa"/>
            <w:vAlign w:val="bottom"/>
            <w:tcBorders>
              <w:bottom w:val="single" w:sz="8" w:color="CCEEFF"/>
            </w:tcBorders>
            <w:shd w:val="clear" w:color="auto" w:fill="CCEEFF"/>
          </w:tcPr>
          <w:p>
            <w:pPr>
              <w:jc w:val="center"/>
              <w:ind w:right="1850"/>
              <w:spacing w:after="0"/>
              <w:rPr>
                <w:sz w:val="20"/>
                <w:szCs w:val="20"/>
                <w:color w:val="auto"/>
              </w:rPr>
            </w:pPr>
            <w:r>
              <w:rPr>
                <w:rFonts w:ascii="Arial" w:cs="Arial" w:eastAsia="Arial" w:hAnsi="Arial"/>
                <w:sz w:val="18"/>
                <w:szCs w:val="18"/>
                <w:color w:val="auto"/>
                <w:w w:val="94"/>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3,321</w:t>
            </w:r>
          </w:p>
        </w:tc>
        <w:tc>
          <w:tcPr>
            <w:tcW w:w="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2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2,572</w:t>
            </w:r>
          </w:p>
        </w:tc>
        <w:tc>
          <w:tcPr>
            <w:tcW w:w="2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6,633</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2,807,926</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2,814,559</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interest excluded from total</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6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7,735</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7,788</w:t>
            </w:r>
          </w:p>
        </w:tc>
        <w:tc>
          <w:tcPr>
            <w:tcW w:w="0" w:type="dxa"/>
            <w:vAlign w:val="bottom"/>
          </w:tcPr>
          <w:p>
            <w:pPr>
              <w:spacing w:after="0"/>
              <w:rPr>
                <w:sz w:val="1"/>
                <w:szCs w:val="1"/>
                <w:color w:val="auto"/>
              </w:rPr>
            </w:pPr>
          </w:p>
        </w:tc>
      </w:tr>
      <w:tr>
        <w:trPr>
          <w:trHeight w:val="209"/>
        </w:trPr>
        <w:tc>
          <w:tcPr>
            <w:tcW w:w="32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December 31, 2020</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140"/>
              <w:spacing w:after="0"/>
              <w:rPr>
                <w:sz w:val="20"/>
                <w:szCs w:val="20"/>
                <w:color w:val="auto"/>
              </w:rPr>
            </w:pPr>
            <w:r>
              <w:rPr>
                <w:rFonts w:ascii="Arial" w:cs="Arial" w:eastAsia="Arial" w:hAnsi="Arial"/>
                <w:sz w:val="18"/>
                <w:szCs w:val="18"/>
                <w:color w:val="auto"/>
              </w:rPr>
              <w:t>Commercial</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and industrial</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5,003</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w:t>
            </w:r>
          </w:p>
        </w:tc>
        <w:tc>
          <w:tcPr>
            <w:tcW w:w="360" w:type="dxa"/>
            <w:vAlign w:val="bottom"/>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5,204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671,115</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676,319</w:t>
            </w:r>
          </w:p>
        </w:tc>
        <w:tc>
          <w:tcPr>
            <w:tcW w:w="0" w:type="dxa"/>
            <w:vAlign w:val="bottom"/>
          </w:tcPr>
          <w:p>
            <w:pPr>
              <w:spacing w:after="0"/>
              <w:rPr>
                <w:sz w:val="1"/>
                <w:szCs w:val="1"/>
                <w:color w:val="auto"/>
              </w:rPr>
            </w:pPr>
          </w:p>
        </w:tc>
      </w:tr>
      <w:tr>
        <w:trPr>
          <w:trHeight w:val="216"/>
        </w:trPr>
        <w:tc>
          <w:tcPr>
            <w:tcW w:w="3280" w:type="dxa"/>
            <w:vAlign w:val="bottom"/>
          </w:tcPr>
          <w:p>
            <w:pPr>
              <w:ind w:left="340"/>
              <w:spacing w:after="0"/>
              <w:rPr>
                <w:sz w:val="20"/>
                <w:szCs w:val="20"/>
                <w:color w:val="auto"/>
              </w:rPr>
            </w:pPr>
            <w:r>
              <w:rPr>
                <w:rFonts w:ascii="Arial" w:cs="Arial" w:eastAsia="Arial" w:hAnsi="Arial"/>
                <w:sz w:val="18"/>
                <w:szCs w:val="18"/>
                <w:color w:val="auto"/>
              </w:rPr>
              <w:t>Commercial real estate</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2,600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2,600</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567,032</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569,632</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Mortgage</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340"/>
              <w:spacing w:after="0"/>
              <w:rPr>
                <w:sz w:val="20"/>
                <w:szCs w:val="20"/>
                <w:color w:val="auto"/>
              </w:rPr>
            </w:pPr>
            <w:r>
              <w:rPr>
                <w:rFonts w:ascii="Arial" w:cs="Arial" w:eastAsia="Arial" w:hAnsi="Arial"/>
                <w:sz w:val="18"/>
                <w:szCs w:val="18"/>
                <w:color w:val="auto"/>
              </w:rPr>
              <w:t>1-4 family owner occupied - jumbo</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761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623</w:t>
            </w:r>
          </w:p>
        </w:tc>
        <w:tc>
          <w:tcPr>
            <w:tcW w:w="3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1,384</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438,794</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440,178</w:t>
            </w:r>
          </w:p>
        </w:tc>
        <w:tc>
          <w:tcPr>
            <w:tcW w:w="0" w:type="dxa"/>
            <w:vAlign w:val="bottom"/>
          </w:tcPr>
          <w:p>
            <w:pPr>
              <w:spacing w:after="0"/>
              <w:rPr>
                <w:sz w:val="1"/>
                <w:szCs w:val="1"/>
                <w:color w:val="auto"/>
              </w:rPr>
            </w:pPr>
          </w:p>
        </w:tc>
      </w:tr>
      <w:tr>
        <w:trPr>
          <w:trHeight w:val="202"/>
        </w:trPr>
        <w:tc>
          <w:tcPr>
            <w:tcW w:w="32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1-4 family owner occupied - non-</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jc w:val="center"/>
              <w:ind w:right="1810"/>
              <w:spacing w:after="0"/>
              <w:rPr>
                <w:sz w:val="20"/>
                <w:szCs w:val="20"/>
                <w:color w:val="auto"/>
              </w:rPr>
            </w:pPr>
            <w:r>
              <w:rPr>
                <w:rFonts w:ascii="Arial" w:cs="Arial" w:eastAsia="Arial" w:hAnsi="Arial"/>
                <w:sz w:val="18"/>
                <w:szCs w:val="18"/>
                <w:color w:val="auto"/>
                <w:w w:val="93"/>
              </w:rPr>
              <w:t>jumbo</w:t>
            </w: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1,888</w:t>
            </w: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453</w:t>
            </w:r>
          </w:p>
        </w:tc>
        <w:tc>
          <w:tcPr>
            <w:tcW w:w="1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502</w:t>
            </w:r>
          </w:p>
        </w:tc>
        <w:tc>
          <w:tcPr>
            <w:tcW w:w="3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2,843</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264,730</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267,573</w:t>
            </w:r>
          </w:p>
        </w:tc>
        <w:tc>
          <w:tcPr>
            <w:tcW w:w="0" w:type="dxa"/>
            <w:vAlign w:val="bottom"/>
          </w:tcPr>
          <w:p>
            <w:pPr>
              <w:spacing w:after="0"/>
              <w:rPr>
                <w:sz w:val="1"/>
                <w:szCs w:val="1"/>
                <w:color w:val="auto"/>
              </w:rPr>
            </w:pPr>
          </w:p>
        </w:tc>
      </w:tr>
      <w:tr>
        <w:trPr>
          <w:trHeight w:val="216"/>
        </w:trPr>
        <w:tc>
          <w:tcPr>
            <w:tcW w:w="3280" w:type="dxa"/>
            <w:vAlign w:val="bottom"/>
          </w:tcPr>
          <w:p>
            <w:pPr>
              <w:ind w:left="340"/>
              <w:spacing w:after="0"/>
              <w:rPr>
                <w:sz w:val="20"/>
                <w:szCs w:val="20"/>
                <w:color w:val="auto"/>
              </w:rPr>
            </w:pPr>
            <w:r>
              <w:rPr>
                <w:rFonts w:ascii="Arial" w:cs="Arial" w:eastAsia="Arial" w:hAnsi="Arial"/>
                <w:sz w:val="18"/>
                <w:szCs w:val="18"/>
                <w:color w:val="auto"/>
              </w:rPr>
              <w:t>1-4 family non-owner occupied</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1,184</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139</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476</w:t>
            </w:r>
          </w:p>
        </w:tc>
        <w:tc>
          <w:tcPr>
            <w:tcW w:w="3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1,799</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157,977</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159,776</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1-4 family - 2nd lien</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228</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732</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1,670</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92,860</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94,530</w:t>
            </w:r>
          </w:p>
        </w:tc>
        <w:tc>
          <w:tcPr>
            <w:tcW w:w="0" w:type="dxa"/>
            <w:vAlign w:val="bottom"/>
          </w:tcPr>
          <w:p>
            <w:pPr>
              <w:spacing w:after="0"/>
              <w:rPr>
                <w:sz w:val="1"/>
                <w:szCs w:val="1"/>
                <w:color w:val="auto"/>
              </w:rPr>
            </w:pPr>
          </w:p>
        </w:tc>
      </w:tr>
      <w:tr>
        <w:trPr>
          <w:trHeight w:val="216"/>
        </w:trPr>
        <w:tc>
          <w:tcPr>
            <w:tcW w:w="3280" w:type="dxa"/>
            <w:vAlign w:val="bottom"/>
          </w:tcPr>
          <w:p>
            <w:pPr>
              <w:ind w:left="340"/>
              <w:spacing w:after="0"/>
              <w:rPr>
                <w:sz w:val="20"/>
                <w:szCs w:val="20"/>
                <w:color w:val="auto"/>
              </w:rPr>
            </w:pPr>
            <w:r>
              <w:rPr>
                <w:rFonts w:ascii="Arial" w:cs="Arial" w:eastAsia="Arial" w:hAnsi="Arial"/>
                <w:sz w:val="18"/>
                <w:szCs w:val="18"/>
                <w:color w:val="auto"/>
              </w:rPr>
              <w:t>Resort lending</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195</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358</w:t>
            </w:r>
          </w:p>
        </w:tc>
        <w:tc>
          <w:tcPr>
            <w:tcW w:w="3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585</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57,462</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58,047</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Installment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340"/>
              <w:spacing w:after="0"/>
              <w:rPr>
                <w:sz w:val="20"/>
                <w:szCs w:val="20"/>
                <w:color w:val="auto"/>
              </w:rPr>
            </w:pPr>
            <w:r>
              <w:rPr>
                <w:rFonts w:ascii="Arial" w:cs="Arial" w:eastAsia="Arial" w:hAnsi="Arial"/>
                <w:sz w:val="18"/>
                <w:szCs w:val="18"/>
                <w:color w:val="auto"/>
              </w:rPr>
              <w:t>Boat lending</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95</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101</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196</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207,317</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207,513</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Recreational vehicle lending</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292</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169,282</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169,574</w:t>
            </w:r>
          </w:p>
        </w:tc>
        <w:tc>
          <w:tcPr>
            <w:tcW w:w="0" w:type="dxa"/>
            <w:vAlign w:val="bottom"/>
          </w:tcPr>
          <w:p>
            <w:pPr>
              <w:spacing w:after="0"/>
              <w:rPr>
                <w:sz w:val="1"/>
                <w:szCs w:val="1"/>
                <w:color w:val="auto"/>
              </w:rPr>
            </w:pPr>
          </w:p>
        </w:tc>
      </w:tr>
      <w:tr>
        <w:trPr>
          <w:trHeight w:val="223"/>
        </w:trPr>
        <w:tc>
          <w:tcPr>
            <w:tcW w:w="3280" w:type="dxa"/>
            <w:vAlign w:val="bottom"/>
          </w:tcPr>
          <w:p>
            <w:pPr>
              <w:ind w:left="34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337</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162</w:t>
            </w:r>
          </w:p>
        </w:tc>
        <w:tc>
          <w:tcPr>
            <w:tcW w:w="18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199</w:t>
            </w:r>
          </w:p>
        </w:tc>
        <w:tc>
          <w:tcPr>
            <w:tcW w:w="36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698</w:t>
            </w: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98,737</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99,435</w:t>
            </w:r>
          </w:p>
        </w:tc>
        <w:tc>
          <w:tcPr>
            <w:tcW w:w="0" w:type="dxa"/>
            <w:vAlign w:val="bottom"/>
          </w:tcPr>
          <w:p>
            <w:pPr>
              <w:spacing w:after="0"/>
              <w:rPr>
                <w:sz w:val="1"/>
                <w:szCs w:val="1"/>
                <w:color w:val="auto"/>
              </w:rPr>
            </w:pPr>
          </w:p>
        </w:tc>
      </w:tr>
      <w:tr>
        <w:trPr>
          <w:trHeight w:val="256"/>
        </w:trPr>
        <w:tc>
          <w:tcPr>
            <w:tcW w:w="32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recorded investment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12,817</w:t>
            </w:r>
          </w:p>
        </w:tc>
        <w:tc>
          <w:tcPr>
            <w:tcW w:w="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1,446</w:t>
            </w:r>
          </w:p>
        </w:tc>
        <w:tc>
          <w:tcPr>
            <w:tcW w:w="2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3,008</w:t>
            </w:r>
          </w:p>
        </w:tc>
        <w:tc>
          <w:tcPr>
            <w:tcW w:w="2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17,271</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2,725,306</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2,742,577</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3280" w:type="dxa"/>
            <w:vAlign w:val="bottom"/>
          </w:tcPr>
          <w:p>
            <w:pPr>
              <w:ind w:left="140"/>
              <w:spacing w:after="0" w:line="195" w:lineRule="exact"/>
              <w:rPr>
                <w:sz w:val="20"/>
                <w:szCs w:val="20"/>
                <w:color w:val="auto"/>
              </w:rPr>
            </w:pPr>
            <w:r>
              <w:rPr>
                <w:rFonts w:ascii="Arial" w:cs="Arial" w:eastAsia="Arial" w:hAnsi="Arial"/>
                <w:sz w:val="18"/>
                <w:szCs w:val="18"/>
                <w:color w:val="auto"/>
              </w:rPr>
              <w:t>Accrued interest included in recorded</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280" w:type="dxa"/>
            <w:vAlign w:val="bottom"/>
          </w:tcPr>
          <w:p>
            <w:pPr>
              <w:ind w:left="260"/>
              <w:spacing w:after="0"/>
              <w:rPr>
                <w:sz w:val="20"/>
                <w:szCs w:val="20"/>
                <w:color w:val="auto"/>
              </w:rPr>
            </w:pPr>
            <w:r>
              <w:rPr>
                <w:rFonts w:ascii="Arial" w:cs="Arial" w:eastAsia="Arial" w:hAnsi="Arial"/>
                <w:sz w:val="18"/>
                <w:szCs w:val="18"/>
                <w:color w:val="auto"/>
              </w:rPr>
              <w:t>investment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147</w:t>
            </w:r>
          </w:p>
        </w:tc>
        <w:tc>
          <w:tcPr>
            <w:tcW w:w="2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22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169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8,730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8,899</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42"/>
        </w:trPr>
        <w:tc>
          <w:tcPr>
            <w:tcW w:w="3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32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22" w:name="page23"/>
    <w:bookmarkEnd w:id="2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20" w:type="dxa"/>
            <w:vAlign w:val="bottom"/>
          </w:tcPr>
          <w:p>
            <w:pPr>
              <w:spacing w:after="0"/>
              <w:rPr>
                <w:sz w:val="20"/>
                <w:szCs w:val="20"/>
                <w:color w:val="auto"/>
              </w:rPr>
            </w:pPr>
            <w:r>
              <w:rPr>
                <w:rFonts w:ascii="Arial" w:cs="Arial" w:eastAsia="Arial" w:hAnsi="Arial"/>
                <w:sz w:val="18"/>
                <w:szCs w:val="18"/>
                <w:color w:val="auto"/>
              </w:rPr>
              <w:t>Impaired loans at December 31, 2020 are as follows (1):</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66"/>
        </w:trPr>
        <w:tc>
          <w:tcPr>
            <w:tcW w:w="100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Impaired loans with no allocated ACL</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w w:val="92"/>
              </w:rPr>
              <w:t>(In thousands)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0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Troubled debt restructurings ("TDR")</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w:t>
            </w:r>
          </w:p>
        </w:tc>
        <w:tc>
          <w:tcPr>
            <w:tcW w:w="80" w:type="dxa"/>
            <w:vAlign w:val="bottom"/>
            <w:shd w:val="clear" w:color="auto" w:fill="CCEEFF"/>
          </w:tcPr>
          <w:p>
            <w:pPr>
              <w:spacing w:after="0"/>
              <w:rPr>
                <w:sz w:val="18"/>
                <w:szCs w:val="18"/>
                <w:color w:val="auto"/>
              </w:rPr>
            </w:pPr>
          </w:p>
        </w:tc>
      </w:tr>
      <w:tr>
        <w:trPr>
          <w:trHeight w:val="216"/>
        </w:trPr>
        <w:tc>
          <w:tcPr>
            <w:tcW w:w="10020" w:type="dxa"/>
            <w:vAlign w:val="bottom"/>
          </w:tcPr>
          <w:p>
            <w:pPr>
              <w:ind w:left="140"/>
              <w:spacing w:after="0"/>
              <w:rPr>
                <w:sz w:val="20"/>
                <w:szCs w:val="20"/>
                <w:color w:val="auto"/>
              </w:rPr>
            </w:pPr>
            <w:r>
              <w:rPr>
                <w:rFonts w:ascii="Arial" w:cs="Arial" w:eastAsia="Arial" w:hAnsi="Arial"/>
                <w:sz w:val="18"/>
                <w:szCs w:val="18"/>
                <w:color w:val="auto"/>
              </w:rPr>
              <w:t>Non - TDR</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1,367</w:t>
            </w:r>
          </w:p>
        </w:tc>
        <w:tc>
          <w:tcPr>
            <w:tcW w:w="8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Impaired loans with an allocated ACL</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0020" w:type="dxa"/>
            <w:vAlign w:val="bottom"/>
          </w:tcPr>
          <w:p>
            <w:pPr>
              <w:ind w:left="140"/>
              <w:spacing w:after="0"/>
              <w:rPr>
                <w:sz w:val="20"/>
                <w:szCs w:val="20"/>
                <w:color w:val="auto"/>
              </w:rPr>
            </w:pPr>
            <w:r>
              <w:rPr>
                <w:rFonts w:ascii="Arial" w:cs="Arial" w:eastAsia="Arial" w:hAnsi="Arial"/>
                <w:sz w:val="18"/>
                <w:szCs w:val="18"/>
                <w:color w:val="auto"/>
              </w:rPr>
              <w:t>TDR - allowance based on collateral</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9,027</w:t>
            </w:r>
          </w:p>
        </w:tc>
        <w:tc>
          <w:tcPr>
            <w:tcW w:w="80" w:type="dxa"/>
            <w:vAlign w:val="bottom"/>
          </w:tcPr>
          <w:p>
            <w:pPr>
              <w:spacing w:after="0"/>
              <w:rPr>
                <w:sz w:val="18"/>
                <w:szCs w:val="18"/>
                <w:color w:val="auto"/>
              </w:rPr>
            </w:pPr>
          </w:p>
        </w:tc>
      </w:tr>
      <w:tr>
        <w:trPr>
          <w:trHeight w:val="216"/>
        </w:trPr>
        <w:tc>
          <w:tcPr>
            <w:tcW w:w="10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TDR - allowance based on present value cash flow</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37,953</w:t>
            </w:r>
          </w:p>
        </w:tc>
      </w:tr>
      <w:tr>
        <w:trPr>
          <w:trHeight w:val="223"/>
        </w:trPr>
        <w:tc>
          <w:tcPr>
            <w:tcW w:w="10020" w:type="dxa"/>
            <w:vAlign w:val="bottom"/>
          </w:tcPr>
          <w:p>
            <w:pPr>
              <w:ind w:left="140"/>
              <w:spacing w:after="0"/>
              <w:rPr>
                <w:sz w:val="20"/>
                <w:szCs w:val="20"/>
                <w:color w:val="auto"/>
              </w:rPr>
            </w:pPr>
            <w:r>
              <w:rPr>
                <w:rFonts w:ascii="Arial" w:cs="Arial" w:eastAsia="Arial" w:hAnsi="Arial"/>
                <w:sz w:val="18"/>
                <w:szCs w:val="18"/>
                <w:color w:val="auto"/>
              </w:rPr>
              <w:t>Non - TDR - allowance based on collateral</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1,873</w:t>
            </w:r>
          </w:p>
        </w:tc>
        <w:tc>
          <w:tcPr>
            <w:tcW w:w="80" w:type="dxa"/>
            <w:vAlign w:val="bottom"/>
          </w:tcPr>
          <w:p>
            <w:pPr>
              <w:spacing w:after="0"/>
              <w:rPr>
                <w:sz w:val="19"/>
                <w:szCs w:val="19"/>
                <w:color w:val="auto"/>
              </w:rPr>
            </w:pPr>
          </w:p>
        </w:tc>
      </w:tr>
      <w:tr>
        <w:trPr>
          <w:trHeight w:val="257"/>
        </w:trPr>
        <w:tc>
          <w:tcPr>
            <w:tcW w:w="10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impaired loans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50,313</w:t>
            </w:r>
          </w:p>
        </w:tc>
        <w:tc>
          <w:tcPr>
            <w:tcW w:w="80" w:type="dxa"/>
            <w:vAlign w:val="bottom"/>
            <w:shd w:val="clear" w:color="auto" w:fill="CCEEFF"/>
          </w:tcPr>
          <w:p>
            <w:pPr>
              <w:spacing w:after="0"/>
              <w:rPr>
                <w:sz w:val="22"/>
                <w:szCs w:val="22"/>
                <w:color w:val="auto"/>
              </w:rPr>
            </w:pPr>
          </w:p>
        </w:tc>
      </w:tr>
      <w:tr>
        <w:trPr>
          <w:trHeight w:val="209"/>
        </w:trPr>
        <w:tc>
          <w:tcPr>
            <w:tcW w:w="100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Amount of ACL allocated (1)</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0020" w:type="dxa"/>
            <w:vAlign w:val="bottom"/>
          </w:tcPr>
          <w:p>
            <w:pPr>
              <w:ind w:left="140"/>
              <w:spacing w:after="0"/>
              <w:rPr>
                <w:sz w:val="20"/>
                <w:szCs w:val="20"/>
                <w:color w:val="auto"/>
              </w:rPr>
            </w:pPr>
            <w:r>
              <w:rPr>
                <w:rFonts w:ascii="Arial" w:cs="Arial" w:eastAsia="Arial" w:hAnsi="Arial"/>
                <w:sz w:val="18"/>
                <w:szCs w:val="18"/>
                <w:color w:val="auto"/>
              </w:rPr>
              <w:t>TDR - allowance based on collateral</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1,058</w:t>
            </w:r>
          </w:p>
        </w:tc>
        <w:tc>
          <w:tcPr>
            <w:tcW w:w="80" w:type="dxa"/>
            <w:vAlign w:val="bottom"/>
          </w:tcPr>
          <w:p>
            <w:pPr>
              <w:spacing w:after="0"/>
              <w:rPr>
                <w:sz w:val="18"/>
                <w:szCs w:val="18"/>
                <w:color w:val="auto"/>
              </w:rPr>
            </w:pPr>
          </w:p>
        </w:tc>
      </w:tr>
      <w:tr>
        <w:trPr>
          <w:trHeight w:val="216"/>
        </w:trPr>
        <w:tc>
          <w:tcPr>
            <w:tcW w:w="10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TDR - allowance based on present value cash flow</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3,755</w:t>
            </w:r>
          </w:p>
        </w:tc>
        <w:tc>
          <w:tcPr>
            <w:tcW w:w="80" w:type="dxa"/>
            <w:vAlign w:val="bottom"/>
            <w:shd w:val="clear" w:color="auto" w:fill="CCEEFF"/>
          </w:tcPr>
          <w:p>
            <w:pPr>
              <w:spacing w:after="0"/>
              <w:rPr>
                <w:sz w:val="18"/>
                <w:szCs w:val="18"/>
                <w:color w:val="auto"/>
              </w:rPr>
            </w:pPr>
          </w:p>
        </w:tc>
      </w:tr>
      <w:tr>
        <w:trPr>
          <w:trHeight w:val="223"/>
        </w:trPr>
        <w:tc>
          <w:tcPr>
            <w:tcW w:w="10020" w:type="dxa"/>
            <w:vAlign w:val="bottom"/>
          </w:tcPr>
          <w:p>
            <w:pPr>
              <w:ind w:left="140"/>
              <w:spacing w:after="0"/>
              <w:rPr>
                <w:sz w:val="20"/>
                <w:szCs w:val="20"/>
                <w:color w:val="auto"/>
              </w:rPr>
            </w:pPr>
            <w:r>
              <w:rPr>
                <w:rFonts w:ascii="Arial" w:cs="Arial" w:eastAsia="Arial" w:hAnsi="Arial"/>
                <w:sz w:val="18"/>
                <w:szCs w:val="18"/>
                <w:color w:val="auto"/>
              </w:rPr>
              <w:t>Non - TDR - allowance based on collateral</w:t>
            </w:r>
          </w:p>
        </w:tc>
        <w:tc>
          <w:tcPr>
            <w:tcW w:w="240" w:type="dxa"/>
            <w:vAlign w:val="bottom"/>
          </w:tcPr>
          <w:p>
            <w:pPr>
              <w:spacing w:after="0"/>
              <w:rPr>
                <w:sz w:val="19"/>
                <w:szCs w:val="19"/>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768</w:t>
            </w:r>
          </w:p>
        </w:tc>
      </w:tr>
      <w:tr>
        <w:trPr>
          <w:trHeight w:val="257"/>
        </w:trPr>
        <w:tc>
          <w:tcPr>
            <w:tcW w:w="100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amount of ACL allocated</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5,581</w:t>
            </w:r>
          </w:p>
        </w:tc>
        <w:tc>
          <w:tcPr>
            <w:tcW w:w="20" w:type="dxa"/>
            <w:vAlign w:val="bottom"/>
            <w:tcBorders>
              <w:top w:val="single" w:sz="8" w:color="auto"/>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ind w:left="340" w:right="140" w:hanging="332"/>
        <w:spacing w:after="0" w:line="277"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Beginning January 1, 2021, calculation is based on CECL methodology. Prior to January 1, 2021, calculation was based on the probable incurred loss methodology.</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20" w:type="dxa"/>
            <w:vAlign w:val="bottom"/>
          </w:tcPr>
          <w:p>
            <w:pPr>
              <w:spacing w:after="0"/>
              <w:rPr>
                <w:sz w:val="20"/>
                <w:szCs w:val="20"/>
                <w:color w:val="auto"/>
              </w:rPr>
            </w:pPr>
            <w:r>
              <w:rPr>
                <w:rFonts w:ascii="Arial" w:cs="Arial" w:eastAsia="Arial" w:hAnsi="Arial"/>
                <w:sz w:val="18"/>
                <w:szCs w:val="18"/>
                <w:color w:val="auto"/>
              </w:rPr>
              <w:t>Impaired loans by class at December 31, 2020 are as follows (1):</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66"/>
        </w:trPr>
        <w:tc>
          <w:tcPr>
            <w:tcW w:w="73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2020</w:t>
            </w: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2"/>
        </w:trPr>
        <w:tc>
          <w:tcPr>
            <w:tcW w:w="7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center"/>
              <w:ind w:right="360"/>
              <w:spacing w:after="0" w:line="201" w:lineRule="exact"/>
              <w:rPr>
                <w:sz w:val="20"/>
                <w:szCs w:val="20"/>
                <w:color w:val="auto"/>
              </w:rPr>
            </w:pPr>
            <w:r>
              <w:rPr>
                <w:rFonts w:ascii="Arial" w:cs="Arial" w:eastAsia="Arial" w:hAnsi="Arial"/>
                <w:sz w:val="18"/>
                <w:szCs w:val="18"/>
                <w:color w:val="auto"/>
                <w:w w:val="91"/>
              </w:rPr>
              <w:t>Unpaid</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Recorded</w:t>
            </w:r>
          </w:p>
        </w:tc>
        <w:tc>
          <w:tcPr>
            <w:tcW w:w="160" w:type="dxa"/>
            <w:vAlign w:val="bottom"/>
          </w:tcPr>
          <w:p>
            <w:pPr>
              <w:spacing w:after="0"/>
              <w:rPr>
                <w:sz w:val="18"/>
                <w:szCs w:val="18"/>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8"/>
                <w:szCs w:val="18"/>
                <w:color w:val="auto"/>
                <w:w w:val="92"/>
              </w:rPr>
              <w:t>Principal</w:t>
            </w:r>
          </w:p>
        </w:tc>
        <w:tc>
          <w:tcPr>
            <w:tcW w:w="18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Related</w:t>
            </w:r>
          </w:p>
        </w:tc>
      </w:tr>
      <w:tr>
        <w:trPr>
          <w:trHeight w:val="237"/>
        </w:trPr>
        <w:tc>
          <w:tcPr>
            <w:tcW w:w="7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8"/>
                <w:szCs w:val="18"/>
                <w:color w:val="auto"/>
                <w:w w:val="90"/>
              </w:rPr>
              <w:t>Investment</w:t>
            </w:r>
          </w:p>
        </w:tc>
        <w:tc>
          <w:tcPr>
            <w:tcW w:w="160" w:type="dxa"/>
            <w:vAlign w:val="bottom"/>
          </w:tcPr>
          <w:p>
            <w:pPr>
              <w:spacing w:after="0"/>
              <w:rPr>
                <w:sz w:val="20"/>
                <w:szCs w:val="20"/>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Balance</w:t>
            </w:r>
          </w:p>
        </w:tc>
        <w:tc>
          <w:tcPr>
            <w:tcW w:w="180" w:type="dxa"/>
            <w:vAlign w:val="bottom"/>
          </w:tcPr>
          <w:p>
            <w:pPr>
              <w:spacing w:after="0"/>
              <w:rPr>
                <w:sz w:val="20"/>
                <w:szCs w:val="20"/>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8"/>
                <w:szCs w:val="18"/>
                <w:color w:val="auto"/>
                <w:w w:val="96"/>
              </w:rPr>
              <w:t>ACL (1)</w:t>
            </w:r>
          </w:p>
        </w:tc>
      </w:tr>
      <w:tr>
        <w:trPr>
          <w:trHeight w:val="202"/>
        </w:trPr>
        <w:tc>
          <w:tcPr>
            <w:tcW w:w="7320" w:type="dxa"/>
            <w:vAlign w:val="bottom"/>
          </w:tcPr>
          <w:p>
            <w:pPr>
              <w:spacing w:after="0" w:line="201" w:lineRule="exact"/>
              <w:rPr>
                <w:sz w:val="20"/>
                <w:szCs w:val="20"/>
                <w:color w:val="auto"/>
              </w:rPr>
            </w:pPr>
            <w:r>
              <w:rPr>
                <w:rFonts w:ascii="Arial" w:cs="Arial" w:eastAsia="Arial" w:hAnsi="Arial"/>
                <w:sz w:val="18"/>
                <w:szCs w:val="18"/>
                <w:b w:val="1"/>
                <w:bCs w:val="1"/>
                <w:color w:val="auto"/>
              </w:rPr>
              <w:t>With no related ACL recorded:</w:t>
            </w: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Borders>
              <w:top w:val="single" w:sz="8" w:color="auto"/>
            </w:tcBorders>
            <w:gridSpan w:val="2"/>
          </w:tcPr>
          <w:p>
            <w:pPr>
              <w:jc w:val="center"/>
              <w:spacing w:after="0" w:line="201" w:lineRule="exact"/>
              <w:rPr>
                <w:sz w:val="20"/>
                <w:szCs w:val="20"/>
                <w:color w:val="auto"/>
              </w:rPr>
            </w:pPr>
            <w:r>
              <w:rPr>
                <w:rFonts w:ascii="Arial" w:cs="Arial" w:eastAsia="Arial" w:hAnsi="Arial"/>
                <w:sz w:val="18"/>
                <w:szCs w:val="18"/>
                <w:color w:val="auto"/>
                <w:w w:val="90"/>
              </w:rPr>
              <w:t>(In thousands)</w:t>
            </w: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7320" w:type="dxa"/>
            <w:vAlign w:val="bottom"/>
          </w:tcPr>
          <w:p>
            <w:pPr>
              <w:ind w:left="140"/>
              <w:spacing w:after="0"/>
              <w:rPr>
                <w:sz w:val="20"/>
                <w:szCs w:val="20"/>
                <w:color w:val="auto"/>
              </w:rPr>
            </w:pPr>
            <w:r>
              <w:rPr>
                <w:rFonts w:ascii="Arial" w:cs="Arial" w:eastAsia="Arial" w:hAnsi="Arial"/>
                <w:sz w:val="18"/>
                <w:szCs w:val="18"/>
                <w:color w:val="auto"/>
              </w:rPr>
              <w:t>Commercial</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7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and industrial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tcPr>
          <w:p>
            <w:pPr>
              <w:ind w:left="340"/>
              <w:spacing w:after="0"/>
              <w:rPr>
                <w:sz w:val="20"/>
                <w:szCs w:val="20"/>
                <w:color w:val="auto"/>
              </w:rPr>
            </w:pPr>
            <w:r>
              <w:rPr>
                <w:rFonts w:ascii="Arial" w:cs="Arial" w:eastAsia="Arial" w:hAnsi="Arial"/>
                <w:sz w:val="18"/>
                <w:szCs w:val="18"/>
                <w:color w:val="auto"/>
              </w:rPr>
              <w:t>Commercial real estate</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Mortgage</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ind w:left="340"/>
              <w:spacing w:after="0"/>
              <w:rPr>
                <w:sz w:val="20"/>
                <w:szCs w:val="20"/>
                <w:color w:val="auto"/>
              </w:rPr>
            </w:pPr>
            <w:r>
              <w:rPr>
                <w:rFonts w:ascii="Arial" w:cs="Arial" w:eastAsia="Arial" w:hAnsi="Arial"/>
                <w:sz w:val="18"/>
                <w:szCs w:val="18"/>
                <w:color w:val="auto"/>
              </w:rPr>
              <w:t>1-4 family owner occupied - jumbo</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623</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629</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1-4 family owner occupied - non-jumbo</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tcPr>
          <w:p>
            <w:pPr>
              <w:ind w:left="340"/>
              <w:spacing w:after="0"/>
              <w:rPr>
                <w:sz w:val="20"/>
                <w:szCs w:val="20"/>
                <w:color w:val="auto"/>
              </w:rPr>
            </w:pPr>
            <w:r>
              <w:rPr>
                <w:rFonts w:ascii="Arial" w:cs="Arial" w:eastAsia="Arial" w:hAnsi="Arial"/>
                <w:sz w:val="18"/>
                <w:szCs w:val="18"/>
                <w:color w:val="auto"/>
              </w:rPr>
              <w:t>1-4 family non-owner occupied</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305</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473</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1-4 family - 2nd lien</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301</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304</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tcPr>
          <w:p>
            <w:pPr>
              <w:ind w:left="340"/>
              <w:spacing w:after="0"/>
              <w:rPr>
                <w:sz w:val="20"/>
                <w:szCs w:val="20"/>
                <w:color w:val="auto"/>
              </w:rPr>
            </w:pPr>
            <w:r>
              <w:rPr>
                <w:rFonts w:ascii="Arial" w:cs="Arial" w:eastAsia="Arial" w:hAnsi="Arial"/>
                <w:sz w:val="18"/>
                <w:szCs w:val="18"/>
                <w:color w:val="auto"/>
              </w:rPr>
              <w:t>Resort lending</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154</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379</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Installment</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ind w:left="340"/>
              <w:spacing w:after="0"/>
              <w:rPr>
                <w:sz w:val="20"/>
                <w:szCs w:val="20"/>
                <w:color w:val="auto"/>
              </w:rPr>
            </w:pPr>
            <w:r>
              <w:rPr>
                <w:rFonts w:ascii="Arial" w:cs="Arial" w:eastAsia="Arial" w:hAnsi="Arial"/>
                <w:sz w:val="18"/>
                <w:szCs w:val="18"/>
                <w:color w:val="auto"/>
              </w:rPr>
              <w:t>Boat lending</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Recreational vehicle lending</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7320" w:type="dxa"/>
            <w:vAlign w:val="bottom"/>
          </w:tcPr>
          <w:p>
            <w:pPr>
              <w:ind w:left="34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73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1,460</w:t>
            </w:r>
          </w:p>
        </w:tc>
        <w:tc>
          <w:tcPr>
            <w:tcW w:w="2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1,865</w:t>
            </w: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rPr>
              <w:t>With an ACL recorded:</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Commercial</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ind w:left="340"/>
              <w:spacing w:after="0"/>
              <w:rPr>
                <w:sz w:val="20"/>
                <w:szCs w:val="20"/>
                <w:color w:val="auto"/>
              </w:rPr>
            </w:pPr>
            <w:r>
              <w:rPr>
                <w:rFonts w:ascii="Arial" w:cs="Arial" w:eastAsia="Arial" w:hAnsi="Arial"/>
                <w:sz w:val="18"/>
                <w:szCs w:val="18"/>
                <w:color w:val="auto"/>
              </w:rPr>
              <w:t>Commercial and industrial</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2,227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2,370</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756</w:t>
            </w:r>
          </w:p>
        </w:tc>
      </w:tr>
      <w:tr>
        <w:trPr>
          <w:trHeight w:val="216"/>
        </w:trPr>
        <w:tc>
          <w:tcPr>
            <w:tcW w:w="7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real estate</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7,096</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510</w:t>
            </w:r>
          </w:p>
        </w:tc>
      </w:tr>
      <w:tr>
        <w:trPr>
          <w:trHeight w:val="216"/>
        </w:trPr>
        <w:tc>
          <w:tcPr>
            <w:tcW w:w="7320" w:type="dxa"/>
            <w:vAlign w:val="bottom"/>
          </w:tcPr>
          <w:p>
            <w:pPr>
              <w:ind w:left="140"/>
              <w:spacing w:after="0"/>
              <w:rPr>
                <w:sz w:val="20"/>
                <w:szCs w:val="20"/>
                <w:color w:val="auto"/>
              </w:rPr>
            </w:pPr>
            <w:r>
              <w:rPr>
                <w:rFonts w:ascii="Arial" w:cs="Arial" w:eastAsia="Arial" w:hAnsi="Arial"/>
                <w:sz w:val="18"/>
                <w:szCs w:val="18"/>
                <w:color w:val="auto"/>
              </w:rPr>
              <w:t>Mortgage</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1-4 family owner occupied - jumbo</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506</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880</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w:t>
            </w:r>
          </w:p>
        </w:tc>
      </w:tr>
      <w:tr>
        <w:trPr>
          <w:trHeight w:val="216"/>
        </w:trPr>
        <w:tc>
          <w:tcPr>
            <w:tcW w:w="7320" w:type="dxa"/>
            <w:vAlign w:val="bottom"/>
          </w:tcPr>
          <w:p>
            <w:pPr>
              <w:ind w:left="340"/>
              <w:spacing w:after="0"/>
              <w:rPr>
                <w:sz w:val="20"/>
                <w:szCs w:val="20"/>
                <w:color w:val="auto"/>
              </w:rPr>
            </w:pPr>
            <w:r>
              <w:rPr>
                <w:rFonts w:ascii="Arial" w:cs="Arial" w:eastAsia="Arial" w:hAnsi="Arial"/>
                <w:sz w:val="18"/>
                <w:szCs w:val="18"/>
                <w:color w:val="auto"/>
              </w:rPr>
              <w:t>1-4 family owner occupied - non-jumbo</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21,655</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22,311</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2,300</w:t>
            </w:r>
          </w:p>
        </w:tc>
      </w:tr>
      <w:tr>
        <w:trPr>
          <w:trHeight w:val="216"/>
        </w:trPr>
        <w:tc>
          <w:tcPr>
            <w:tcW w:w="7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1-4 family non-owner occupied</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4,335</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4,704</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495</w:t>
            </w:r>
          </w:p>
        </w:tc>
      </w:tr>
      <w:tr>
        <w:trPr>
          <w:trHeight w:val="216"/>
        </w:trPr>
        <w:tc>
          <w:tcPr>
            <w:tcW w:w="7320" w:type="dxa"/>
            <w:vAlign w:val="bottom"/>
          </w:tcPr>
          <w:p>
            <w:pPr>
              <w:ind w:left="340"/>
              <w:spacing w:after="0"/>
              <w:rPr>
                <w:sz w:val="20"/>
                <w:szCs w:val="20"/>
                <w:color w:val="auto"/>
              </w:rPr>
            </w:pPr>
            <w:r>
              <w:rPr>
                <w:rFonts w:ascii="Arial" w:cs="Arial" w:eastAsia="Arial" w:hAnsi="Arial"/>
                <w:sz w:val="18"/>
                <w:szCs w:val="18"/>
                <w:color w:val="auto"/>
              </w:rPr>
              <w:t>1-4 family - 2nd lien</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811</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829</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200</w:t>
            </w:r>
          </w:p>
        </w:tc>
      </w:tr>
      <w:tr>
        <w:trPr>
          <w:trHeight w:val="216"/>
        </w:trPr>
        <w:tc>
          <w:tcPr>
            <w:tcW w:w="7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Resort lending</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10,555</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10,764</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1,079</w:t>
            </w:r>
          </w:p>
        </w:tc>
      </w:tr>
      <w:tr>
        <w:trPr>
          <w:trHeight w:val="216"/>
        </w:trPr>
        <w:tc>
          <w:tcPr>
            <w:tcW w:w="7320" w:type="dxa"/>
            <w:vAlign w:val="bottom"/>
          </w:tcPr>
          <w:p>
            <w:pPr>
              <w:ind w:left="140"/>
              <w:spacing w:after="0"/>
              <w:rPr>
                <w:sz w:val="20"/>
                <w:szCs w:val="20"/>
                <w:color w:val="auto"/>
              </w:rPr>
            </w:pPr>
            <w:r>
              <w:rPr>
                <w:rFonts w:ascii="Arial" w:cs="Arial" w:eastAsia="Arial" w:hAnsi="Arial"/>
                <w:sz w:val="18"/>
                <w:szCs w:val="18"/>
                <w:color w:val="auto"/>
              </w:rPr>
              <w:t>Installment</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Boat lending</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r>
      <w:tr>
        <w:trPr>
          <w:trHeight w:val="216"/>
        </w:trPr>
        <w:tc>
          <w:tcPr>
            <w:tcW w:w="7320" w:type="dxa"/>
            <w:vAlign w:val="bottom"/>
          </w:tcPr>
          <w:p>
            <w:pPr>
              <w:ind w:left="340"/>
              <w:spacing w:after="0"/>
              <w:rPr>
                <w:sz w:val="20"/>
                <w:szCs w:val="20"/>
                <w:color w:val="auto"/>
              </w:rPr>
            </w:pPr>
            <w:r>
              <w:rPr>
                <w:rFonts w:ascii="Arial" w:cs="Arial" w:eastAsia="Arial" w:hAnsi="Arial"/>
                <w:sz w:val="18"/>
                <w:szCs w:val="18"/>
                <w:color w:val="auto"/>
              </w:rPr>
              <w:t>Recreational vehicle lending</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100</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r>
      <w:tr>
        <w:trPr>
          <w:trHeight w:val="216"/>
        </w:trPr>
        <w:tc>
          <w:tcPr>
            <w:tcW w:w="7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2,040</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w:t>
            </w:r>
          </w:p>
        </w:tc>
      </w:tr>
      <w:tr>
        <w:trPr>
          <w:trHeight w:val="27"/>
        </w:trPr>
        <w:tc>
          <w:tcPr>
            <w:tcW w:w="73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7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49,212</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51,105</w:t>
            </w:r>
          </w:p>
        </w:tc>
        <w:tc>
          <w:tcPr>
            <w:tcW w:w="1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5,581</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ind w:left="140"/>
              <w:spacing w:after="0"/>
              <w:rPr>
                <w:sz w:val="20"/>
                <w:szCs w:val="20"/>
                <w:color w:val="auto"/>
              </w:rPr>
            </w:pPr>
            <w:r>
              <w:rPr>
                <w:rFonts w:ascii="Arial" w:cs="Arial" w:eastAsia="Arial" w:hAnsi="Arial"/>
                <w:sz w:val="18"/>
                <w:szCs w:val="18"/>
                <w:color w:val="auto"/>
              </w:rPr>
              <w:t>Commercial</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and industrial</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2,304</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2,450</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756</w:t>
            </w:r>
          </w:p>
        </w:tc>
      </w:tr>
      <w:tr>
        <w:trPr>
          <w:trHeight w:val="216"/>
        </w:trPr>
        <w:tc>
          <w:tcPr>
            <w:tcW w:w="7320" w:type="dxa"/>
            <w:vAlign w:val="bottom"/>
          </w:tcPr>
          <w:p>
            <w:pPr>
              <w:ind w:left="340"/>
              <w:spacing w:after="0"/>
              <w:rPr>
                <w:sz w:val="20"/>
                <w:szCs w:val="20"/>
                <w:color w:val="auto"/>
              </w:rPr>
            </w:pPr>
            <w:r>
              <w:rPr>
                <w:rFonts w:ascii="Arial" w:cs="Arial" w:eastAsia="Arial" w:hAnsi="Arial"/>
                <w:sz w:val="18"/>
                <w:szCs w:val="18"/>
                <w:color w:val="auto"/>
              </w:rPr>
              <w:t>Commercial real estate</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7,127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7,096</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510</w:t>
            </w:r>
          </w:p>
        </w:tc>
      </w:tr>
      <w:tr>
        <w:trPr>
          <w:trHeight w:val="216"/>
        </w:trPr>
        <w:tc>
          <w:tcPr>
            <w:tcW w:w="7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Mortgage</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ind w:left="340"/>
              <w:spacing w:after="0"/>
              <w:rPr>
                <w:sz w:val="20"/>
                <w:szCs w:val="20"/>
                <w:color w:val="auto"/>
              </w:rPr>
            </w:pPr>
            <w:r>
              <w:rPr>
                <w:rFonts w:ascii="Arial" w:cs="Arial" w:eastAsia="Arial" w:hAnsi="Arial"/>
                <w:sz w:val="18"/>
                <w:szCs w:val="18"/>
                <w:color w:val="auto"/>
              </w:rPr>
              <w:t>1-4 family owner occupied - jumbo</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1,129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1,509</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r>
      <w:tr>
        <w:trPr>
          <w:trHeight w:val="216"/>
        </w:trPr>
        <w:tc>
          <w:tcPr>
            <w:tcW w:w="7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1-4 family owner occupied - non-jumbo</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21,655</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22,311</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2,300</w:t>
            </w:r>
          </w:p>
        </w:tc>
      </w:tr>
      <w:tr>
        <w:trPr>
          <w:trHeight w:val="216"/>
        </w:trPr>
        <w:tc>
          <w:tcPr>
            <w:tcW w:w="7320" w:type="dxa"/>
            <w:vAlign w:val="bottom"/>
          </w:tcPr>
          <w:p>
            <w:pPr>
              <w:ind w:left="340"/>
              <w:spacing w:after="0"/>
              <w:rPr>
                <w:sz w:val="20"/>
                <w:szCs w:val="20"/>
                <w:color w:val="auto"/>
              </w:rPr>
            </w:pPr>
            <w:r>
              <w:rPr>
                <w:rFonts w:ascii="Arial" w:cs="Arial" w:eastAsia="Arial" w:hAnsi="Arial"/>
                <w:sz w:val="18"/>
                <w:szCs w:val="18"/>
                <w:color w:val="auto"/>
              </w:rPr>
              <w:t>1-4 family non-owner occupied</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4,640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5,177</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495</w:t>
            </w:r>
          </w:p>
        </w:tc>
      </w:tr>
      <w:tr>
        <w:trPr>
          <w:trHeight w:val="216"/>
        </w:trPr>
        <w:tc>
          <w:tcPr>
            <w:tcW w:w="7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1-4 family - 2nd lien</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1,112</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1,133</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w:t>
            </w:r>
          </w:p>
        </w:tc>
      </w:tr>
      <w:tr>
        <w:trPr>
          <w:trHeight w:val="216"/>
        </w:trPr>
        <w:tc>
          <w:tcPr>
            <w:tcW w:w="7320" w:type="dxa"/>
            <w:vAlign w:val="bottom"/>
          </w:tcPr>
          <w:p>
            <w:pPr>
              <w:ind w:left="340"/>
              <w:spacing w:after="0"/>
              <w:rPr>
                <w:sz w:val="20"/>
                <w:szCs w:val="20"/>
                <w:color w:val="auto"/>
              </w:rPr>
            </w:pPr>
            <w:r>
              <w:rPr>
                <w:rFonts w:ascii="Arial" w:cs="Arial" w:eastAsia="Arial" w:hAnsi="Arial"/>
                <w:sz w:val="18"/>
                <w:szCs w:val="18"/>
                <w:color w:val="auto"/>
              </w:rPr>
              <w:t>Resort lending</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10,709</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11,143</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1,079</w:t>
            </w:r>
          </w:p>
        </w:tc>
      </w:tr>
      <w:tr>
        <w:trPr>
          <w:trHeight w:val="216"/>
        </w:trPr>
        <w:tc>
          <w:tcPr>
            <w:tcW w:w="7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Installment</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ind w:left="340"/>
              <w:spacing w:after="0"/>
              <w:rPr>
                <w:sz w:val="20"/>
                <w:szCs w:val="20"/>
                <w:color w:val="auto"/>
              </w:rPr>
            </w:pPr>
            <w:r>
              <w:rPr>
                <w:rFonts w:ascii="Arial" w:cs="Arial" w:eastAsia="Arial" w:hAnsi="Arial"/>
                <w:sz w:val="18"/>
                <w:szCs w:val="18"/>
                <w:color w:val="auto"/>
              </w:rPr>
              <w:t>Boat lending</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r>
      <w:tr>
        <w:trPr>
          <w:trHeight w:val="216"/>
        </w:trPr>
        <w:tc>
          <w:tcPr>
            <w:tcW w:w="7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Recreational vehicle lending</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r>
      <w:tr>
        <w:trPr>
          <w:trHeight w:val="223"/>
        </w:trPr>
        <w:tc>
          <w:tcPr>
            <w:tcW w:w="7320" w:type="dxa"/>
            <w:vAlign w:val="bottom"/>
          </w:tcPr>
          <w:p>
            <w:pPr>
              <w:ind w:left="34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1,902</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2,040</w:t>
            </w:r>
          </w:p>
        </w:tc>
        <w:tc>
          <w:tcPr>
            <w:tcW w:w="1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170</w:t>
            </w:r>
          </w:p>
        </w:tc>
      </w:tr>
      <w:tr>
        <w:trPr>
          <w:trHeight w:val="257"/>
        </w:trPr>
        <w:tc>
          <w:tcPr>
            <w:tcW w:w="73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50,672</w:t>
            </w:r>
          </w:p>
        </w:tc>
        <w:tc>
          <w:tcPr>
            <w:tcW w:w="2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52,970</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5,581</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7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6"/>
        </w:trPr>
        <w:tc>
          <w:tcPr>
            <w:tcW w:w="73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Accrued interest included in recorded investment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2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ind w:left="340" w:right="140" w:hanging="332"/>
        <w:spacing w:after="0" w:line="277"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Beginning January 1, 2021, calculation is based on CECL methodology. Prior to January 1, 2021, calculation was based on the probable incurred loss methodology.</w:t>
      </w:r>
    </w:p>
    <w:p>
      <w:pPr>
        <w:sectPr>
          <w:pgSz w:w="11900" w:h="16838" w:orient="portrait"/>
          <w:cols w:equalWidth="0" w:num="1">
            <w:col w:w="11240"/>
          </w:cols>
          <w:pgMar w:left="320" w:top="121" w:right="339" w:bottom="1440" w:gutter="0" w:footer="0" w:header="0"/>
        </w:sect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4" w:name="page25"/>
    <w:bookmarkEnd w:id="2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Average recorded investment in and interest income earned on impaired loans by class follows (1):</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0" w:type="dxa"/>
            <w:vAlign w:val="bottom"/>
            <w:gridSpan w:val="5"/>
          </w:tcPr>
          <w:p>
            <w:pPr>
              <w:jc w:val="right"/>
              <w:ind w:right="740"/>
              <w:spacing w:after="0"/>
              <w:rPr>
                <w:sz w:val="20"/>
                <w:szCs w:val="20"/>
                <w:color w:val="auto"/>
              </w:rPr>
            </w:pPr>
            <w:r>
              <w:rPr>
                <w:rFonts w:ascii="Arial" w:cs="Arial" w:eastAsia="Arial" w:hAnsi="Arial"/>
                <w:sz w:val="18"/>
                <w:szCs w:val="18"/>
                <w:color w:val="auto"/>
              </w:rPr>
              <w:t>Three months ended</w:t>
            </w:r>
          </w:p>
        </w:tc>
        <w:tc>
          <w:tcPr>
            <w:tcW w:w="120" w:type="dxa"/>
            <w:vAlign w:val="bottom"/>
          </w:tcPr>
          <w:p>
            <w:pPr>
              <w:spacing w:after="0"/>
              <w:rPr>
                <w:sz w:val="18"/>
                <w:szCs w:val="18"/>
                <w:color w:val="auto"/>
              </w:rPr>
            </w:pPr>
          </w:p>
        </w:tc>
        <w:tc>
          <w:tcPr>
            <w:tcW w:w="2420" w:type="dxa"/>
            <w:vAlign w:val="bottom"/>
            <w:gridSpan w:val="5"/>
          </w:tcPr>
          <w:p>
            <w:pPr>
              <w:jc w:val="center"/>
              <w:ind w:right="220"/>
              <w:spacing w:after="0"/>
              <w:rPr>
                <w:sz w:val="20"/>
                <w:szCs w:val="20"/>
                <w:color w:val="auto"/>
              </w:rPr>
            </w:pPr>
            <w:r>
              <w:rPr>
                <w:rFonts w:ascii="Arial" w:cs="Arial" w:eastAsia="Arial" w:hAnsi="Arial"/>
                <w:sz w:val="18"/>
                <w:szCs w:val="18"/>
                <w:color w:val="auto"/>
                <w:w w:val="88"/>
              </w:rPr>
              <w:t>Six months ended</w:t>
            </w:r>
          </w:p>
        </w:tc>
      </w:tr>
      <w:tr>
        <w:trPr>
          <w:trHeight w:val="237"/>
        </w:trPr>
        <w:tc>
          <w:tcPr>
            <w:tcW w:w="5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0" w:type="dxa"/>
            <w:vAlign w:val="bottom"/>
            <w:gridSpan w:val="5"/>
          </w:tcPr>
          <w:p>
            <w:pPr>
              <w:jc w:val="right"/>
              <w:ind w:right="960"/>
              <w:spacing w:after="0"/>
              <w:rPr>
                <w:sz w:val="20"/>
                <w:szCs w:val="20"/>
                <w:color w:val="auto"/>
              </w:rPr>
            </w:pPr>
            <w:r>
              <w:rPr>
                <w:rFonts w:ascii="Arial" w:cs="Arial" w:eastAsia="Arial" w:hAnsi="Arial"/>
                <w:sz w:val="18"/>
                <w:szCs w:val="18"/>
                <w:color w:val="auto"/>
              </w:rPr>
              <w:t>June 30, 2020</w:t>
            </w:r>
          </w:p>
        </w:tc>
        <w:tc>
          <w:tcPr>
            <w:tcW w:w="120" w:type="dxa"/>
            <w:vAlign w:val="bottom"/>
          </w:tcPr>
          <w:p>
            <w:pPr>
              <w:spacing w:after="0"/>
              <w:rPr>
                <w:sz w:val="20"/>
                <w:szCs w:val="20"/>
                <w:color w:val="auto"/>
              </w:rPr>
            </w:pPr>
          </w:p>
        </w:tc>
        <w:tc>
          <w:tcPr>
            <w:tcW w:w="2420" w:type="dxa"/>
            <w:vAlign w:val="bottom"/>
            <w:gridSpan w:val="5"/>
          </w:tcPr>
          <w:p>
            <w:pPr>
              <w:jc w:val="center"/>
              <w:ind w:right="220"/>
              <w:spacing w:after="0"/>
              <w:rPr>
                <w:sz w:val="20"/>
                <w:szCs w:val="20"/>
                <w:color w:val="auto"/>
              </w:rPr>
            </w:pPr>
            <w:r>
              <w:rPr>
                <w:rFonts w:ascii="Arial" w:cs="Arial" w:eastAsia="Arial" w:hAnsi="Arial"/>
                <w:sz w:val="18"/>
                <w:szCs w:val="18"/>
                <w:color w:val="auto"/>
                <w:w w:val="87"/>
              </w:rPr>
              <w:t>June 30, 2020</w:t>
            </w:r>
          </w:p>
        </w:tc>
      </w:tr>
      <w:tr>
        <w:trPr>
          <w:trHeight w:val="202"/>
        </w:trPr>
        <w:tc>
          <w:tcPr>
            <w:tcW w:w="59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gridSpan w:val="2"/>
          </w:tcPr>
          <w:p>
            <w:pPr>
              <w:jc w:val="center"/>
              <w:ind w:right="380"/>
              <w:spacing w:after="0" w:line="201" w:lineRule="exact"/>
              <w:rPr>
                <w:sz w:val="20"/>
                <w:szCs w:val="20"/>
                <w:color w:val="auto"/>
              </w:rPr>
            </w:pPr>
            <w:r>
              <w:rPr>
                <w:rFonts w:ascii="Arial" w:cs="Arial" w:eastAsia="Arial" w:hAnsi="Arial"/>
                <w:sz w:val="18"/>
                <w:szCs w:val="18"/>
                <w:color w:val="auto"/>
                <w:w w:val="89"/>
              </w:rPr>
              <w:t>Average</w:t>
            </w: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center"/>
              <w:ind w:right="30"/>
              <w:spacing w:after="0" w:line="201" w:lineRule="exact"/>
              <w:rPr>
                <w:sz w:val="20"/>
                <w:szCs w:val="20"/>
                <w:color w:val="auto"/>
              </w:rPr>
            </w:pPr>
            <w:r>
              <w:rPr>
                <w:rFonts w:ascii="Arial" w:cs="Arial" w:eastAsia="Arial" w:hAnsi="Arial"/>
                <w:sz w:val="18"/>
                <w:szCs w:val="18"/>
                <w:color w:val="auto"/>
                <w:w w:val="89"/>
              </w:rPr>
              <w:t>Interest</w:t>
            </w: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gridSpan w:val="2"/>
          </w:tcPr>
          <w:p>
            <w:pPr>
              <w:jc w:val="center"/>
              <w:ind w:right="320"/>
              <w:spacing w:after="0" w:line="201" w:lineRule="exact"/>
              <w:rPr>
                <w:sz w:val="20"/>
                <w:szCs w:val="20"/>
                <w:color w:val="auto"/>
              </w:rPr>
            </w:pPr>
            <w:r>
              <w:rPr>
                <w:rFonts w:ascii="Arial" w:cs="Arial" w:eastAsia="Arial" w:hAnsi="Arial"/>
                <w:sz w:val="18"/>
                <w:szCs w:val="18"/>
                <w:color w:val="auto"/>
                <w:w w:val="89"/>
              </w:rPr>
              <w:t>Average</w:t>
            </w: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center"/>
              <w:ind w:right="50"/>
              <w:spacing w:after="0" w:line="201" w:lineRule="exact"/>
              <w:rPr>
                <w:sz w:val="20"/>
                <w:szCs w:val="20"/>
                <w:color w:val="auto"/>
              </w:rPr>
            </w:pPr>
            <w:r>
              <w:rPr>
                <w:rFonts w:ascii="Arial" w:cs="Arial" w:eastAsia="Arial" w:hAnsi="Arial"/>
                <w:sz w:val="18"/>
                <w:szCs w:val="18"/>
                <w:color w:val="auto"/>
                <w:w w:val="89"/>
              </w:rPr>
              <w:t>Interest</w:t>
            </w:r>
          </w:p>
        </w:tc>
        <w:tc>
          <w:tcPr>
            <w:tcW w:w="100" w:type="dxa"/>
            <w:vAlign w:val="bottom"/>
          </w:tcPr>
          <w:p>
            <w:pPr>
              <w:spacing w:after="0"/>
              <w:rPr>
                <w:sz w:val="17"/>
                <w:szCs w:val="17"/>
                <w:color w:val="auto"/>
              </w:rPr>
            </w:pPr>
          </w:p>
        </w:tc>
      </w:tr>
      <w:tr>
        <w:trPr>
          <w:trHeight w:val="216"/>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color w:val="auto"/>
                <w:w w:val="87"/>
              </w:rPr>
              <w:t>Recorded</w:t>
            </w:r>
          </w:p>
        </w:tc>
        <w:tc>
          <w:tcPr>
            <w:tcW w:w="10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Income</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color w:val="auto"/>
                <w:w w:val="87"/>
              </w:rPr>
              <w:t>Recorded</w:t>
            </w:r>
          </w:p>
        </w:tc>
        <w:tc>
          <w:tcPr>
            <w:tcW w:w="1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Income</w:t>
            </w:r>
          </w:p>
        </w:tc>
      </w:tr>
      <w:tr>
        <w:trPr>
          <w:trHeight w:val="237"/>
        </w:trPr>
        <w:tc>
          <w:tcPr>
            <w:tcW w:w="59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0"/>
              </w:rPr>
              <w:t>Investment</w:t>
            </w: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8"/>
              </w:rPr>
              <w:t>Recognized</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0"/>
              </w:rPr>
              <w:t>Investment</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8"/>
              </w:rPr>
              <w:t>Recognized</w:t>
            </w:r>
          </w:p>
        </w:tc>
        <w:tc>
          <w:tcPr>
            <w:tcW w:w="100" w:type="dxa"/>
            <w:vAlign w:val="bottom"/>
          </w:tcPr>
          <w:p>
            <w:pPr>
              <w:spacing w:after="0"/>
              <w:rPr>
                <w:sz w:val="20"/>
                <w:szCs w:val="20"/>
                <w:color w:val="auto"/>
              </w:rPr>
            </w:pPr>
          </w:p>
        </w:tc>
      </w:tr>
      <w:tr>
        <w:trPr>
          <w:trHeight w:val="202"/>
        </w:trPr>
        <w:tc>
          <w:tcPr>
            <w:tcW w:w="5980" w:type="dxa"/>
            <w:vAlign w:val="bottom"/>
          </w:tcPr>
          <w:p>
            <w:pPr>
              <w:spacing w:after="0" w:line="201" w:lineRule="exact"/>
              <w:rPr>
                <w:sz w:val="20"/>
                <w:szCs w:val="20"/>
                <w:color w:val="auto"/>
              </w:rPr>
            </w:pPr>
            <w:r>
              <w:rPr>
                <w:rFonts w:ascii="Arial" w:cs="Arial" w:eastAsia="Arial" w:hAnsi="Arial"/>
                <w:sz w:val="18"/>
                <w:szCs w:val="18"/>
                <w:b w:val="1"/>
                <w:bCs w:val="1"/>
                <w:color w:val="auto"/>
              </w:rPr>
              <w:t>With no related ACL recorded:</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60" w:type="dxa"/>
            <w:vAlign w:val="bottom"/>
            <w:gridSpan w:val="5"/>
          </w:tcPr>
          <w:p>
            <w:pPr>
              <w:jc w:val="right"/>
              <w:ind w:right="940"/>
              <w:spacing w:after="0" w:line="201" w:lineRule="exact"/>
              <w:rPr>
                <w:sz w:val="20"/>
                <w:szCs w:val="20"/>
                <w:color w:val="auto"/>
              </w:rPr>
            </w:pPr>
            <w:r>
              <w:rPr>
                <w:rFonts w:ascii="Arial" w:cs="Arial" w:eastAsia="Arial" w:hAnsi="Arial"/>
                <w:sz w:val="18"/>
                <w:szCs w:val="18"/>
                <w:color w:val="auto"/>
              </w:rPr>
              <w:t>(In thousands)</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5980" w:type="dxa"/>
            <w:vAlign w:val="bottom"/>
          </w:tcPr>
          <w:p>
            <w:pPr>
              <w:ind w:left="140"/>
              <w:spacing w:after="0"/>
              <w:rPr>
                <w:sz w:val="20"/>
                <w:szCs w:val="20"/>
                <w:color w:val="auto"/>
              </w:rPr>
            </w:pPr>
            <w:r>
              <w:rPr>
                <w:rFonts w:ascii="Arial" w:cs="Arial" w:eastAsia="Arial" w:hAnsi="Arial"/>
                <w:sz w:val="18"/>
                <w:szCs w:val="18"/>
                <w:color w:val="auto"/>
              </w:rPr>
              <w:t>Commercial</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and industrial</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r>
      <w:tr>
        <w:trPr>
          <w:trHeight w:val="216"/>
        </w:trPr>
        <w:tc>
          <w:tcPr>
            <w:tcW w:w="5980" w:type="dxa"/>
            <w:vAlign w:val="bottom"/>
          </w:tcPr>
          <w:p>
            <w:pPr>
              <w:ind w:left="340"/>
              <w:spacing w:after="0"/>
              <w:rPr>
                <w:sz w:val="20"/>
                <w:szCs w:val="20"/>
                <w:color w:val="auto"/>
              </w:rPr>
            </w:pPr>
            <w:r>
              <w:rPr>
                <w:rFonts w:ascii="Arial" w:cs="Arial" w:eastAsia="Arial" w:hAnsi="Arial"/>
                <w:sz w:val="18"/>
                <w:szCs w:val="18"/>
                <w:color w:val="auto"/>
              </w:rPr>
              <w:t>Commercial real estate</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199</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Mortgage</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340"/>
              <w:spacing w:after="0"/>
              <w:rPr>
                <w:sz w:val="20"/>
                <w:szCs w:val="20"/>
                <w:color w:val="auto"/>
              </w:rPr>
            </w:pPr>
            <w:r>
              <w:rPr>
                <w:rFonts w:ascii="Arial" w:cs="Arial" w:eastAsia="Arial" w:hAnsi="Arial"/>
                <w:sz w:val="18"/>
                <w:szCs w:val="18"/>
                <w:color w:val="auto"/>
              </w:rPr>
              <w:t>1-4 family owner occupied - jumbo</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316</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1-4 family owner occupied - non-jumbo</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482</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392</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r>
      <w:tr>
        <w:trPr>
          <w:trHeight w:val="216"/>
        </w:trPr>
        <w:tc>
          <w:tcPr>
            <w:tcW w:w="5980" w:type="dxa"/>
            <w:vAlign w:val="bottom"/>
          </w:tcPr>
          <w:p>
            <w:pPr>
              <w:ind w:left="340"/>
              <w:spacing w:after="0"/>
              <w:rPr>
                <w:sz w:val="20"/>
                <w:szCs w:val="20"/>
                <w:color w:val="auto"/>
              </w:rPr>
            </w:pPr>
            <w:r>
              <w:rPr>
                <w:rFonts w:ascii="Arial" w:cs="Arial" w:eastAsia="Arial" w:hAnsi="Arial"/>
                <w:sz w:val="18"/>
                <w:szCs w:val="18"/>
                <w:color w:val="auto"/>
              </w:rPr>
              <w:t>1-4 family non-owner occupied</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355</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308</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r>
      <w:tr>
        <w:trPr>
          <w:trHeight w:val="216"/>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1-4 family - 2nd lien</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374</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385</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tcPr>
          <w:p>
            <w:pPr>
              <w:ind w:left="340"/>
              <w:spacing w:after="0"/>
              <w:rPr>
                <w:sz w:val="20"/>
                <w:szCs w:val="20"/>
                <w:color w:val="auto"/>
              </w:rPr>
            </w:pPr>
            <w:r>
              <w:rPr>
                <w:rFonts w:ascii="Arial" w:cs="Arial" w:eastAsia="Arial" w:hAnsi="Arial"/>
                <w:sz w:val="18"/>
                <w:szCs w:val="18"/>
                <w:color w:val="auto"/>
              </w:rPr>
              <w:t>Resort lending</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Installment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340"/>
              <w:spacing w:after="0"/>
              <w:rPr>
                <w:sz w:val="20"/>
                <w:szCs w:val="20"/>
                <w:color w:val="auto"/>
              </w:rPr>
            </w:pPr>
            <w:r>
              <w:rPr>
                <w:rFonts w:ascii="Arial" w:cs="Arial" w:eastAsia="Arial" w:hAnsi="Arial"/>
                <w:sz w:val="18"/>
                <w:szCs w:val="18"/>
                <w:color w:val="auto"/>
              </w:rPr>
              <w:t>Boat lending</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Recreational vehicle lending</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5980" w:type="dxa"/>
            <w:vAlign w:val="bottom"/>
          </w:tcPr>
          <w:p>
            <w:pPr>
              <w:ind w:left="34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59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1,688</w:t>
            </w:r>
          </w:p>
        </w:tc>
        <w:tc>
          <w:tcPr>
            <w:tcW w:w="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1,688</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b w:val="1"/>
                <w:bCs w:val="1"/>
                <w:color w:val="auto"/>
              </w:rPr>
              <w:t>With an a ACL recorded:</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Commercial</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340"/>
              <w:spacing w:after="0"/>
              <w:rPr>
                <w:sz w:val="20"/>
                <w:szCs w:val="20"/>
                <w:color w:val="auto"/>
              </w:rPr>
            </w:pPr>
            <w:r>
              <w:rPr>
                <w:rFonts w:ascii="Arial" w:cs="Arial" w:eastAsia="Arial" w:hAnsi="Arial"/>
                <w:sz w:val="18"/>
                <w:szCs w:val="18"/>
                <w:color w:val="auto"/>
              </w:rPr>
              <w:t>Commercial and industrial</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2,409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2,158</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67</w:t>
            </w:r>
          </w:p>
        </w:tc>
      </w:tr>
      <w:tr>
        <w:trPr>
          <w:trHeight w:val="216"/>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real estate</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15,988</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288</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12,887</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511</w:t>
            </w:r>
          </w:p>
        </w:tc>
      </w:tr>
      <w:tr>
        <w:trPr>
          <w:trHeight w:val="216"/>
        </w:trPr>
        <w:tc>
          <w:tcPr>
            <w:tcW w:w="5980" w:type="dxa"/>
            <w:vAlign w:val="bottom"/>
          </w:tcPr>
          <w:p>
            <w:pPr>
              <w:ind w:left="140"/>
              <w:spacing w:after="0"/>
              <w:rPr>
                <w:sz w:val="20"/>
                <w:szCs w:val="20"/>
                <w:color w:val="auto"/>
              </w:rPr>
            </w:pPr>
            <w:r>
              <w:rPr>
                <w:rFonts w:ascii="Arial" w:cs="Arial" w:eastAsia="Arial" w:hAnsi="Arial"/>
                <w:sz w:val="18"/>
                <w:szCs w:val="18"/>
                <w:color w:val="auto"/>
              </w:rPr>
              <w:t>Mortgage</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1-4 family owner occupied - jumbo</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1,273</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r>
      <w:tr>
        <w:trPr>
          <w:trHeight w:val="216"/>
        </w:trPr>
        <w:tc>
          <w:tcPr>
            <w:tcW w:w="5980" w:type="dxa"/>
            <w:vAlign w:val="bottom"/>
          </w:tcPr>
          <w:p>
            <w:pPr>
              <w:ind w:left="340"/>
              <w:spacing w:after="0"/>
              <w:rPr>
                <w:sz w:val="20"/>
                <w:szCs w:val="20"/>
                <w:color w:val="auto"/>
              </w:rPr>
            </w:pPr>
            <w:r>
              <w:rPr>
                <w:rFonts w:ascii="Arial" w:cs="Arial" w:eastAsia="Arial" w:hAnsi="Arial"/>
                <w:sz w:val="18"/>
                <w:szCs w:val="18"/>
                <w:color w:val="auto"/>
              </w:rPr>
              <w:t>1-4 family owner occupied - non-jumbo</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22,249</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273</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18,220</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624</w:t>
            </w:r>
          </w:p>
        </w:tc>
      </w:tr>
      <w:tr>
        <w:trPr>
          <w:trHeight w:val="216"/>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1-4 family non-owner occupied</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4,837</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w:t>
            </w:r>
          </w:p>
        </w:tc>
      </w:tr>
      <w:tr>
        <w:trPr>
          <w:trHeight w:val="216"/>
        </w:trPr>
        <w:tc>
          <w:tcPr>
            <w:tcW w:w="5980" w:type="dxa"/>
            <w:vAlign w:val="bottom"/>
          </w:tcPr>
          <w:p>
            <w:pPr>
              <w:ind w:left="340"/>
              <w:spacing w:after="0"/>
              <w:rPr>
                <w:sz w:val="20"/>
                <w:szCs w:val="20"/>
                <w:color w:val="auto"/>
              </w:rPr>
            </w:pPr>
            <w:r>
              <w:rPr>
                <w:rFonts w:ascii="Arial" w:cs="Arial" w:eastAsia="Arial" w:hAnsi="Arial"/>
                <w:sz w:val="18"/>
                <w:szCs w:val="18"/>
                <w:color w:val="auto"/>
              </w:rPr>
              <w:t>1-4 family - 2nd lien</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694</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5,149</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r>
      <w:tr>
        <w:trPr>
          <w:trHeight w:val="216"/>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Resort lending</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11,554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11,739</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w:t>
            </w:r>
          </w:p>
        </w:tc>
      </w:tr>
      <w:tr>
        <w:trPr>
          <w:trHeight w:val="216"/>
        </w:trPr>
        <w:tc>
          <w:tcPr>
            <w:tcW w:w="5980" w:type="dxa"/>
            <w:vAlign w:val="bottom"/>
          </w:tcPr>
          <w:p>
            <w:pPr>
              <w:ind w:left="140"/>
              <w:spacing w:after="0"/>
              <w:rPr>
                <w:sz w:val="20"/>
                <w:szCs w:val="20"/>
                <w:color w:val="auto"/>
              </w:rPr>
            </w:pPr>
            <w:r>
              <w:rPr>
                <w:rFonts w:ascii="Arial" w:cs="Arial" w:eastAsia="Arial" w:hAnsi="Arial"/>
                <w:sz w:val="18"/>
                <w:szCs w:val="18"/>
                <w:color w:val="auto"/>
              </w:rPr>
              <w:t>Installment</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Boat lending</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tcPr>
          <w:p>
            <w:pPr>
              <w:ind w:left="340"/>
              <w:spacing w:after="0"/>
              <w:rPr>
                <w:sz w:val="20"/>
                <w:szCs w:val="20"/>
                <w:color w:val="auto"/>
              </w:rPr>
            </w:pPr>
            <w:r>
              <w:rPr>
                <w:rFonts w:ascii="Arial" w:cs="Arial" w:eastAsia="Arial" w:hAnsi="Arial"/>
                <w:sz w:val="18"/>
                <w:szCs w:val="18"/>
                <w:color w:val="auto"/>
              </w:rPr>
              <w:t>Recreational vehicle lending</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r>
      <w:tr>
        <w:trPr>
          <w:trHeight w:val="216"/>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2,672</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w:t>
            </w:r>
          </w:p>
        </w:tc>
      </w:tr>
      <w:tr>
        <w:trPr>
          <w:trHeight w:val="27"/>
        </w:trPr>
        <w:tc>
          <w:tcPr>
            <w:tcW w:w="59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5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61,585</w:t>
            </w:r>
          </w:p>
        </w:tc>
        <w:tc>
          <w:tcPr>
            <w:tcW w:w="1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782</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59,057</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1,664</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140"/>
              <w:spacing w:after="0"/>
              <w:rPr>
                <w:sz w:val="20"/>
                <w:szCs w:val="20"/>
                <w:color w:val="auto"/>
              </w:rPr>
            </w:pPr>
            <w:r>
              <w:rPr>
                <w:rFonts w:ascii="Arial" w:cs="Arial" w:eastAsia="Arial" w:hAnsi="Arial"/>
                <w:sz w:val="18"/>
                <w:szCs w:val="18"/>
                <w:color w:val="auto"/>
              </w:rPr>
              <w:t>Commercial</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and industrial</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2,300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w:t>
            </w:r>
          </w:p>
        </w:tc>
      </w:tr>
      <w:tr>
        <w:trPr>
          <w:trHeight w:val="216"/>
        </w:trPr>
        <w:tc>
          <w:tcPr>
            <w:tcW w:w="5980" w:type="dxa"/>
            <w:vAlign w:val="bottom"/>
          </w:tcPr>
          <w:p>
            <w:pPr>
              <w:ind w:left="340"/>
              <w:spacing w:after="0"/>
              <w:rPr>
                <w:sz w:val="20"/>
                <w:szCs w:val="20"/>
                <w:color w:val="auto"/>
              </w:rPr>
            </w:pPr>
            <w:r>
              <w:rPr>
                <w:rFonts w:ascii="Arial" w:cs="Arial" w:eastAsia="Arial" w:hAnsi="Arial"/>
                <w:sz w:val="18"/>
                <w:szCs w:val="18"/>
                <w:color w:val="auto"/>
              </w:rPr>
              <w:t>Commercial real estate</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15,988</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288</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13,086</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511</w:t>
            </w:r>
          </w:p>
        </w:tc>
      </w:tr>
      <w:tr>
        <w:trPr>
          <w:trHeight w:val="216"/>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Mortgage</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340"/>
              <w:spacing w:after="0"/>
              <w:rPr>
                <w:sz w:val="20"/>
                <w:szCs w:val="20"/>
                <w:color w:val="auto"/>
              </w:rPr>
            </w:pPr>
            <w:r>
              <w:rPr>
                <w:rFonts w:ascii="Arial" w:cs="Arial" w:eastAsia="Arial" w:hAnsi="Arial"/>
                <w:sz w:val="18"/>
                <w:szCs w:val="18"/>
                <w:color w:val="auto"/>
              </w:rPr>
              <w:t>1-4 family owner occupied - jumbo</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1,503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1,484</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r>
      <w:tr>
        <w:trPr>
          <w:trHeight w:val="216"/>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1-4 family owner occupied - non-jumbo</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22,731</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274</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18,612</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628</w:t>
            </w:r>
          </w:p>
        </w:tc>
      </w:tr>
      <w:tr>
        <w:trPr>
          <w:trHeight w:val="216"/>
        </w:trPr>
        <w:tc>
          <w:tcPr>
            <w:tcW w:w="5980" w:type="dxa"/>
            <w:vAlign w:val="bottom"/>
          </w:tcPr>
          <w:p>
            <w:pPr>
              <w:ind w:left="340"/>
              <w:spacing w:after="0"/>
              <w:rPr>
                <w:sz w:val="20"/>
                <w:szCs w:val="20"/>
                <w:color w:val="auto"/>
              </w:rPr>
            </w:pPr>
            <w:r>
              <w:rPr>
                <w:rFonts w:ascii="Arial" w:cs="Arial" w:eastAsia="Arial" w:hAnsi="Arial"/>
                <w:sz w:val="18"/>
                <w:szCs w:val="18"/>
                <w:color w:val="auto"/>
              </w:rPr>
              <w:t>1-4 family non-owner occupied</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5,129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5,145</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121</w:t>
            </w:r>
          </w:p>
        </w:tc>
      </w:tr>
      <w:tr>
        <w:trPr>
          <w:trHeight w:val="216"/>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1-4 family - 2nd lien</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5,534</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r>
      <w:tr>
        <w:trPr>
          <w:trHeight w:val="216"/>
        </w:trPr>
        <w:tc>
          <w:tcPr>
            <w:tcW w:w="5980" w:type="dxa"/>
            <w:vAlign w:val="bottom"/>
          </w:tcPr>
          <w:p>
            <w:pPr>
              <w:ind w:left="340"/>
              <w:spacing w:after="0"/>
              <w:rPr>
                <w:sz w:val="20"/>
                <w:szCs w:val="20"/>
                <w:color w:val="auto"/>
              </w:rPr>
            </w:pPr>
            <w:r>
              <w:rPr>
                <w:rFonts w:ascii="Arial" w:cs="Arial" w:eastAsia="Arial" w:hAnsi="Arial"/>
                <w:sz w:val="18"/>
                <w:szCs w:val="18"/>
                <w:color w:val="auto"/>
              </w:rPr>
              <w:t>Resort lending</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11,631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11,790</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233</w:t>
            </w:r>
          </w:p>
        </w:tc>
      </w:tr>
      <w:tr>
        <w:trPr>
          <w:trHeight w:val="216"/>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Installment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340"/>
              <w:spacing w:after="0"/>
              <w:rPr>
                <w:sz w:val="20"/>
                <w:szCs w:val="20"/>
                <w:color w:val="auto"/>
              </w:rPr>
            </w:pPr>
            <w:r>
              <w:rPr>
                <w:rFonts w:ascii="Arial" w:cs="Arial" w:eastAsia="Arial" w:hAnsi="Arial"/>
                <w:sz w:val="18"/>
                <w:szCs w:val="18"/>
                <w:color w:val="auto"/>
              </w:rPr>
              <w:t>Boat lending</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Recreational vehicle lending</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r>
      <w:tr>
        <w:trPr>
          <w:trHeight w:val="223"/>
        </w:trPr>
        <w:tc>
          <w:tcPr>
            <w:tcW w:w="5980" w:type="dxa"/>
            <w:vAlign w:val="bottom"/>
          </w:tcPr>
          <w:p>
            <w:pPr>
              <w:ind w:left="34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2,546</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2,672</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76</w:t>
            </w:r>
          </w:p>
        </w:tc>
      </w:tr>
      <w:tr>
        <w:trPr>
          <w:trHeight w:val="256"/>
        </w:trPr>
        <w:tc>
          <w:tcPr>
            <w:tcW w:w="59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63,273</w:t>
            </w:r>
          </w:p>
        </w:tc>
        <w:tc>
          <w:tcPr>
            <w:tcW w:w="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60,745</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1,673</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ind w:left="340" w:right="140" w:hanging="332"/>
        <w:spacing w:after="0" w:line="277"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Beginning January 1, 2021, calculation is based on CECL methodology. Prior to January 1, 2021, calculation was based on the probable incurred loss methodology.</w:t>
      </w:r>
    </w:p>
    <w:p>
      <w:pPr>
        <w:sectPr>
          <w:pgSz w:w="11900" w:h="16838" w:orient="portrait"/>
          <w:cols w:equalWidth="0" w:num="1">
            <w:col w:w="11240"/>
          </w:cols>
          <w:pgMar w:left="320" w:top="121" w:right="339" w:bottom="1440" w:gutter="0" w:footer="0" w:header="0"/>
        </w:sect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5" w:name="page26"/>
    <w:bookmarkEnd w:id="2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Cash receipts on impaired loans on non-accrual status are generally applied to the principal balance.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TDRs follow:</w:t>
            </w:r>
          </w:p>
        </w:tc>
        <w:tc>
          <w:tcPr>
            <w:tcW w:w="2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66"/>
        </w:trPr>
        <w:tc>
          <w:tcPr>
            <w:tcW w:w="458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8"/>
                <w:szCs w:val="18"/>
                <w:color w:val="auto"/>
                <w:w w:val="87"/>
              </w:rPr>
              <w:t>June 30, 2021</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458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w w:val="91"/>
              </w:rPr>
              <w:t>Commercial</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Retail (1)</w:t>
            </w:r>
          </w:p>
        </w:tc>
        <w:tc>
          <w:tcPr>
            <w:tcW w:w="240" w:type="dxa"/>
            <w:vAlign w:val="bottom"/>
          </w:tcPr>
          <w:p>
            <w:pPr>
              <w:spacing w:after="0"/>
              <w:rPr>
                <w:sz w:val="19"/>
                <w:szCs w:val="19"/>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9"/>
                <w:szCs w:val="19"/>
                <w:color w:val="auto"/>
              </w:rPr>
            </w:pPr>
          </w:p>
        </w:tc>
      </w:tr>
      <w:tr>
        <w:trPr>
          <w:trHeight w:val="216"/>
        </w:trPr>
        <w:tc>
          <w:tcPr>
            <w:tcW w:w="45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5"/>
              </w:rPr>
              <w:t>(In thousands)</w:t>
            </w:r>
          </w:p>
        </w:tc>
        <w:tc>
          <w:tcPr>
            <w:tcW w:w="3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Performing TDRs</w:t>
            </w: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34,561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39,509</w:t>
            </w:r>
          </w:p>
        </w:tc>
      </w:tr>
      <w:tr>
        <w:trPr>
          <w:trHeight w:val="263"/>
        </w:trPr>
        <w:tc>
          <w:tcPr>
            <w:tcW w:w="4580" w:type="dxa"/>
            <w:vAlign w:val="bottom"/>
          </w:tcPr>
          <w:p>
            <w:pPr>
              <w:spacing w:after="0"/>
              <w:rPr>
                <w:sz w:val="20"/>
                <w:szCs w:val="20"/>
                <w:color w:val="auto"/>
              </w:rPr>
            </w:pPr>
            <w:r>
              <w:rPr>
                <w:rFonts w:ascii="Arial" w:cs="Arial" w:eastAsia="Arial" w:hAnsi="Arial"/>
                <w:sz w:val="18"/>
                <w:szCs w:val="18"/>
                <w:color w:val="auto"/>
              </w:rPr>
              <w:t>Non-performing TDRs (2)</w:t>
            </w:r>
          </w:p>
        </w:tc>
        <w:tc>
          <w:tcPr>
            <w:tcW w:w="2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gridSpan w:val="2"/>
          </w:tcPr>
          <w:p>
            <w:pPr>
              <w:jc w:val="right"/>
              <w:ind w:right="160"/>
              <w:spacing w:after="0" w:line="256" w:lineRule="exact"/>
              <w:rPr>
                <w:sz w:val="20"/>
                <w:szCs w:val="20"/>
                <w:color w:val="auto"/>
              </w:rPr>
            </w:pPr>
            <w:r>
              <w:rPr>
                <w:rFonts w:ascii="Arial" w:cs="Arial" w:eastAsia="Arial" w:hAnsi="Arial"/>
                <w:sz w:val="18"/>
                <w:szCs w:val="18"/>
                <w:color w:val="auto"/>
              </w:rPr>
              <w:t>1,165</w:t>
            </w:r>
            <w:r>
              <w:rPr>
                <w:rFonts w:ascii="Arial" w:cs="Arial" w:eastAsia="Arial" w:hAnsi="Arial"/>
                <w:sz w:val="29"/>
                <w:szCs w:val="29"/>
                <w:color w:val="auto"/>
                <w:vertAlign w:val="superscript"/>
              </w:rPr>
              <w:t>(3)</w:t>
            </w:r>
          </w:p>
        </w:tc>
        <w:tc>
          <w:tcPr>
            <w:tcW w:w="240" w:type="dxa"/>
            <w:vAlign w:val="bottom"/>
          </w:tcPr>
          <w:p>
            <w:pPr>
              <w:spacing w:after="0"/>
              <w:rPr>
                <w:sz w:val="22"/>
                <w:szCs w:val="22"/>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1,165</w:t>
            </w:r>
          </w:p>
        </w:tc>
      </w:tr>
      <w:tr>
        <w:trPr>
          <w:trHeight w:val="257"/>
        </w:trPr>
        <w:tc>
          <w:tcPr>
            <w:tcW w:w="45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26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4,948</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35,726</w:t>
            </w:r>
          </w:p>
        </w:tc>
        <w:tc>
          <w:tcPr>
            <w:tcW w:w="3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40,674</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459"/>
        </w:trPr>
        <w:tc>
          <w:tcPr>
            <w:tcW w:w="458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8"/>
                <w:szCs w:val="18"/>
                <w:color w:val="auto"/>
                <w:w w:val="96"/>
              </w:rPr>
              <w:t>December 31, 2020</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458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w w:val="91"/>
              </w:rPr>
              <w:t>Commercial</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Retail (1)</w:t>
            </w:r>
          </w:p>
        </w:tc>
        <w:tc>
          <w:tcPr>
            <w:tcW w:w="240" w:type="dxa"/>
            <w:vAlign w:val="bottom"/>
          </w:tcPr>
          <w:p>
            <w:pPr>
              <w:spacing w:after="0"/>
              <w:rPr>
                <w:sz w:val="19"/>
                <w:szCs w:val="19"/>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9"/>
                <w:szCs w:val="19"/>
                <w:color w:val="auto"/>
              </w:rPr>
            </w:pPr>
          </w:p>
        </w:tc>
      </w:tr>
      <w:tr>
        <w:trPr>
          <w:trHeight w:val="216"/>
        </w:trPr>
        <w:tc>
          <w:tcPr>
            <w:tcW w:w="45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5"/>
              </w:rPr>
              <w:t>(In thousands)</w:t>
            </w:r>
          </w:p>
        </w:tc>
        <w:tc>
          <w:tcPr>
            <w:tcW w:w="3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Performing TDRs</w:t>
            </w: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36,385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44,341</w:t>
            </w:r>
          </w:p>
        </w:tc>
      </w:tr>
      <w:tr>
        <w:trPr>
          <w:trHeight w:val="263"/>
        </w:trPr>
        <w:tc>
          <w:tcPr>
            <w:tcW w:w="4580" w:type="dxa"/>
            <w:vAlign w:val="bottom"/>
          </w:tcPr>
          <w:p>
            <w:pPr>
              <w:spacing w:after="0"/>
              <w:rPr>
                <w:sz w:val="20"/>
                <w:szCs w:val="20"/>
                <w:color w:val="auto"/>
              </w:rPr>
            </w:pPr>
            <w:r>
              <w:rPr>
                <w:rFonts w:ascii="Arial" w:cs="Arial" w:eastAsia="Arial" w:hAnsi="Arial"/>
                <w:sz w:val="18"/>
                <w:szCs w:val="18"/>
                <w:color w:val="auto"/>
              </w:rPr>
              <w:t>Non-performing TDRs (2)</w:t>
            </w:r>
          </w:p>
        </w:tc>
        <w:tc>
          <w:tcPr>
            <w:tcW w:w="2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1,148</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gridSpan w:val="2"/>
          </w:tcPr>
          <w:p>
            <w:pPr>
              <w:jc w:val="right"/>
              <w:ind w:right="160"/>
              <w:spacing w:after="0" w:line="256" w:lineRule="exact"/>
              <w:rPr>
                <w:sz w:val="20"/>
                <w:szCs w:val="20"/>
                <w:color w:val="auto"/>
              </w:rPr>
            </w:pPr>
            <w:r>
              <w:rPr>
                <w:rFonts w:ascii="Arial" w:cs="Arial" w:eastAsia="Arial" w:hAnsi="Arial"/>
                <w:sz w:val="18"/>
                <w:szCs w:val="18"/>
                <w:color w:val="auto"/>
              </w:rPr>
              <w:t>1,584</w:t>
            </w:r>
            <w:r>
              <w:rPr>
                <w:rFonts w:ascii="Arial" w:cs="Arial" w:eastAsia="Arial" w:hAnsi="Arial"/>
                <w:sz w:val="29"/>
                <w:szCs w:val="29"/>
                <w:color w:val="auto"/>
                <w:vertAlign w:val="superscript"/>
              </w:rPr>
              <w:t>(3)</w:t>
            </w:r>
          </w:p>
        </w:tc>
        <w:tc>
          <w:tcPr>
            <w:tcW w:w="240" w:type="dxa"/>
            <w:vAlign w:val="bottom"/>
          </w:tcPr>
          <w:p>
            <w:pPr>
              <w:spacing w:after="0"/>
              <w:rPr>
                <w:sz w:val="22"/>
                <w:szCs w:val="22"/>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2,732</w:t>
            </w:r>
          </w:p>
        </w:tc>
      </w:tr>
      <w:tr>
        <w:trPr>
          <w:trHeight w:val="257"/>
        </w:trPr>
        <w:tc>
          <w:tcPr>
            <w:tcW w:w="45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26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9,104</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37,969</w:t>
            </w:r>
          </w:p>
        </w:tc>
        <w:tc>
          <w:tcPr>
            <w:tcW w:w="3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47,073</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Retail loans include mortgage and installment loan portfolio segments.</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Included in non-performing loans table above.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Also includes loans on non-accrual at the time of modification until six payments are received on a timely basis.</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allocated $4.1 million and $4.8 million of specific reserves to customers whose loan terms have been modified in troubled debt restructurings (“TDR”) at June 30, 2021 and December 31, 2020, respectively.</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six months ended June 30, 2020, the terms of certain loans were modified as TDRs (there were no TDR modifications during the six months ended June 30, 2021). The modification of the terms of such loans generally included one or a combination of the following: a reduction of the stated interest rate of the loan; an extension of the maturity date at a stated rate of interest lower than the current market rate for a new loan with similar risk; or a permanent reduction of the recorded investment in the loan.</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Modifications involving a reduction of the stated interest rate of the loan have generally been for periods ranging from 9 months to 36 months but have extended to as much as 480 months in certain circumstances. Modifications involving an extension of the maturity date have generally been for periods ranging from 1 month to 60 months but have extended to as much as 230 months in certain circumstances.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Loans that have been classified as TDRs during the three-month periods ended June 30 follow:</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540" w:type="dxa"/>
            <w:vAlign w:val="bottom"/>
            <w:gridSpan w:val="4"/>
          </w:tcPr>
          <w:p>
            <w:pPr>
              <w:ind w:left="220"/>
              <w:spacing w:after="0"/>
              <w:rPr>
                <w:sz w:val="20"/>
                <w:szCs w:val="20"/>
                <w:color w:val="auto"/>
              </w:rPr>
            </w:pPr>
            <w:r>
              <w:rPr>
                <w:rFonts w:ascii="Arial" w:cs="Arial" w:eastAsia="Arial" w:hAnsi="Arial"/>
                <w:sz w:val="18"/>
                <w:szCs w:val="18"/>
                <w:color w:val="auto"/>
                <w:w w:val="99"/>
              </w:rPr>
              <w:t>Pre-modification</w:t>
            </w:r>
          </w:p>
        </w:tc>
        <w:tc>
          <w:tcPr>
            <w:tcW w:w="1500" w:type="dxa"/>
            <w:vAlign w:val="bottom"/>
            <w:gridSpan w:val="4"/>
          </w:tcPr>
          <w:p>
            <w:pPr>
              <w:ind w:left="100"/>
              <w:spacing w:after="0"/>
              <w:rPr>
                <w:sz w:val="20"/>
                <w:szCs w:val="20"/>
                <w:color w:val="auto"/>
              </w:rPr>
            </w:pPr>
            <w:r>
              <w:rPr>
                <w:rFonts w:ascii="Arial" w:cs="Arial" w:eastAsia="Arial" w:hAnsi="Arial"/>
                <w:sz w:val="18"/>
                <w:szCs w:val="18"/>
                <w:color w:val="auto"/>
                <w:w w:val="99"/>
              </w:rPr>
              <w:t>Post-modification</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Number of</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ind w:left="80"/>
              <w:spacing w:after="0"/>
              <w:rPr>
                <w:sz w:val="20"/>
                <w:szCs w:val="20"/>
                <w:color w:val="auto"/>
              </w:rPr>
            </w:pPr>
            <w:r>
              <w:rPr>
                <w:rFonts w:ascii="Arial" w:cs="Arial" w:eastAsia="Arial" w:hAnsi="Arial"/>
                <w:sz w:val="18"/>
                <w:szCs w:val="18"/>
                <w:color w:val="auto"/>
              </w:rPr>
              <w:t>Recorded</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ind w:left="100"/>
              <w:spacing w:after="0"/>
              <w:rPr>
                <w:sz w:val="20"/>
                <w:szCs w:val="20"/>
                <w:color w:val="auto"/>
              </w:rPr>
            </w:pPr>
            <w:r>
              <w:rPr>
                <w:rFonts w:ascii="Arial" w:cs="Arial" w:eastAsia="Arial" w:hAnsi="Arial"/>
                <w:sz w:val="18"/>
                <w:szCs w:val="18"/>
                <w:color w:val="auto"/>
              </w:rPr>
              <w:t>Recorded</w:t>
            </w:r>
          </w:p>
        </w:tc>
        <w:tc>
          <w:tcPr>
            <w:tcW w:w="0" w:type="dxa"/>
            <w:vAlign w:val="bottom"/>
          </w:tcPr>
          <w:p>
            <w:pPr>
              <w:spacing w:after="0"/>
              <w:rPr>
                <w:sz w:val="1"/>
                <w:szCs w:val="1"/>
                <w:color w:val="auto"/>
              </w:rPr>
            </w:pPr>
          </w:p>
        </w:tc>
      </w:tr>
      <w:tr>
        <w:trPr>
          <w:trHeight w:val="237"/>
        </w:trPr>
        <w:tc>
          <w:tcPr>
            <w:tcW w:w="438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1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Contracts</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Balance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Balance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380" w:type="dxa"/>
            <w:vAlign w:val="bottom"/>
            <w:vMerge w:val="restart"/>
          </w:tcPr>
          <w:p>
            <w:pPr>
              <w:spacing w:after="0"/>
              <w:rPr>
                <w:sz w:val="20"/>
                <w:szCs w:val="20"/>
                <w:color w:val="auto"/>
              </w:rPr>
            </w:pPr>
            <w:r>
              <w:rPr>
                <w:rFonts w:ascii="Arial" w:cs="Arial" w:eastAsia="Arial" w:hAnsi="Arial"/>
                <w:sz w:val="18"/>
                <w:szCs w:val="18"/>
                <w:color w:val="auto"/>
              </w:rPr>
              <w:t>2021</w:t>
            </w:r>
          </w:p>
        </w:tc>
        <w:tc>
          <w:tcPr>
            <w:tcW w:w="27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gridSpan w:val="5"/>
          </w:tcPr>
          <w:p>
            <w:pPr>
              <w:spacing w:after="0"/>
              <w:rPr>
                <w:sz w:val="20"/>
                <w:szCs w:val="20"/>
                <w:color w:val="auto"/>
              </w:rPr>
            </w:pPr>
            <w:r>
              <w:rPr>
                <w:rFonts w:ascii="Arial" w:cs="Arial" w:eastAsia="Arial" w:hAnsi="Arial"/>
                <w:sz w:val="18"/>
                <w:szCs w:val="18"/>
                <w:color w:val="auto"/>
                <w:w w:val="91"/>
              </w:rPr>
              <w:t>(Dollars in thousands)</w:t>
            </w: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4380" w:type="dxa"/>
            <w:vAlign w:val="bottom"/>
            <w:vMerge w:val="continue"/>
          </w:tcPr>
          <w:p>
            <w:pPr>
              <w:spacing w:after="0"/>
              <w:rPr>
                <w:sz w:val="16"/>
                <w:szCs w:val="16"/>
                <w:color w:val="auto"/>
              </w:rPr>
            </w:pPr>
          </w:p>
        </w:tc>
        <w:tc>
          <w:tcPr>
            <w:tcW w:w="27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380" w:type="dxa"/>
            <w:vAlign w:val="bottom"/>
          </w:tcPr>
          <w:p>
            <w:pPr>
              <w:ind w:left="140"/>
              <w:spacing w:after="0"/>
              <w:rPr>
                <w:sz w:val="20"/>
                <w:szCs w:val="20"/>
                <w:color w:val="auto"/>
              </w:rPr>
            </w:pPr>
            <w:r>
              <w:rPr>
                <w:rFonts w:ascii="Arial" w:cs="Arial" w:eastAsia="Arial" w:hAnsi="Arial"/>
                <w:sz w:val="18"/>
                <w:szCs w:val="18"/>
                <w:color w:val="auto"/>
              </w:rPr>
              <w:t>Commercial</w:t>
            </w:r>
          </w:p>
        </w:tc>
        <w:tc>
          <w:tcPr>
            <w:tcW w:w="27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and industrial</w:t>
            </w:r>
          </w:p>
        </w:tc>
        <w:tc>
          <w:tcPr>
            <w:tcW w:w="3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80" w:type="dxa"/>
            <w:vAlign w:val="bottom"/>
          </w:tcPr>
          <w:p>
            <w:pPr>
              <w:ind w:left="340"/>
              <w:spacing w:after="0"/>
              <w:rPr>
                <w:sz w:val="20"/>
                <w:szCs w:val="20"/>
                <w:color w:val="auto"/>
              </w:rPr>
            </w:pPr>
            <w:r>
              <w:rPr>
                <w:rFonts w:ascii="Arial" w:cs="Arial" w:eastAsia="Arial" w:hAnsi="Arial"/>
                <w:sz w:val="18"/>
                <w:szCs w:val="18"/>
                <w:color w:val="auto"/>
              </w:rPr>
              <w:t>Commercial real estate</w:t>
            </w:r>
          </w:p>
        </w:tc>
        <w:tc>
          <w:tcPr>
            <w:tcW w:w="3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Mortgage</w:t>
            </w:r>
          </w:p>
        </w:tc>
        <w:tc>
          <w:tcPr>
            <w:tcW w:w="27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ind w:left="340"/>
              <w:spacing w:after="0"/>
              <w:rPr>
                <w:sz w:val="20"/>
                <w:szCs w:val="20"/>
                <w:color w:val="auto"/>
              </w:rPr>
            </w:pPr>
            <w:r>
              <w:rPr>
                <w:rFonts w:ascii="Arial" w:cs="Arial" w:eastAsia="Arial" w:hAnsi="Arial"/>
                <w:sz w:val="18"/>
                <w:szCs w:val="18"/>
                <w:color w:val="auto"/>
              </w:rPr>
              <w:t>1-4 family owner occupied - jumbo</w:t>
            </w:r>
          </w:p>
        </w:tc>
        <w:tc>
          <w:tcPr>
            <w:tcW w:w="3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1-4 family owner occupied - non-jumbo</w:t>
            </w:r>
          </w:p>
        </w:tc>
        <w:tc>
          <w:tcPr>
            <w:tcW w:w="3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80" w:type="dxa"/>
            <w:vAlign w:val="bottom"/>
          </w:tcPr>
          <w:p>
            <w:pPr>
              <w:ind w:left="340"/>
              <w:spacing w:after="0"/>
              <w:rPr>
                <w:sz w:val="20"/>
                <w:szCs w:val="20"/>
                <w:color w:val="auto"/>
              </w:rPr>
            </w:pPr>
            <w:r>
              <w:rPr>
                <w:rFonts w:ascii="Arial" w:cs="Arial" w:eastAsia="Arial" w:hAnsi="Arial"/>
                <w:sz w:val="18"/>
                <w:szCs w:val="18"/>
                <w:color w:val="auto"/>
              </w:rPr>
              <w:t>1-4 family non-owner occupied</w:t>
            </w:r>
          </w:p>
        </w:tc>
        <w:tc>
          <w:tcPr>
            <w:tcW w:w="3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1-4 family - 2nd lien</w:t>
            </w:r>
          </w:p>
        </w:tc>
        <w:tc>
          <w:tcPr>
            <w:tcW w:w="3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80" w:type="dxa"/>
            <w:vAlign w:val="bottom"/>
          </w:tcPr>
          <w:p>
            <w:pPr>
              <w:ind w:left="340"/>
              <w:spacing w:after="0"/>
              <w:rPr>
                <w:sz w:val="20"/>
                <w:szCs w:val="20"/>
                <w:color w:val="auto"/>
              </w:rPr>
            </w:pPr>
            <w:r>
              <w:rPr>
                <w:rFonts w:ascii="Arial" w:cs="Arial" w:eastAsia="Arial" w:hAnsi="Arial"/>
                <w:sz w:val="18"/>
                <w:szCs w:val="18"/>
                <w:color w:val="auto"/>
              </w:rPr>
              <w:t>Resort lending</w:t>
            </w:r>
          </w:p>
        </w:tc>
        <w:tc>
          <w:tcPr>
            <w:tcW w:w="3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Installment</w:t>
            </w:r>
          </w:p>
        </w:tc>
        <w:tc>
          <w:tcPr>
            <w:tcW w:w="27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ind w:left="340"/>
              <w:spacing w:after="0"/>
              <w:rPr>
                <w:sz w:val="20"/>
                <w:szCs w:val="20"/>
                <w:color w:val="auto"/>
              </w:rPr>
            </w:pPr>
            <w:r>
              <w:rPr>
                <w:rFonts w:ascii="Arial" w:cs="Arial" w:eastAsia="Arial" w:hAnsi="Arial"/>
                <w:sz w:val="18"/>
                <w:szCs w:val="18"/>
                <w:color w:val="auto"/>
              </w:rPr>
              <w:t>Boat lending</w:t>
            </w:r>
          </w:p>
        </w:tc>
        <w:tc>
          <w:tcPr>
            <w:tcW w:w="3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Recreational vehicle lending</w:t>
            </w:r>
          </w:p>
        </w:tc>
        <w:tc>
          <w:tcPr>
            <w:tcW w:w="3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380" w:type="dxa"/>
            <w:vAlign w:val="bottom"/>
          </w:tcPr>
          <w:p>
            <w:pPr>
              <w:ind w:left="340"/>
              <w:spacing w:after="0"/>
              <w:rPr>
                <w:sz w:val="20"/>
                <w:szCs w:val="20"/>
                <w:color w:val="auto"/>
              </w:rPr>
            </w:pPr>
            <w:r>
              <w:rPr>
                <w:rFonts w:ascii="Arial" w:cs="Arial" w:eastAsia="Arial" w:hAnsi="Arial"/>
                <w:sz w:val="18"/>
                <w:szCs w:val="18"/>
                <w:color w:val="auto"/>
              </w:rPr>
              <w:t>Other</w:t>
            </w:r>
          </w:p>
        </w:tc>
        <w:tc>
          <w:tcPr>
            <w:tcW w:w="3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3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w:t>
            </w:r>
          </w:p>
        </w:tc>
        <w:tc>
          <w:tcPr>
            <w:tcW w:w="27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43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27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ind w:left="140"/>
              <w:spacing w:after="0"/>
              <w:rPr>
                <w:sz w:val="20"/>
                <w:szCs w:val="20"/>
                <w:color w:val="auto"/>
              </w:rPr>
            </w:pPr>
            <w:r>
              <w:rPr>
                <w:rFonts w:ascii="Arial" w:cs="Arial" w:eastAsia="Arial" w:hAnsi="Arial"/>
                <w:sz w:val="18"/>
                <w:szCs w:val="18"/>
                <w:color w:val="auto"/>
              </w:rPr>
              <w:t>Commercial</w:t>
            </w:r>
          </w:p>
        </w:tc>
        <w:tc>
          <w:tcPr>
            <w:tcW w:w="27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and industrial</w:t>
            </w:r>
          </w:p>
        </w:tc>
        <w:tc>
          <w:tcPr>
            <w:tcW w:w="3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1,108</w:t>
            </w: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1,108</w:t>
            </w:r>
          </w:p>
        </w:tc>
        <w:tc>
          <w:tcPr>
            <w:tcW w:w="0" w:type="dxa"/>
            <w:vAlign w:val="bottom"/>
          </w:tcPr>
          <w:p>
            <w:pPr>
              <w:spacing w:after="0"/>
              <w:rPr>
                <w:sz w:val="1"/>
                <w:szCs w:val="1"/>
                <w:color w:val="auto"/>
              </w:rPr>
            </w:pPr>
          </w:p>
        </w:tc>
      </w:tr>
      <w:tr>
        <w:trPr>
          <w:trHeight w:val="216"/>
        </w:trPr>
        <w:tc>
          <w:tcPr>
            <w:tcW w:w="4380" w:type="dxa"/>
            <w:vAlign w:val="bottom"/>
          </w:tcPr>
          <w:p>
            <w:pPr>
              <w:ind w:left="340"/>
              <w:spacing w:after="0"/>
              <w:rPr>
                <w:sz w:val="20"/>
                <w:szCs w:val="20"/>
                <w:color w:val="auto"/>
              </w:rPr>
            </w:pPr>
            <w:r>
              <w:rPr>
                <w:rFonts w:ascii="Arial" w:cs="Arial" w:eastAsia="Arial" w:hAnsi="Arial"/>
                <w:sz w:val="18"/>
                <w:szCs w:val="18"/>
                <w:color w:val="auto"/>
              </w:rPr>
              <w:t>Commercial real estate</w:t>
            </w:r>
          </w:p>
        </w:tc>
        <w:tc>
          <w:tcPr>
            <w:tcW w:w="382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5,835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5,835</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Mortgage</w:t>
            </w:r>
          </w:p>
        </w:tc>
        <w:tc>
          <w:tcPr>
            <w:tcW w:w="27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ind w:left="340"/>
              <w:spacing w:after="0"/>
              <w:rPr>
                <w:sz w:val="20"/>
                <w:szCs w:val="20"/>
                <w:color w:val="auto"/>
              </w:rPr>
            </w:pPr>
            <w:r>
              <w:rPr>
                <w:rFonts w:ascii="Arial" w:cs="Arial" w:eastAsia="Arial" w:hAnsi="Arial"/>
                <w:sz w:val="18"/>
                <w:szCs w:val="18"/>
                <w:color w:val="auto"/>
              </w:rPr>
              <w:t>1-4 family owner occupied - jumbo</w:t>
            </w:r>
          </w:p>
        </w:tc>
        <w:tc>
          <w:tcPr>
            <w:tcW w:w="3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1-4 family owner occupied - non-jumbo</w:t>
            </w:r>
          </w:p>
        </w:tc>
        <w:tc>
          <w:tcPr>
            <w:tcW w:w="3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4380" w:type="dxa"/>
            <w:vAlign w:val="bottom"/>
          </w:tcPr>
          <w:p>
            <w:pPr>
              <w:ind w:left="340"/>
              <w:spacing w:after="0"/>
              <w:rPr>
                <w:sz w:val="20"/>
                <w:szCs w:val="20"/>
                <w:color w:val="auto"/>
              </w:rPr>
            </w:pPr>
            <w:r>
              <w:rPr>
                <w:rFonts w:ascii="Arial" w:cs="Arial" w:eastAsia="Arial" w:hAnsi="Arial"/>
                <w:sz w:val="18"/>
                <w:szCs w:val="18"/>
                <w:color w:val="auto"/>
              </w:rPr>
              <w:t>1-4 family non-owner occupied</w:t>
            </w:r>
          </w:p>
        </w:tc>
        <w:tc>
          <w:tcPr>
            <w:tcW w:w="3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1-4 family - 2nd lien</w:t>
            </w:r>
          </w:p>
        </w:tc>
        <w:tc>
          <w:tcPr>
            <w:tcW w:w="3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4380" w:type="dxa"/>
            <w:vAlign w:val="bottom"/>
          </w:tcPr>
          <w:p>
            <w:pPr>
              <w:ind w:left="340"/>
              <w:spacing w:after="0"/>
              <w:rPr>
                <w:sz w:val="20"/>
                <w:szCs w:val="20"/>
                <w:color w:val="auto"/>
              </w:rPr>
            </w:pPr>
            <w:r>
              <w:rPr>
                <w:rFonts w:ascii="Arial" w:cs="Arial" w:eastAsia="Arial" w:hAnsi="Arial"/>
                <w:sz w:val="18"/>
                <w:szCs w:val="18"/>
                <w:color w:val="auto"/>
              </w:rPr>
              <w:t>Resort lending</w:t>
            </w:r>
          </w:p>
        </w:tc>
        <w:tc>
          <w:tcPr>
            <w:tcW w:w="3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Installment</w:t>
            </w:r>
          </w:p>
        </w:tc>
        <w:tc>
          <w:tcPr>
            <w:tcW w:w="27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ind w:left="340"/>
              <w:spacing w:after="0"/>
              <w:rPr>
                <w:sz w:val="20"/>
                <w:szCs w:val="20"/>
                <w:color w:val="auto"/>
              </w:rPr>
            </w:pPr>
            <w:r>
              <w:rPr>
                <w:rFonts w:ascii="Arial" w:cs="Arial" w:eastAsia="Arial" w:hAnsi="Arial"/>
                <w:sz w:val="18"/>
                <w:szCs w:val="18"/>
                <w:color w:val="auto"/>
              </w:rPr>
              <w:t>Boat lending</w:t>
            </w:r>
          </w:p>
        </w:tc>
        <w:tc>
          <w:tcPr>
            <w:tcW w:w="3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Recreational vehicle lending</w:t>
            </w:r>
          </w:p>
        </w:tc>
        <w:tc>
          <w:tcPr>
            <w:tcW w:w="3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380" w:type="dxa"/>
            <w:vAlign w:val="bottom"/>
          </w:tcPr>
          <w:p>
            <w:pPr>
              <w:ind w:left="340"/>
              <w:spacing w:after="0"/>
              <w:rPr>
                <w:sz w:val="20"/>
                <w:szCs w:val="20"/>
                <w:color w:val="auto"/>
              </w:rPr>
            </w:pPr>
            <w:r>
              <w:rPr>
                <w:rFonts w:ascii="Arial" w:cs="Arial" w:eastAsia="Arial" w:hAnsi="Arial"/>
                <w:sz w:val="18"/>
                <w:szCs w:val="18"/>
                <w:color w:val="auto"/>
              </w:rPr>
              <w:t>Other</w:t>
            </w:r>
          </w:p>
        </w:tc>
        <w:tc>
          <w:tcPr>
            <w:tcW w:w="3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43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w:t>
            </w:r>
          </w:p>
        </w:tc>
        <w:tc>
          <w:tcPr>
            <w:tcW w:w="27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7,042</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7,047</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642"/>
        </w:trPr>
        <w:tc>
          <w:tcPr>
            <w:tcW w:w="4380" w:type="dxa"/>
            <w:vAlign w:val="bottom"/>
          </w:tcPr>
          <w:p>
            <w:pPr>
              <w:spacing w:after="0"/>
              <w:rPr>
                <w:sz w:val="24"/>
                <w:szCs w:val="24"/>
                <w:color w:val="auto"/>
              </w:rPr>
            </w:pPr>
          </w:p>
        </w:tc>
        <w:tc>
          <w:tcPr>
            <w:tcW w:w="2720" w:type="dxa"/>
            <w:vAlign w:val="bottom"/>
          </w:tcPr>
          <w:p>
            <w:pPr>
              <w:jc w:val="right"/>
              <w:ind w:right="1290"/>
              <w:spacing w:after="0"/>
              <w:rPr>
                <w:sz w:val="20"/>
                <w:szCs w:val="20"/>
                <w:color w:val="auto"/>
              </w:rPr>
            </w:pPr>
            <w:r>
              <w:rPr>
                <w:rFonts w:ascii="Arial" w:cs="Arial" w:eastAsia="Arial" w:hAnsi="Arial"/>
                <w:sz w:val="18"/>
                <w:szCs w:val="18"/>
                <w:color w:val="auto"/>
              </w:rPr>
              <w:t>26</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4380" w:type="dxa"/>
            <w:vAlign w:val="bottom"/>
            <w:tcBorders>
              <w:bottom w:val="single" w:sz="8" w:color="auto"/>
            </w:tcBorders>
          </w:tcPr>
          <w:p>
            <w:pPr>
              <w:spacing w:after="0"/>
              <w:rPr>
                <w:sz w:val="5"/>
                <w:szCs w:val="5"/>
                <w:color w:val="auto"/>
              </w:rPr>
            </w:pPr>
          </w:p>
        </w:tc>
        <w:tc>
          <w:tcPr>
            <w:tcW w:w="272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27" w:name="page28"/>
    <w:bookmarkEnd w:id="2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00" w:type="dxa"/>
            <w:vAlign w:val="bottom"/>
          </w:tcPr>
          <w:p>
            <w:pPr>
              <w:spacing w:after="0"/>
              <w:rPr>
                <w:sz w:val="20"/>
                <w:szCs w:val="20"/>
                <w:color w:val="auto"/>
              </w:rPr>
            </w:pPr>
            <w:r>
              <w:rPr>
                <w:rFonts w:ascii="Arial" w:cs="Arial" w:eastAsia="Arial" w:hAnsi="Arial"/>
                <w:sz w:val="18"/>
                <w:szCs w:val="18"/>
                <w:color w:val="auto"/>
                <w:w w:val="95"/>
              </w:rPr>
              <w:t>Loans that have been classified as TDRs during the six-month periods ended June 30 follow:</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7100" w:type="dxa"/>
            <w:vAlign w:val="bottom"/>
          </w:tcPr>
          <w:p>
            <w:pPr>
              <w:spacing w:after="0"/>
              <w:rPr>
                <w:sz w:val="24"/>
                <w:szCs w:val="24"/>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Number of</w:t>
            </w:r>
          </w:p>
        </w:tc>
        <w:tc>
          <w:tcPr>
            <w:tcW w:w="1540" w:type="dxa"/>
            <w:vAlign w:val="bottom"/>
            <w:gridSpan w:val="4"/>
          </w:tcPr>
          <w:p>
            <w:pPr>
              <w:ind w:left="220"/>
              <w:spacing w:after="0"/>
              <w:rPr>
                <w:sz w:val="20"/>
                <w:szCs w:val="20"/>
                <w:color w:val="auto"/>
              </w:rPr>
            </w:pPr>
            <w:r>
              <w:rPr>
                <w:rFonts w:ascii="Arial" w:cs="Arial" w:eastAsia="Arial" w:hAnsi="Arial"/>
                <w:sz w:val="18"/>
                <w:szCs w:val="18"/>
                <w:color w:val="auto"/>
                <w:w w:val="99"/>
              </w:rPr>
              <w:t>Pre-modification</w:t>
            </w:r>
          </w:p>
        </w:tc>
        <w:tc>
          <w:tcPr>
            <w:tcW w:w="1500" w:type="dxa"/>
            <w:vAlign w:val="bottom"/>
            <w:gridSpan w:val="4"/>
          </w:tcPr>
          <w:p>
            <w:pPr>
              <w:ind w:left="100"/>
              <w:spacing w:after="0"/>
              <w:rPr>
                <w:sz w:val="20"/>
                <w:szCs w:val="20"/>
                <w:color w:val="auto"/>
              </w:rPr>
            </w:pPr>
            <w:r>
              <w:rPr>
                <w:rFonts w:ascii="Arial" w:cs="Arial" w:eastAsia="Arial" w:hAnsi="Arial"/>
                <w:sz w:val="18"/>
                <w:szCs w:val="18"/>
                <w:color w:val="auto"/>
                <w:w w:val="99"/>
              </w:rPr>
              <w:t>Post-modification</w:t>
            </w:r>
          </w:p>
        </w:tc>
        <w:tc>
          <w:tcPr>
            <w:tcW w:w="0" w:type="dxa"/>
            <w:vAlign w:val="bottom"/>
          </w:tcPr>
          <w:p>
            <w:pPr>
              <w:spacing w:after="0"/>
              <w:rPr>
                <w:sz w:val="1"/>
                <w:szCs w:val="1"/>
                <w:color w:val="auto"/>
              </w:rPr>
            </w:pPr>
          </w:p>
        </w:tc>
      </w:tr>
      <w:tr>
        <w:trPr>
          <w:trHeight w:val="237"/>
        </w:trPr>
        <w:tc>
          <w:tcPr>
            <w:tcW w:w="7100" w:type="dxa"/>
            <w:vAlign w:val="bottom"/>
          </w:tcPr>
          <w:p>
            <w:pPr>
              <w:spacing w:after="0"/>
              <w:rPr>
                <w:sz w:val="20"/>
                <w:szCs w:val="20"/>
                <w:color w:val="auto"/>
              </w:rPr>
            </w:pPr>
          </w:p>
        </w:tc>
        <w:tc>
          <w:tcPr>
            <w:tcW w:w="11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Contracts</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Balance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Balance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100" w:type="dxa"/>
            <w:vAlign w:val="bottom"/>
            <w:vMerge w:val="restart"/>
          </w:tcPr>
          <w:p>
            <w:pPr>
              <w:spacing w:after="0"/>
              <w:rPr>
                <w:sz w:val="20"/>
                <w:szCs w:val="20"/>
                <w:color w:val="auto"/>
              </w:rPr>
            </w:pPr>
            <w:r>
              <w:rPr>
                <w:rFonts w:ascii="Arial" w:cs="Arial" w:eastAsia="Arial" w:hAnsi="Arial"/>
                <w:sz w:val="18"/>
                <w:szCs w:val="18"/>
                <w:color w:val="auto"/>
              </w:rPr>
              <w:t>2021</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gridSpan w:val="5"/>
          </w:tcPr>
          <w:p>
            <w:pPr>
              <w:spacing w:after="0"/>
              <w:rPr>
                <w:sz w:val="20"/>
                <w:szCs w:val="20"/>
                <w:color w:val="auto"/>
              </w:rPr>
            </w:pPr>
            <w:r>
              <w:rPr>
                <w:rFonts w:ascii="Arial" w:cs="Arial" w:eastAsia="Arial" w:hAnsi="Arial"/>
                <w:sz w:val="18"/>
                <w:szCs w:val="18"/>
                <w:color w:val="auto"/>
                <w:w w:val="93"/>
              </w:rPr>
              <w:t>(Dollars in thousands)</w:t>
            </w: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7100" w:type="dxa"/>
            <w:vAlign w:val="bottom"/>
            <w:vMerge w:val="continue"/>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100" w:type="dxa"/>
            <w:vAlign w:val="bottom"/>
          </w:tcPr>
          <w:p>
            <w:pPr>
              <w:ind w:left="140"/>
              <w:spacing w:after="0"/>
              <w:rPr>
                <w:sz w:val="20"/>
                <w:szCs w:val="20"/>
                <w:color w:val="auto"/>
              </w:rPr>
            </w:pPr>
            <w:r>
              <w:rPr>
                <w:rFonts w:ascii="Arial" w:cs="Arial" w:eastAsia="Arial" w:hAnsi="Arial"/>
                <w:sz w:val="18"/>
                <w:szCs w:val="18"/>
                <w:color w:val="auto"/>
              </w:rPr>
              <w:t>Commercial</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and industrial</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00" w:type="dxa"/>
            <w:vAlign w:val="bottom"/>
          </w:tcPr>
          <w:p>
            <w:pPr>
              <w:ind w:left="340"/>
              <w:spacing w:after="0"/>
              <w:rPr>
                <w:sz w:val="20"/>
                <w:szCs w:val="20"/>
                <w:color w:val="auto"/>
              </w:rPr>
            </w:pPr>
            <w:r>
              <w:rPr>
                <w:rFonts w:ascii="Arial" w:cs="Arial" w:eastAsia="Arial" w:hAnsi="Arial"/>
                <w:sz w:val="18"/>
                <w:szCs w:val="18"/>
                <w:color w:val="auto"/>
              </w:rPr>
              <w:t>Commercial real estate</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Mortgage</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ind w:left="340"/>
              <w:spacing w:after="0"/>
              <w:rPr>
                <w:sz w:val="20"/>
                <w:szCs w:val="20"/>
                <w:color w:val="auto"/>
              </w:rPr>
            </w:pPr>
            <w:r>
              <w:rPr>
                <w:rFonts w:ascii="Arial" w:cs="Arial" w:eastAsia="Arial" w:hAnsi="Arial"/>
                <w:sz w:val="18"/>
                <w:szCs w:val="18"/>
                <w:color w:val="auto"/>
              </w:rPr>
              <w:t>1-4 family owner occupied - jumbo</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1-4 family owner occupied - non-jumbo</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00" w:type="dxa"/>
            <w:vAlign w:val="bottom"/>
          </w:tcPr>
          <w:p>
            <w:pPr>
              <w:ind w:left="340"/>
              <w:spacing w:after="0"/>
              <w:rPr>
                <w:sz w:val="20"/>
                <w:szCs w:val="20"/>
                <w:color w:val="auto"/>
              </w:rPr>
            </w:pPr>
            <w:r>
              <w:rPr>
                <w:rFonts w:ascii="Arial" w:cs="Arial" w:eastAsia="Arial" w:hAnsi="Arial"/>
                <w:sz w:val="18"/>
                <w:szCs w:val="18"/>
                <w:color w:val="auto"/>
              </w:rPr>
              <w:t>1-4 family non-owner occupied</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1-4 family - 2nd lien</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00" w:type="dxa"/>
            <w:vAlign w:val="bottom"/>
          </w:tcPr>
          <w:p>
            <w:pPr>
              <w:ind w:left="340"/>
              <w:spacing w:after="0"/>
              <w:rPr>
                <w:sz w:val="20"/>
                <w:szCs w:val="20"/>
                <w:color w:val="auto"/>
              </w:rPr>
            </w:pPr>
            <w:r>
              <w:rPr>
                <w:rFonts w:ascii="Arial" w:cs="Arial" w:eastAsia="Arial" w:hAnsi="Arial"/>
                <w:sz w:val="18"/>
                <w:szCs w:val="18"/>
                <w:color w:val="auto"/>
              </w:rPr>
              <w:t>Resort lending</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Installment</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ind w:left="340"/>
              <w:spacing w:after="0"/>
              <w:rPr>
                <w:sz w:val="20"/>
                <w:szCs w:val="20"/>
                <w:color w:val="auto"/>
              </w:rPr>
            </w:pPr>
            <w:r>
              <w:rPr>
                <w:rFonts w:ascii="Arial" w:cs="Arial" w:eastAsia="Arial" w:hAnsi="Arial"/>
                <w:sz w:val="18"/>
                <w:szCs w:val="18"/>
                <w:color w:val="auto"/>
              </w:rPr>
              <w:t>Boat lending</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Recreational vehicle lending</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100" w:type="dxa"/>
            <w:vAlign w:val="bottom"/>
          </w:tcPr>
          <w:p>
            <w:pPr>
              <w:ind w:left="340"/>
              <w:spacing w:after="0"/>
              <w:rPr>
                <w:sz w:val="20"/>
                <w:szCs w:val="20"/>
                <w:color w:val="auto"/>
              </w:rPr>
            </w:pPr>
            <w:r>
              <w:rPr>
                <w:rFonts w:ascii="Arial" w:cs="Arial" w:eastAsia="Arial" w:hAnsi="Arial"/>
                <w:sz w:val="18"/>
                <w:szCs w:val="18"/>
                <w:color w:val="auto"/>
              </w:rPr>
              <w:t>Other</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71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7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ind w:left="140"/>
              <w:spacing w:after="0"/>
              <w:rPr>
                <w:sz w:val="20"/>
                <w:szCs w:val="20"/>
                <w:color w:val="auto"/>
              </w:rPr>
            </w:pPr>
            <w:r>
              <w:rPr>
                <w:rFonts w:ascii="Arial" w:cs="Arial" w:eastAsia="Arial" w:hAnsi="Arial"/>
                <w:sz w:val="18"/>
                <w:szCs w:val="18"/>
                <w:color w:val="auto"/>
              </w:rPr>
              <w:t>Commercial</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and industrial</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1,207</w:t>
            </w:r>
          </w:p>
        </w:tc>
        <w:tc>
          <w:tcPr>
            <w:tcW w:w="3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1,207</w:t>
            </w:r>
          </w:p>
        </w:tc>
        <w:tc>
          <w:tcPr>
            <w:tcW w:w="0" w:type="dxa"/>
            <w:vAlign w:val="bottom"/>
          </w:tcPr>
          <w:p>
            <w:pPr>
              <w:spacing w:after="0"/>
              <w:rPr>
                <w:sz w:val="1"/>
                <w:szCs w:val="1"/>
                <w:color w:val="auto"/>
              </w:rPr>
            </w:pPr>
          </w:p>
        </w:tc>
      </w:tr>
      <w:tr>
        <w:trPr>
          <w:trHeight w:val="216"/>
        </w:trPr>
        <w:tc>
          <w:tcPr>
            <w:tcW w:w="7100" w:type="dxa"/>
            <w:vAlign w:val="bottom"/>
          </w:tcPr>
          <w:p>
            <w:pPr>
              <w:ind w:left="340"/>
              <w:spacing w:after="0"/>
              <w:rPr>
                <w:sz w:val="20"/>
                <w:szCs w:val="20"/>
                <w:color w:val="auto"/>
              </w:rPr>
            </w:pPr>
            <w:r>
              <w:rPr>
                <w:rFonts w:ascii="Arial" w:cs="Arial" w:eastAsia="Arial" w:hAnsi="Arial"/>
                <w:sz w:val="18"/>
                <w:szCs w:val="18"/>
                <w:color w:val="auto"/>
              </w:rPr>
              <w:t>Commercial real estate</w:t>
            </w:r>
          </w:p>
        </w:tc>
        <w:tc>
          <w:tcPr>
            <w:tcW w:w="1100" w:type="dxa"/>
            <w:vAlign w:val="bottom"/>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7,012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7,012</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Mortgage</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ind w:left="340"/>
              <w:spacing w:after="0"/>
              <w:rPr>
                <w:sz w:val="20"/>
                <w:szCs w:val="20"/>
                <w:color w:val="auto"/>
              </w:rPr>
            </w:pPr>
            <w:r>
              <w:rPr>
                <w:rFonts w:ascii="Arial" w:cs="Arial" w:eastAsia="Arial" w:hAnsi="Arial"/>
                <w:sz w:val="18"/>
                <w:szCs w:val="18"/>
                <w:color w:val="auto"/>
              </w:rPr>
              <w:t>1-4 family owner occupied - jumbo</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1-4 family owner occupied - non-jumbo</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7100" w:type="dxa"/>
            <w:vAlign w:val="bottom"/>
          </w:tcPr>
          <w:p>
            <w:pPr>
              <w:ind w:left="340"/>
              <w:spacing w:after="0"/>
              <w:rPr>
                <w:sz w:val="20"/>
                <w:szCs w:val="20"/>
                <w:color w:val="auto"/>
              </w:rPr>
            </w:pPr>
            <w:r>
              <w:rPr>
                <w:rFonts w:ascii="Arial" w:cs="Arial" w:eastAsia="Arial" w:hAnsi="Arial"/>
                <w:sz w:val="18"/>
                <w:szCs w:val="18"/>
                <w:color w:val="auto"/>
              </w:rPr>
              <w:t>1-4 family non-owner occupied</w:t>
            </w: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1-4 family - 2nd lien</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7100" w:type="dxa"/>
            <w:vAlign w:val="bottom"/>
          </w:tcPr>
          <w:p>
            <w:pPr>
              <w:ind w:left="340"/>
              <w:spacing w:after="0"/>
              <w:rPr>
                <w:sz w:val="20"/>
                <w:szCs w:val="20"/>
                <w:color w:val="auto"/>
              </w:rPr>
            </w:pPr>
            <w:r>
              <w:rPr>
                <w:rFonts w:ascii="Arial" w:cs="Arial" w:eastAsia="Arial" w:hAnsi="Arial"/>
                <w:sz w:val="18"/>
                <w:szCs w:val="18"/>
                <w:color w:val="auto"/>
              </w:rPr>
              <w:t>Resort lending</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Installment</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ind w:left="340"/>
              <w:spacing w:after="0"/>
              <w:rPr>
                <w:sz w:val="20"/>
                <w:szCs w:val="20"/>
                <w:color w:val="auto"/>
              </w:rPr>
            </w:pPr>
            <w:r>
              <w:rPr>
                <w:rFonts w:ascii="Arial" w:cs="Arial" w:eastAsia="Arial" w:hAnsi="Arial"/>
                <w:sz w:val="18"/>
                <w:szCs w:val="18"/>
                <w:color w:val="auto"/>
              </w:rPr>
              <w:t>Boat lending</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Recreational vehicle lending</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100" w:type="dxa"/>
            <w:vAlign w:val="bottom"/>
          </w:tcPr>
          <w:p>
            <w:pPr>
              <w:ind w:left="340"/>
              <w:spacing w:after="0"/>
              <w:rPr>
                <w:sz w:val="20"/>
                <w:szCs w:val="20"/>
                <w:color w:val="auto"/>
              </w:rPr>
            </w:pPr>
            <w:r>
              <w:rPr>
                <w:rFonts w:ascii="Arial" w:cs="Arial" w:eastAsia="Arial" w:hAnsi="Arial"/>
                <w:sz w:val="18"/>
                <w:szCs w:val="18"/>
                <w:color w:val="auto"/>
              </w:rPr>
              <w:t>Other</w:t>
            </w: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56"/>
        </w:trPr>
        <w:tc>
          <w:tcPr>
            <w:tcW w:w="71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8,459</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8,469</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TDR modifications in 2021 and consequently no impact on the allowance for credit losses and no charge offs during the three- or six months ended June 30, 2021.</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TDR modifications described above for 2020 decreased the allowance for credit losses by $0.02 million and resulted in zero charge offs during the three months ended June 30, 2020, and increased the allowance for credit losses by $0.20 million and resulted in zero charge offs during the six months ended June 30, 2020.</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no TDRs that subsequently defaulted within twelve months following the modification during the three and six months periods ended June 30, 2021 and 2020.</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A loan is considered to be in payment default generally once it is 90 days contractually past due under the modified terms.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order to determine whether a borrower is experiencing financial difficulty, we perform an evaluation of the probability that the borrower will be in payment default on any of its debt in the foreseeable future without the modification. This evaluation is performed under our internal underwriting policy.</w:t>
      </w:r>
    </w:p>
    <w:p>
      <w:pPr>
        <w:spacing w:after="0" w:line="14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b w:val="1"/>
          <w:bCs w:val="1"/>
          <w:color w:val="auto"/>
        </w:rPr>
        <w:t xml:space="preserve">Non-TDR Loan Modifications and Paycheck Protection Program (“PPP”) due to COVID-19 - </w:t>
      </w:r>
      <w:r>
        <w:rPr>
          <w:rFonts w:ascii="Arial" w:cs="Arial" w:eastAsia="Arial" w:hAnsi="Arial"/>
          <w:sz w:val="17"/>
          <w:szCs w:val="17"/>
          <w:color w:val="auto"/>
        </w:rPr>
        <w:t>On March 22, 2020, the federal banking agencies</w:t>
      </w:r>
      <w:r>
        <w:rPr>
          <w:rFonts w:ascii="Arial" w:cs="Arial" w:eastAsia="Arial" w:hAnsi="Arial"/>
          <w:sz w:val="17"/>
          <w:szCs w:val="17"/>
          <w:b w:val="1"/>
          <w:bCs w:val="1"/>
          <w:color w:val="auto"/>
        </w:rPr>
        <w:t xml:space="preserve"> </w:t>
      </w:r>
      <w:r>
        <w:rPr>
          <w:rFonts w:ascii="Arial" w:cs="Arial" w:eastAsia="Arial" w:hAnsi="Arial"/>
          <w:sz w:val="17"/>
          <w:szCs w:val="17"/>
          <w:color w:val="auto"/>
        </w:rPr>
        <w:t>issued an “Interagency Statement on Loan Modifications and Reporting for Financial Institutions Working with Customers Affected by the Coronavirus”. This guidance encourages financial institutions to work prudently with borrowers that may be unable to meet their contractual obligations because of the effects of COVID-19. The guidance goes on to explain that in consultation with the Financial Accounting Standards Board staff that the federal banking agencies conclude that short-term modifications (e.g. six months or less) made on a good faith basis to borrowers who were current (less than 30 days past due) as of the implementation date of a relief program are not TDRs. In addition, on March 27, 2020, the CARES Act was signed into law. Section 4013 of the CARES Act also addressed COVID-19 related modifications and specified that COVID-19 related modifications on loans that were current (less than 30 days past due) as of December 31, 2019 are not TDRs. We are assisting both commercial and retail (mortgage and installment) borrowers with reduced or suspended payments. Commercial loan accommodations are typically a three month interest-only period while retail loan (mortgage and installment) forbearances have primarily been payment suspensions for three months. For loans subject to these forbearance agreements each borrower is required to resume making regularly scheduled loan payments at the end of the forbearance period. The deferred principal and interest will be repaid based upon individualized agreements. Options for repayment include separate repayment plans, extending the term of the loan or re-amortizing the loan based upon the affordability of the payment in relationship to a reduced income. While some borrowers may elect to make a lump sum payment, we anticipate the majority will require some type of repayment plan. During the forbearance period, the loan will not be reported as past due in keeping with the guidance discussed previously.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A summary of accommodations entered into under this guidance as of June 30, 2021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gridSpan w:val="2"/>
          </w:tcPr>
          <w:p>
            <w:pPr>
              <w:spacing w:after="0"/>
              <w:rPr>
                <w:sz w:val="20"/>
                <w:szCs w:val="20"/>
                <w:color w:val="auto"/>
              </w:rPr>
            </w:pPr>
            <w:r>
              <w:rPr>
                <w:rFonts w:ascii="Arial" w:cs="Arial" w:eastAsia="Arial" w:hAnsi="Arial"/>
                <w:sz w:val="18"/>
                <w:szCs w:val="18"/>
                <w:b w:val="1"/>
                <w:bCs w:val="1"/>
                <w:color w:val="auto"/>
              </w:rPr>
              <w:t>Commercial and Retail Loan COVID-19 Accomodations</w:t>
            </w: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66"/>
        </w:trPr>
        <w:tc>
          <w:tcPr>
            <w:tcW w:w="5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60" w:type="dxa"/>
            <w:vAlign w:val="bottom"/>
            <w:gridSpan w:val="5"/>
          </w:tcPr>
          <w:p>
            <w:pPr>
              <w:ind w:left="260"/>
              <w:spacing w:after="0"/>
              <w:rPr>
                <w:sz w:val="20"/>
                <w:szCs w:val="20"/>
                <w:color w:val="auto"/>
              </w:rPr>
            </w:pPr>
            <w:r>
              <w:rPr>
                <w:rFonts w:ascii="Arial" w:cs="Arial" w:eastAsia="Arial" w:hAnsi="Arial"/>
                <w:sz w:val="18"/>
                <w:szCs w:val="18"/>
                <w:b w:val="1"/>
                <w:bCs w:val="1"/>
                <w:color w:val="auto"/>
              </w:rPr>
              <w:t>Covid-19 Accomodations</w:t>
            </w:r>
          </w:p>
        </w:tc>
        <w:tc>
          <w:tcPr>
            <w:tcW w:w="220" w:type="dxa"/>
            <w:vAlign w:val="bottom"/>
          </w:tcPr>
          <w:p>
            <w:pPr>
              <w:spacing w:after="0"/>
              <w:rPr>
                <w:sz w:val="24"/>
                <w:szCs w:val="24"/>
                <w:color w:val="auto"/>
              </w:rPr>
            </w:pPr>
          </w:p>
        </w:tc>
        <w:tc>
          <w:tcPr>
            <w:tcW w:w="112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12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5"/>
              </w:rPr>
              <w:t>% of Total</w:t>
            </w:r>
          </w:p>
        </w:tc>
      </w:tr>
      <w:tr>
        <w:trPr>
          <w:trHeight w:val="223"/>
        </w:trPr>
        <w:tc>
          <w:tcPr>
            <w:tcW w:w="5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Loan Category</w:t>
            </w:r>
          </w:p>
        </w:tc>
        <w:tc>
          <w:tcPr>
            <w:tcW w:w="12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Loans (#)</w:t>
            </w:r>
          </w:p>
        </w:tc>
        <w:tc>
          <w:tcPr>
            <w:tcW w:w="200" w:type="dxa"/>
            <w:vAlign w:val="bottom"/>
            <w:tcBorders>
              <w:top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4"/>
              </w:rPr>
              <w:t>Loans ($)</w:t>
            </w: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Loans</w:t>
            </w:r>
          </w:p>
        </w:tc>
        <w:tc>
          <w:tcPr>
            <w:tcW w:w="220" w:type="dxa"/>
            <w:vAlign w:val="bottom"/>
          </w:tcPr>
          <w:p>
            <w:pPr>
              <w:spacing w:after="0"/>
              <w:rPr>
                <w:sz w:val="19"/>
                <w:szCs w:val="19"/>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Loans</w:t>
            </w:r>
          </w:p>
        </w:tc>
        <w:tc>
          <w:tcPr>
            <w:tcW w:w="160" w:type="dxa"/>
            <w:vAlign w:val="bottom"/>
          </w:tcPr>
          <w:p>
            <w:pPr>
              <w:spacing w:after="0"/>
              <w:rPr>
                <w:sz w:val="19"/>
                <w:szCs w:val="19"/>
                <w:color w:val="auto"/>
              </w:rPr>
            </w:pP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20" w:type="dxa"/>
            <w:vAlign w:val="bottom"/>
            <w:gridSpan w:val="5"/>
          </w:tcPr>
          <w:p>
            <w:pPr>
              <w:ind w:left="240"/>
              <w:spacing w:after="0"/>
              <w:rPr>
                <w:sz w:val="20"/>
                <w:szCs w:val="20"/>
                <w:color w:val="auto"/>
              </w:rPr>
            </w:pPr>
            <w:r>
              <w:rPr>
                <w:rFonts w:ascii="Arial" w:cs="Arial" w:eastAsia="Arial" w:hAnsi="Arial"/>
                <w:sz w:val="18"/>
                <w:szCs w:val="18"/>
                <w:b w:val="1"/>
                <w:bCs w:val="1"/>
                <w:color w:val="auto"/>
              </w:rPr>
              <w:t>(Dollars in thousands)</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1,244,547</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w:t>
            </w: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Mortgage</w:t>
            </w:r>
          </w:p>
        </w:tc>
        <w:tc>
          <w:tcPr>
            <w:tcW w:w="1140" w:type="dxa"/>
            <w:vAlign w:val="bottom"/>
          </w:tcPr>
          <w:p>
            <w:pPr>
              <w:jc w:val="right"/>
              <w:spacing w:after="0"/>
              <w:rPr>
                <w:sz w:val="20"/>
                <w:szCs w:val="20"/>
                <w:color w:val="auto"/>
              </w:rPr>
            </w:pPr>
            <w:r>
              <w:rPr>
                <w:rFonts w:ascii="Arial" w:cs="Arial" w:eastAsia="Arial" w:hAnsi="Arial"/>
                <w:sz w:val="18"/>
                <w:szCs w:val="18"/>
                <w:color w:val="auto"/>
              </w:rPr>
              <w:t>82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12,416</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1,045,108</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Installment</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524,904</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w:t>
            </w:r>
          </w:p>
        </w:tc>
      </w:tr>
      <w:tr>
        <w:trPr>
          <w:trHeight w:val="27"/>
        </w:trPr>
        <w:tc>
          <w:tcPr>
            <w:tcW w:w="5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Total</w:t>
            </w:r>
          </w:p>
        </w:tc>
        <w:tc>
          <w:tcPr>
            <w:tcW w:w="1140" w:type="dxa"/>
            <w:vAlign w:val="bottom"/>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12,743</w:t>
            </w:r>
          </w:p>
        </w:tc>
        <w:tc>
          <w:tcPr>
            <w:tcW w:w="2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2,814,559</w:t>
            </w:r>
          </w:p>
        </w:tc>
        <w:tc>
          <w:tcPr>
            <w:tcW w:w="2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0.5%</w:t>
            </w:r>
          </w:p>
        </w:tc>
      </w:tr>
      <w:tr>
        <w:trPr>
          <w:trHeight w:val="20"/>
        </w:trPr>
        <w:tc>
          <w:tcPr>
            <w:tcW w:w="5980" w:type="dxa"/>
            <w:vAlign w:val="bottom"/>
            <w:gridSpan w:val="2"/>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0"/>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Mortgage loans serviced for others(1)</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20,231</w:t>
            </w: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3,142,812</w:t>
            </w:r>
          </w:p>
        </w:tc>
        <w:tc>
          <w:tcPr>
            <w:tcW w:w="2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0.6%</w:t>
            </w:r>
          </w:p>
        </w:tc>
      </w:tr>
      <w:tr>
        <w:trPr>
          <w:trHeight w:val="20"/>
        </w:trPr>
        <w:tc>
          <w:tcPr>
            <w:tcW w:w="58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ind w:left="5540" w:right="4720" w:hanging="5532"/>
        <w:spacing w:after="0" w:line="838" w:lineRule="auto"/>
        <w:tabs>
          <w:tab w:leader="none" w:pos="338" w:val="left"/>
        </w:tabs>
        <w:numPr>
          <w:ilvl w:val="0"/>
          <w:numId w:val="18"/>
        </w:numPr>
        <w:rPr>
          <w:rFonts w:ascii="Arial" w:cs="Arial" w:eastAsia="Arial" w:hAnsi="Arial"/>
          <w:sz w:val="17"/>
          <w:szCs w:val="17"/>
          <w:color w:val="auto"/>
        </w:rPr>
      </w:pPr>
      <w:r>
        <w:rPr>
          <w:rFonts w:ascii="Arial" w:cs="Arial" w:eastAsia="Arial" w:hAnsi="Arial"/>
          <w:sz w:val="17"/>
          <w:szCs w:val="17"/>
          <w:color w:val="auto"/>
        </w:rPr>
        <w:t>We have delegated authority from all investors to grant these deferrals on their behalf.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560" w:type="dxa"/>
            <w:vAlign w:val="bottom"/>
          </w:tcPr>
          <w:p>
            <w:pPr>
              <w:spacing w:after="0"/>
              <w:rPr>
                <w:sz w:val="20"/>
                <w:szCs w:val="20"/>
                <w:color w:val="auto"/>
              </w:rPr>
            </w:pPr>
            <w:r>
              <w:rPr>
                <w:rFonts w:ascii="Arial" w:cs="Arial" w:eastAsia="Arial" w:hAnsi="Arial"/>
                <w:sz w:val="18"/>
                <w:szCs w:val="18"/>
                <w:color w:val="auto"/>
              </w:rPr>
              <w:t>Information on subsequent accommodation extensions follows:</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8560" w:type="dxa"/>
            <w:vAlign w:val="bottom"/>
          </w:tcPr>
          <w:p>
            <w:pPr>
              <w:spacing w:after="0"/>
              <w:rPr>
                <w:sz w:val="20"/>
                <w:szCs w:val="20"/>
                <w:color w:val="auto"/>
              </w:rPr>
            </w:pPr>
            <w:r>
              <w:rPr>
                <w:rFonts w:ascii="Arial" w:cs="Arial" w:eastAsia="Arial" w:hAnsi="Arial"/>
                <w:sz w:val="18"/>
                <w:szCs w:val="18"/>
                <w:b w:val="1"/>
                <w:bCs w:val="1"/>
                <w:color w:val="auto"/>
              </w:rPr>
              <w:t>Commercial and Retail Loan COVID-19 Subsequent Accomodations (1)</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6"/>
        </w:trPr>
        <w:tc>
          <w:tcPr>
            <w:tcW w:w="8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Loan Category</w:t>
            </w:r>
          </w:p>
        </w:tc>
        <w:tc>
          <w:tcPr>
            <w:tcW w:w="120" w:type="dxa"/>
            <w:vAlign w:val="bottom"/>
          </w:tcPr>
          <w:p>
            <w:pPr>
              <w:spacing w:after="0"/>
              <w:rPr>
                <w:sz w:val="24"/>
                <w:szCs w:val="24"/>
                <w:color w:val="auto"/>
              </w:rPr>
            </w:pPr>
          </w:p>
        </w:tc>
        <w:tc>
          <w:tcPr>
            <w:tcW w:w="11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Loans (#)</w:t>
            </w:r>
          </w:p>
        </w:tc>
        <w:tc>
          <w:tcPr>
            <w:tcW w:w="2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4"/>
              </w:rPr>
              <w:t>Loans ($)</w:t>
            </w:r>
          </w:p>
        </w:tc>
        <w:tc>
          <w:tcPr>
            <w:tcW w:w="100" w:type="dxa"/>
            <w:vAlign w:val="bottom"/>
          </w:tcPr>
          <w:p>
            <w:pPr>
              <w:spacing w:after="0"/>
              <w:rPr>
                <w:sz w:val="24"/>
                <w:szCs w:val="24"/>
                <w:color w:val="auto"/>
              </w:rPr>
            </w:pP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60" w:type="dxa"/>
            <w:vAlign w:val="bottom"/>
            <w:gridSpan w:val="5"/>
          </w:tcPr>
          <w:p>
            <w:pPr>
              <w:ind w:left="380"/>
              <w:spacing w:after="0"/>
              <w:rPr>
                <w:sz w:val="20"/>
                <w:szCs w:val="20"/>
                <w:color w:val="auto"/>
              </w:rPr>
            </w:pPr>
            <w:r>
              <w:rPr>
                <w:rFonts w:ascii="Arial" w:cs="Arial" w:eastAsia="Arial" w:hAnsi="Arial"/>
                <w:sz w:val="18"/>
                <w:szCs w:val="18"/>
                <w:b w:val="1"/>
                <w:bCs w:val="1"/>
                <w:color w:val="auto"/>
              </w:rPr>
              <w:t>(Dollars in thousands)</w:t>
            </w:r>
          </w:p>
        </w:tc>
      </w:tr>
      <w:tr>
        <w:trPr>
          <w:trHeight w:val="216"/>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560" w:type="dxa"/>
            <w:vAlign w:val="bottom"/>
          </w:tcPr>
          <w:p>
            <w:pPr>
              <w:spacing w:after="0"/>
              <w:rPr>
                <w:sz w:val="20"/>
                <w:szCs w:val="20"/>
                <w:color w:val="auto"/>
              </w:rPr>
            </w:pPr>
            <w:r>
              <w:rPr>
                <w:rFonts w:ascii="Arial" w:cs="Arial" w:eastAsia="Arial" w:hAnsi="Arial"/>
                <w:sz w:val="18"/>
                <w:szCs w:val="18"/>
                <w:color w:val="auto"/>
              </w:rPr>
              <w:t>Mortgage</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65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8,157</w:t>
            </w:r>
          </w:p>
        </w:tc>
      </w:tr>
      <w:tr>
        <w:trPr>
          <w:trHeight w:val="223"/>
        </w:trPr>
        <w:tc>
          <w:tcPr>
            <w:tcW w:w="8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Installment</w:t>
            </w:r>
          </w:p>
        </w:tc>
        <w:tc>
          <w:tcPr>
            <w:tcW w:w="1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560" w:type="dxa"/>
            <w:vAlign w:val="bottom"/>
          </w:tcPr>
          <w:p>
            <w:pPr>
              <w:spacing w:after="0"/>
              <w:rPr>
                <w:sz w:val="20"/>
                <w:szCs w:val="20"/>
                <w:color w:val="auto"/>
              </w:rPr>
            </w:pPr>
            <w:r>
              <w:rPr>
                <w:rFonts w:ascii="Arial" w:cs="Arial" w:eastAsia="Arial" w:hAnsi="Arial"/>
                <w:sz w:val="18"/>
                <w:szCs w:val="18"/>
                <w:color w:val="auto"/>
              </w:rPr>
              <w:t>Total</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79</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8,446</w:t>
            </w:r>
          </w:p>
        </w:tc>
      </w:tr>
      <w:tr>
        <w:trPr>
          <w:trHeight w:val="20"/>
        </w:trPr>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Subsequent accommodations are extensions of the original accommodations that were given as summarized in the paragraph above.</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CARES Act also included an initial $349 billion loan program administered through the U.S. Small Business Administration (“SBA”) referred to as the PPP. Under the PPP, small businesses and other entities and individuals could apply for loans from existing SBA lenders and other approved regulated lenders that enrolled in the program, subject to numerous limitations and eligibility criteria. We are participating as a lender in the PPP. The PPP opened on April 3, 2020 intending to provide American small businesses with eight weeks of cash-flow assistance through 100 percent federally guaranteed loans through the SBA. In late April 2020 the Paycheck Protection Program and Health Care Enhancement Act, added another $310 billion in funding while the Paycheck Protection Program Flexibility Act made certain changes to the program, by allowing for more time to spend the funds, and making it easier to get a loan fully forgiven. The PPP initially closed on August 8, 2020 (“Round 1”). On December 27, 2020, the Economic Aid to Hard-Hit Small Businesses, Nonprofits, and Venues Act (‘‘Economic Aid Act’’) was signed into law which allocated an additional $284 billion in funding for the PPP (“Round 2”). The Economic Aid Act reopened the PPP through March 31, 2021 with generally the same terms and conditions as originally enacted under the CARES Act while clarifying eligibility and ineligibility for certain entities and expanding the permitted uses of PPP funds. In addition, the Economic Aid Act simplified the loan forgiveness process for PPP loans of $150,000 or less. The Economic Aid Act also established second draw loans for entities that had already used the initial PPP funds, subject to numerous limitations and eligibility criteria. PPP Round 2 loans are eligible for forgiveness similar to Round 1 PPP loans, subject to limitations set forth in the Economic Aid Act. Round 2 closed on May 31, 2021.</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80" w:type="dxa"/>
            <w:vAlign w:val="bottom"/>
          </w:tcPr>
          <w:p>
            <w:pPr>
              <w:spacing w:after="0"/>
              <w:rPr>
                <w:sz w:val="20"/>
                <w:szCs w:val="20"/>
                <w:color w:val="auto"/>
              </w:rPr>
            </w:pPr>
            <w:r>
              <w:rPr>
                <w:rFonts w:ascii="Arial" w:cs="Arial" w:eastAsia="Arial" w:hAnsi="Arial"/>
                <w:sz w:val="18"/>
                <w:szCs w:val="18"/>
                <w:color w:val="auto"/>
              </w:rPr>
              <w:t>The following table summarizes PPP loans outstanding:</w:t>
            </w:r>
          </w:p>
        </w:tc>
        <w:tc>
          <w:tcPr>
            <w:tcW w:w="1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4780" w:type="dxa"/>
            <w:vAlign w:val="bottom"/>
          </w:tcPr>
          <w:p>
            <w:pPr>
              <w:spacing w:after="0"/>
              <w:rPr>
                <w:sz w:val="20"/>
                <w:szCs w:val="20"/>
                <w:color w:val="auto"/>
              </w:rPr>
            </w:pPr>
            <w:r>
              <w:rPr>
                <w:rFonts w:ascii="Arial" w:cs="Arial" w:eastAsia="Arial" w:hAnsi="Arial"/>
                <w:sz w:val="18"/>
                <w:szCs w:val="18"/>
                <w:b w:val="1"/>
                <w:bCs w:val="1"/>
                <w:color w:val="auto"/>
              </w:rPr>
              <w:t>Paycheck Protection Program</w:t>
            </w:r>
          </w:p>
        </w:tc>
        <w:tc>
          <w:tcPr>
            <w:tcW w:w="1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47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720" w:type="dxa"/>
            <w:vAlign w:val="bottom"/>
            <w:gridSpan w:val="5"/>
          </w:tcPr>
          <w:p>
            <w:pPr>
              <w:jc w:val="right"/>
              <w:ind w:right="740"/>
              <w:spacing w:after="0"/>
              <w:rPr>
                <w:sz w:val="20"/>
                <w:szCs w:val="20"/>
                <w:color w:val="auto"/>
              </w:rPr>
            </w:pPr>
            <w:r>
              <w:rPr>
                <w:rFonts w:ascii="Arial" w:cs="Arial" w:eastAsia="Arial" w:hAnsi="Arial"/>
                <w:sz w:val="18"/>
                <w:szCs w:val="18"/>
                <w:color w:val="auto"/>
              </w:rPr>
              <w:t>As of June 30, 2021</w:t>
            </w:r>
          </w:p>
        </w:tc>
        <w:tc>
          <w:tcPr>
            <w:tcW w:w="2540" w:type="dxa"/>
            <w:vAlign w:val="bottom"/>
            <w:gridSpan w:val="5"/>
          </w:tcPr>
          <w:p>
            <w:pPr>
              <w:jc w:val="center"/>
              <w:ind w:right="100"/>
              <w:spacing w:after="0"/>
              <w:rPr>
                <w:sz w:val="20"/>
                <w:szCs w:val="20"/>
                <w:color w:val="auto"/>
              </w:rPr>
            </w:pPr>
            <w:r>
              <w:rPr>
                <w:rFonts w:ascii="Arial" w:cs="Arial" w:eastAsia="Arial" w:hAnsi="Arial"/>
                <w:sz w:val="18"/>
                <w:szCs w:val="18"/>
                <w:color w:val="auto"/>
                <w:w w:val="90"/>
              </w:rPr>
              <w:t>As of December 31, 2020</w:t>
            </w:r>
          </w:p>
        </w:tc>
        <w:tc>
          <w:tcPr>
            <w:tcW w:w="0" w:type="dxa"/>
            <w:vAlign w:val="bottom"/>
          </w:tcPr>
          <w:p>
            <w:pPr>
              <w:spacing w:after="0"/>
              <w:rPr>
                <w:sz w:val="1"/>
                <w:szCs w:val="1"/>
                <w:color w:val="auto"/>
              </w:rPr>
            </w:pPr>
          </w:p>
        </w:tc>
      </w:tr>
      <w:tr>
        <w:trPr>
          <w:trHeight w:val="223"/>
        </w:trPr>
        <w:tc>
          <w:tcPr>
            <w:tcW w:w="47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Amount (#)</w:t>
            </w:r>
          </w:p>
        </w:tc>
        <w:tc>
          <w:tcPr>
            <w:tcW w:w="26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Amount</w:t>
            </w:r>
          </w:p>
        </w:tc>
        <w:tc>
          <w:tcPr>
            <w:tcW w:w="22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Amount (#)</w:t>
            </w:r>
          </w:p>
        </w:tc>
        <w:tc>
          <w:tcPr>
            <w:tcW w:w="22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Amount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720" w:type="dxa"/>
            <w:vAlign w:val="bottom"/>
            <w:gridSpan w:val="5"/>
          </w:tcPr>
          <w:p>
            <w:pPr>
              <w:jc w:val="right"/>
              <w:ind w:right="660"/>
              <w:spacing w:after="0"/>
              <w:rPr>
                <w:sz w:val="20"/>
                <w:szCs w:val="20"/>
                <w:color w:val="auto"/>
              </w:rPr>
            </w:pPr>
            <w:r>
              <w:rPr>
                <w:rFonts w:ascii="Arial" w:cs="Arial" w:eastAsia="Arial" w:hAnsi="Arial"/>
                <w:sz w:val="18"/>
                <w:szCs w:val="18"/>
                <w:color w:val="auto"/>
              </w:rPr>
              <w:t>(Dollars in thousands)</w:t>
            </w:r>
          </w:p>
        </w:tc>
        <w:tc>
          <w:tcPr>
            <w:tcW w:w="2540" w:type="dxa"/>
            <w:vAlign w:val="bottom"/>
            <w:gridSpan w:val="5"/>
          </w:tcPr>
          <w:p>
            <w:pPr>
              <w:jc w:val="center"/>
              <w:ind w:right="100"/>
              <w:spacing w:after="0"/>
              <w:rPr>
                <w:sz w:val="20"/>
                <w:szCs w:val="20"/>
                <w:color w:val="auto"/>
              </w:rPr>
            </w:pPr>
            <w:r>
              <w:rPr>
                <w:rFonts w:ascii="Arial" w:cs="Arial" w:eastAsia="Arial" w:hAnsi="Arial"/>
                <w:sz w:val="18"/>
                <w:szCs w:val="18"/>
                <w:color w:val="auto"/>
                <w:w w:val="91"/>
              </w:rPr>
              <w:t>(Dollars in thousands)</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Closed and outstanding - Round 1 loans</w:t>
            </w:r>
          </w:p>
        </w:tc>
        <w:tc>
          <w:tcPr>
            <w:tcW w:w="25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298</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42,315</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1,483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169,782</w:t>
            </w:r>
          </w:p>
        </w:tc>
        <w:tc>
          <w:tcPr>
            <w:tcW w:w="0" w:type="dxa"/>
            <w:vAlign w:val="bottom"/>
          </w:tcPr>
          <w:p>
            <w:pPr>
              <w:spacing w:after="0"/>
              <w:rPr>
                <w:sz w:val="1"/>
                <w:szCs w:val="1"/>
                <w:color w:val="auto"/>
              </w:rPr>
            </w:pPr>
          </w:p>
        </w:tc>
      </w:tr>
      <w:tr>
        <w:trPr>
          <w:trHeight w:val="223"/>
        </w:trPr>
        <w:tc>
          <w:tcPr>
            <w:tcW w:w="4780" w:type="dxa"/>
            <w:vAlign w:val="bottom"/>
          </w:tcPr>
          <w:p>
            <w:pPr>
              <w:spacing w:after="0"/>
              <w:rPr>
                <w:sz w:val="20"/>
                <w:szCs w:val="20"/>
                <w:color w:val="auto"/>
              </w:rPr>
            </w:pPr>
            <w:r>
              <w:rPr>
                <w:rFonts w:ascii="Arial" w:cs="Arial" w:eastAsia="Arial" w:hAnsi="Arial"/>
                <w:sz w:val="18"/>
                <w:szCs w:val="18"/>
                <w:color w:val="auto"/>
              </w:rPr>
              <w:t>Closed and outstanding - Round 2 loans</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1,409</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129,573</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closed and outstanding</w:t>
            </w:r>
          </w:p>
        </w:tc>
        <w:tc>
          <w:tcPr>
            <w:tcW w:w="12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1,707</w:t>
            </w:r>
          </w:p>
        </w:tc>
        <w:tc>
          <w:tcPr>
            <w:tcW w:w="2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171,888</w:t>
            </w:r>
          </w:p>
        </w:tc>
        <w:tc>
          <w:tcPr>
            <w:tcW w:w="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1,483</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169,782</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780" w:type="dxa"/>
            <w:vAlign w:val="bottom"/>
          </w:tcPr>
          <w:p>
            <w:pPr>
              <w:spacing w:after="0"/>
              <w:rPr>
                <w:sz w:val="20"/>
                <w:szCs w:val="20"/>
                <w:color w:val="auto"/>
              </w:rPr>
            </w:pPr>
            <w:r>
              <w:rPr>
                <w:rFonts w:ascii="Arial" w:cs="Arial" w:eastAsia="Arial" w:hAnsi="Arial"/>
                <w:sz w:val="18"/>
                <w:szCs w:val="18"/>
                <w:color w:val="auto"/>
              </w:rPr>
              <w:t>Unaccreted net fees remaining at period end</w:t>
            </w:r>
          </w:p>
        </w:tc>
        <w:tc>
          <w:tcPr>
            <w:tcW w:w="1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5,810</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3,216</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200" w:type="dxa"/>
            <w:vAlign w:val="bottom"/>
            <w:vMerge w:val="restart"/>
          </w:tcPr>
          <w:p>
            <w:pPr>
              <w:jc w:val="right"/>
              <w:ind w:right="170"/>
              <w:spacing w:after="0"/>
              <w:rPr>
                <w:sz w:val="20"/>
                <w:szCs w:val="20"/>
                <w:color w:val="auto"/>
              </w:rPr>
            </w:pPr>
            <w:r>
              <w:rPr>
                <w:rFonts w:ascii="Arial" w:cs="Arial" w:eastAsia="Arial" w:hAnsi="Arial"/>
                <w:sz w:val="18"/>
                <w:szCs w:val="18"/>
                <w:color w:val="auto"/>
              </w:rPr>
              <w:t>29</w:t>
            </w: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42"/>
        </w:trPr>
        <w:tc>
          <w:tcPr>
            <w:tcW w:w="4780" w:type="dxa"/>
            <w:vAlign w:val="bottom"/>
          </w:tcPr>
          <w:p>
            <w:pPr>
              <w:spacing w:after="0"/>
              <w:rPr>
                <w:sz w:val="24"/>
                <w:szCs w:val="24"/>
                <w:color w:val="auto"/>
              </w:rPr>
            </w:pPr>
          </w:p>
        </w:tc>
        <w:tc>
          <w:tcPr>
            <w:tcW w:w="120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47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30" w:name="page31"/>
    <w:bookmarkEnd w:id="3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0" w:lineRule="exact"/>
        <w:rPr>
          <w:sz w:val="20"/>
          <w:szCs w:val="20"/>
          <w:color w:val="auto"/>
        </w:rPr>
      </w:pPr>
    </w:p>
    <w:p>
      <w:pPr>
        <w:jc w:val="both"/>
        <w:ind w:firstLine="8"/>
        <w:spacing w:after="0" w:line="279" w:lineRule="auto"/>
        <w:tabs>
          <w:tab w:leader="none" w:pos="355" w:val="left"/>
        </w:tabs>
        <w:numPr>
          <w:ilvl w:val="0"/>
          <w:numId w:val="19"/>
        </w:numPr>
        <w:rPr>
          <w:rFonts w:ascii="Arial" w:cs="Arial" w:eastAsia="Arial" w:hAnsi="Arial"/>
          <w:sz w:val="17"/>
          <w:szCs w:val="17"/>
          <w:color w:val="auto"/>
        </w:rPr>
      </w:pPr>
      <w:r>
        <w:rPr>
          <w:rFonts w:ascii="Arial" w:cs="Arial" w:eastAsia="Arial" w:hAnsi="Arial"/>
          <w:sz w:val="17"/>
          <w:szCs w:val="17"/>
          <w:color w:val="auto"/>
        </w:rPr>
        <w:t>loans are included in the commercial and industrial class of the commercial loan portfolio segment. As these loans are 100% guaranteed through the SBA the allowance for credit losses recorded on these loans is zero. Interest and fees on loans in our condensed consolidated statement of operations includes $1.8 million and $3.9 million during the three and six month periods ended June 30, 2021, related to the accretion of net loan fees on PPP loans. Accretion of net loan fees on PPP loans was $1.0 million in both three and six month periods in 2020.</w:t>
      </w:r>
    </w:p>
    <w:p>
      <w:pPr>
        <w:spacing w:after="0" w:line="19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Credit Quality Indicators </w:t>
      </w:r>
      <w:r>
        <w:rPr>
          <w:rFonts w:ascii="Arial" w:cs="Arial" w:eastAsia="Arial" w:hAnsi="Arial"/>
          <w:sz w:val="18"/>
          <w:szCs w:val="18"/>
          <w:color w:val="auto"/>
        </w:rPr>
        <w:t>– As part of our on-going monitoring of the credit quality of our loan portfolios, we track certain credit quality indicators</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(a) risk grade of commercial loans, (b) the level of classified commercial loans, (c) credit scores of mortgage and installment loan borrowers, and (d) delinquency history and non-performing loans.</w:t>
      </w:r>
    </w:p>
    <w:p>
      <w:pPr>
        <w:spacing w:after="0" w:line="20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commercial loans, we use a loan rating system that is similar to those employed by state and federal banking regulators. Loans are graded on a scale of 1 to 12. A description of the general characteristics of the ratings follows: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Rating 1 through 6</w:t>
      </w:r>
      <w:r>
        <w:rPr>
          <w:rFonts w:ascii="Arial" w:cs="Arial" w:eastAsia="Arial" w:hAnsi="Arial"/>
          <w:sz w:val="18"/>
          <w:szCs w:val="18"/>
          <w:color w:val="auto"/>
        </w:rPr>
        <w:t>: These loans are generally referred to as our “non-watch” commercial credits that include very high or exceptional credit fundamentals</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acceptable credit fundamentals.</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Rating 7 and 8</w:t>
      </w:r>
      <w:r>
        <w:rPr>
          <w:rFonts w:ascii="Arial" w:cs="Arial" w:eastAsia="Arial" w:hAnsi="Arial"/>
          <w:sz w:val="18"/>
          <w:szCs w:val="18"/>
          <w:color w:val="auto"/>
        </w:rPr>
        <w:t>: These loans are generally referred to as our “watch” commercial credits. These ratings include loans to borrowers that exhibit potential</w:t>
      </w:r>
      <w:r>
        <w:rPr>
          <w:rFonts w:ascii="Arial" w:cs="Arial" w:eastAsia="Arial" w:hAnsi="Arial"/>
          <w:sz w:val="18"/>
          <w:szCs w:val="18"/>
          <w:i w:val="1"/>
          <w:iCs w:val="1"/>
          <w:color w:val="auto"/>
        </w:rPr>
        <w:t xml:space="preserve"> </w:t>
      </w:r>
      <w:r>
        <w:rPr>
          <w:rFonts w:ascii="Arial" w:cs="Arial" w:eastAsia="Arial" w:hAnsi="Arial"/>
          <w:sz w:val="18"/>
          <w:szCs w:val="18"/>
          <w:color w:val="auto"/>
        </w:rPr>
        <w:t>credit weakness or downward trends. If not checked or cured these trends could weaken our asset or credit position. While potentially weak, no loss of principal or interest is envisioned with these ratings.</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Rating 9</w:t>
      </w:r>
      <w:r>
        <w:rPr>
          <w:rFonts w:ascii="Arial" w:cs="Arial" w:eastAsia="Arial" w:hAnsi="Arial"/>
          <w:sz w:val="18"/>
          <w:szCs w:val="18"/>
          <w:color w:val="auto"/>
        </w:rPr>
        <w:t>: These loans are generally referred to as our “substandard accruing” commercial credits. This rating includes loans to borrowers that exhibit a</w:t>
      </w:r>
      <w:r>
        <w:rPr>
          <w:rFonts w:ascii="Arial" w:cs="Arial" w:eastAsia="Arial" w:hAnsi="Arial"/>
          <w:sz w:val="18"/>
          <w:szCs w:val="18"/>
          <w:i w:val="1"/>
          <w:iCs w:val="1"/>
          <w:color w:val="auto"/>
        </w:rPr>
        <w:t xml:space="preserve"> </w:t>
      </w:r>
      <w:r>
        <w:rPr>
          <w:rFonts w:ascii="Arial" w:cs="Arial" w:eastAsia="Arial" w:hAnsi="Arial"/>
          <w:sz w:val="18"/>
          <w:szCs w:val="18"/>
          <w:color w:val="auto"/>
        </w:rPr>
        <w:t>well-defined weakness where payment default is probable and loss is possible if deficiencies are not corrected. Generally, loans with this rating are considered collectible as to both principal and interest primarily due to collateral coverage.</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Rating 10 and 11</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231F20"/>
        </w:rPr>
        <w:t>These loans are generally referred to as our ‘‘substandard - non-accrual’’ and ‘‘doubtful’’ commercial credits. Our doubtful rating</w:t>
      </w:r>
      <w:r>
        <w:rPr>
          <w:rFonts w:ascii="Arial" w:cs="Arial" w:eastAsia="Arial" w:hAnsi="Arial"/>
          <w:sz w:val="18"/>
          <w:szCs w:val="18"/>
          <w:i w:val="1"/>
          <w:iCs w:val="1"/>
          <w:color w:val="auto"/>
        </w:rPr>
        <w:t xml:space="preserve"> </w:t>
      </w:r>
      <w:r>
        <w:rPr>
          <w:rFonts w:ascii="Arial" w:cs="Arial" w:eastAsia="Arial" w:hAnsi="Arial"/>
          <w:sz w:val="18"/>
          <w:szCs w:val="18"/>
          <w:color w:val="231F20"/>
        </w:rPr>
        <w:t>includes a sub classification for a loss rate other than 50% (which is the standard doubtful loss rate). These ratings include loans to borrowers with weaknesses that make collection of the loan in full, on the basis of current facts, conditions and values at best questionable and at worst improbable. All of these loans are placed in non-accrual.</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Rating 12</w:t>
      </w:r>
      <w:r>
        <w:rPr>
          <w:rFonts w:ascii="Arial" w:cs="Arial" w:eastAsia="Arial" w:hAnsi="Arial"/>
          <w:sz w:val="18"/>
          <w:szCs w:val="18"/>
          <w:color w:val="auto"/>
        </w:rPr>
        <w:t>: These loans are generally referred to as our “loss” commercial credits. This rating includes loans to borrowers that are deemed incapable of</w:t>
      </w:r>
      <w:r>
        <w:rPr>
          <w:rFonts w:ascii="Arial" w:cs="Arial" w:eastAsia="Arial" w:hAnsi="Arial"/>
          <w:sz w:val="18"/>
          <w:szCs w:val="18"/>
          <w:i w:val="1"/>
          <w:iCs w:val="1"/>
          <w:color w:val="auto"/>
        </w:rPr>
        <w:t xml:space="preserve"> </w:t>
      </w:r>
      <w:r>
        <w:rPr>
          <w:rFonts w:ascii="Arial" w:cs="Arial" w:eastAsia="Arial" w:hAnsi="Arial"/>
          <w:sz w:val="18"/>
          <w:szCs w:val="18"/>
          <w:color w:val="auto"/>
        </w:rPr>
        <w:t>repayment and are charged-off.</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loan ratings by loan class for our commercial portfolio loan segment as of June 30, 2021:</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7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6"/>
          </w:tcPr>
          <w:p>
            <w:pPr>
              <w:ind w:left="400"/>
              <w:spacing w:after="0"/>
              <w:rPr>
                <w:sz w:val="20"/>
                <w:szCs w:val="20"/>
                <w:color w:val="auto"/>
              </w:rPr>
            </w:pPr>
            <w:r>
              <w:rPr>
                <w:rFonts w:ascii="Arial" w:cs="Arial" w:eastAsia="Arial" w:hAnsi="Arial"/>
                <w:sz w:val="18"/>
                <w:szCs w:val="18"/>
                <w:color w:val="auto"/>
              </w:rPr>
              <w:t>Commercial</w:t>
            </w: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3"/>
          </w:tcPr>
          <w:p>
            <w:pPr>
              <w:jc w:val="center"/>
              <w:ind w:right="200"/>
              <w:spacing w:after="0" w:line="201" w:lineRule="exact"/>
              <w:rPr>
                <w:sz w:val="20"/>
                <w:szCs w:val="20"/>
                <w:color w:val="auto"/>
              </w:rPr>
            </w:pPr>
            <w:r>
              <w:rPr>
                <w:rFonts w:ascii="Arial" w:cs="Arial" w:eastAsia="Arial" w:hAnsi="Arial"/>
                <w:sz w:val="18"/>
                <w:szCs w:val="18"/>
                <w:color w:val="auto"/>
                <w:w w:val="93"/>
              </w:rPr>
              <w:t>Revolving</w:t>
            </w: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0" w:type="dxa"/>
            <w:vAlign w:val="bottom"/>
            <w:gridSpan w:val="14"/>
            <w:vMerge w:val="restart"/>
          </w:tcPr>
          <w:p>
            <w:pPr>
              <w:spacing w:after="0"/>
              <w:rPr>
                <w:sz w:val="20"/>
                <w:szCs w:val="20"/>
                <w:color w:val="auto"/>
              </w:rPr>
            </w:pPr>
            <w:r>
              <w:rPr>
                <w:rFonts w:ascii="Arial" w:cs="Arial" w:eastAsia="Arial" w:hAnsi="Arial"/>
                <w:sz w:val="18"/>
                <w:szCs w:val="18"/>
                <w:color w:val="auto"/>
                <w:w w:val="96"/>
              </w:rPr>
              <w:t>Term Loans Amortized Cost Basis by Origination Year</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Loans</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200" w:type="dxa"/>
            <w:vAlign w:val="bottom"/>
            <w:tcBorders>
              <w:bottom w:val="single" w:sz="8" w:color="auto"/>
            </w:tcBorders>
            <w:gridSpan w:val="14"/>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3"/>
          </w:tcPr>
          <w:p>
            <w:pPr>
              <w:jc w:val="center"/>
              <w:ind w:right="200"/>
              <w:spacing w:after="0" w:line="203" w:lineRule="exact"/>
              <w:rPr>
                <w:sz w:val="20"/>
                <w:szCs w:val="20"/>
                <w:color w:val="auto"/>
              </w:rPr>
            </w:pPr>
            <w:r>
              <w:rPr>
                <w:rFonts w:ascii="Arial" w:cs="Arial" w:eastAsia="Arial" w:hAnsi="Arial"/>
                <w:sz w:val="18"/>
                <w:szCs w:val="18"/>
                <w:color w:val="auto"/>
                <w:w w:val="96"/>
              </w:rPr>
              <w:t>Amortized</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7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2021</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2017</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Prior</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8"/>
              </w:rPr>
              <w:t>Cost Basis</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40" w:type="dxa"/>
            <w:vAlign w:val="bottom"/>
            <w:vMerge w:val="restart"/>
          </w:tcPr>
          <w:p>
            <w:pPr>
              <w:spacing w:after="0"/>
              <w:rPr>
                <w:sz w:val="20"/>
                <w:szCs w:val="20"/>
                <w:color w:val="auto"/>
              </w:rPr>
            </w:pPr>
            <w:r>
              <w:rPr>
                <w:rFonts w:ascii="Arial" w:cs="Arial" w:eastAsia="Arial" w:hAnsi="Arial"/>
                <w:sz w:val="18"/>
                <w:szCs w:val="18"/>
                <w:color w:val="auto"/>
              </w:rPr>
              <w:t>June 30, 2021</w:t>
            </w: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(In</w:t>
            </w:r>
          </w:p>
        </w:tc>
        <w:tc>
          <w:tcPr>
            <w:tcW w:w="1060" w:type="dxa"/>
            <w:vAlign w:val="bottom"/>
            <w:gridSpan w:val="4"/>
          </w:tcPr>
          <w:p>
            <w:pPr>
              <w:jc w:val="right"/>
              <w:ind w:right="290"/>
              <w:spacing w:after="0"/>
              <w:rPr>
                <w:sz w:val="20"/>
                <w:szCs w:val="20"/>
                <w:color w:val="auto"/>
              </w:rPr>
            </w:pPr>
            <w:r>
              <w:rPr>
                <w:rFonts w:ascii="Arial" w:cs="Arial" w:eastAsia="Arial" w:hAnsi="Arial"/>
                <w:sz w:val="18"/>
                <w:szCs w:val="18"/>
                <w:color w:val="auto"/>
                <w:w w:val="74"/>
              </w:rPr>
              <w:t>thousands)</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27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740" w:type="dxa"/>
            <w:vAlign w:val="bottom"/>
          </w:tcPr>
          <w:p>
            <w:pPr>
              <w:ind w:left="140"/>
              <w:spacing w:after="0"/>
              <w:rPr>
                <w:sz w:val="20"/>
                <w:szCs w:val="20"/>
                <w:color w:val="auto"/>
              </w:rPr>
            </w:pPr>
            <w:r>
              <w:rPr>
                <w:rFonts w:ascii="Arial" w:cs="Arial" w:eastAsia="Arial" w:hAnsi="Arial"/>
                <w:sz w:val="18"/>
                <w:szCs w:val="18"/>
                <w:color w:val="auto"/>
              </w:rPr>
              <w:t>Commercial and industrial</w:t>
            </w: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Non-watch (1-6)</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160,401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114,729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63,354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52,377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46,861</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101,907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108,991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648,620</w:t>
            </w:r>
          </w:p>
        </w:tc>
        <w:tc>
          <w:tcPr>
            <w:tcW w:w="0" w:type="dxa"/>
            <w:vAlign w:val="bottom"/>
          </w:tcPr>
          <w:p>
            <w:pPr>
              <w:spacing w:after="0"/>
              <w:rPr>
                <w:sz w:val="1"/>
                <w:szCs w:val="1"/>
                <w:color w:val="auto"/>
              </w:rPr>
            </w:pPr>
          </w:p>
        </w:tc>
      </w:tr>
      <w:tr>
        <w:trPr>
          <w:trHeight w:val="216"/>
        </w:trPr>
        <w:tc>
          <w:tcPr>
            <w:tcW w:w="2740" w:type="dxa"/>
            <w:vAlign w:val="bottom"/>
          </w:tcPr>
          <w:p>
            <w:pPr>
              <w:ind w:left="340"/>
              <w:spacing w:after="0"/>
              <w:rPr>
                <w:sz w:val="20"/>
                <w:szCs w:val="20"/>
                <w:color w:val="auto"/>
              </w:rPr>
            </w:pPr>
            <w:r>
              <w:rPr>
                <w:rFonts w:ascii="Arial" w:cs="Arial" w:eastAsia="Arial" w:hAnsi="Arial"/>
                <w:sz w:val="18"/>
                <w:szCs w:val="18"/>
                <w:color w:val="auto"/>
              </w:rPr>
              <w:t>Watch (7-8)</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848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0"/>
              <w:spacing w:after="0"/>
              <w:rPr>
                <w:sz w:val="20"/>
                <w:szCs w:val="20"/>
                <w:color w:val="auto"/>
              </w:rPr>
            </w:pPr>
            <w:r>
              <w:rPr>
                <w:rFonts w:ascii="Arial" w:cs="Arial" w:eastAsia="Arial" w:hAnsi="Arial"/>
                <w:sz w:val="18"/>
                <w:szCs w:val="18"/>
                <w:color w:val="auto"/>
              </w:rPr>
              <w:t>3,954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2,646</w:t>
            </w:r>
          </w:p>
        </w:tc>
        <w:tc>
          <w:tcPr>
            <w:tcW w:w="1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9,836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5,256</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22,687</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Substandard Accrual (9)</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282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2,205</w:t>
            </w:r>
          </w:p>
        </w:tc>
        <w:tc>
          <w:tcPr>
            <w:tcW w:w="0" w:type="dxa"/>
            <w:vAlign w:val="bottom"/>
          </w:tcPr>
          <w:p>
            <w:pPr>
              <w:spacing w:after="0"/>
              <w:rPr>
                <w:sz w:val="1"/>
                <w:szCs w:val="1"/>
                <w:color w:val="auto"/>
              </w:rPr>
            </w:pPr>
          </w:p>
        </w:tc>
      </w:tr>
      <w:tr>
        <w:trPr>
          <w:trHeight w:val="223"/>
        </w:trPr>
        <w:tc>
          <w:tcPr>
            <w:tcW w:w="2740" w:type="dxa"/>
            <w:vAlign w:val="bottom"/>
          </w:tcPr>
          <w:p>
            <w:pPr>
              <w:ind w:left="340"/>
              <w:spacing w:after="0"/>
              <w:rPr>
                <w:sz w:val="20"/>
                <w:szCs w:val="20"/>
                <w:color w:val="auto"/>
              </w:rPr>
            </w:pPr>
            <w:r>
              <w:rPr>
                <w:rFonts w:ascii="Arial" w:cs="Arial" w:eastAsia="Arial" w:hAnsi="Arial"/>
                <w:sz w:val="18"/>
                <w:szCs w:val="18"/>
                <w:color w:val="auto"/>
              </w:rPr>
              <w:t>Non-Accrual (10-11)</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57"/>
        </w:trPr>
        <w:tc>
          <w:tcPr>
            <w:tcW w:w="27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160,431</w:t>
            </w:r>
          </w:p>
        </w:tc>
        <w:tc>
          <w:tcPr>
            <w:tcW w:w="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114,978</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65,441</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56,613</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49,507</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112,537</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114,247</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673,754</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2900" w:type="dxa"/>
            <w:vAlign w:val="bottom"/>
            <w:gridSpan w:val="2"/>
          </w:tcPr>
          <w:p>
            <w:pPr>
              <w:jc w:val="right"/>
              <w:ind w:right="7"/>
              <w:spacing w:after="0"/>
              <w:rPr>
                <w:sz w:val="20"/>
                <w:szCs w:val="20"/>
                <w:color w:val="auto"/>
              </w:rPr>
            </w:pPr>
            <w:r>
              <w:rPr>
                <w:rFonts w:ascii="Arial" w:cs="Arial" w:eastAsia="Arial" w:hAnsi="Arial"/>
                <w:sz w:val="18"/>
                <w:szCs w:val="18"/>
                <w:color w:val="auto"/>
                <w:w w:val="92"/>
              </w:rPr>
              <w:t>Accrued interest excluded from total $</w:t>
            </w:r>
          </w:p>
        </w:tc>
        <w:tc>
          <w:tcPr>
            <w:tcW w:w="680" w:type="dxa"/>
            <w:vAlign w:val="bottom"/>
          </w:tcPr>
          <w:p>
            <w:pPr>
              <w:jc w:val="right"/>
              <w:spacing w:after="0"/>
              <w:rPr>
                <w:sz w:val="20"/>
                <w:szCs w:val="20"/>
                <w:color w:val="auto"/>
              </w:rPr>
            </w:pPr>
            <w:r>
              <w:rPr>
                <w:rFonts w:ascii="Arial" w:cs="Arial" w:eastAsia="Arial" w:hAnsi="Arial"/>
                <w:sz w:val="18"/>
                <w:szCs w:val="18"/>
                <w:color w:val="auto"/>
              </w:rPr>
              <w:t>481</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652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111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
              <w:spacing w:after="0"/>
              <w:rPr>
                <w:sz w:val="20"/>
                <w:szCs w:val="20"/>
                <w:color w:val="auto"/>
              </w:rPr>
            </w:pPr>
            <w:r>
              <w:rPr>
                <w:rFonts w:ascii="Arial" w:cs="Arial" w:eastAsia="Arial" w:hAnsi="Arial"/>
                <w:sz w:val="18"/>
                <w:szCs w:val="18"/>
                <w:color w:val="auto"/>
              </w:rPr>
              <w:t>254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118</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295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189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2,100</w:t>
            </w:r>
          </w:p>
        </w:tc>
        <w:tc>
          <w:tcPr>
            <w:tcW w:w="0" w:type="dxa"/>
            <w:vAlign w:val="bottom"/>
          </w:tcPr>
          <w:p>
            <w:pPr>
              <w:spacing w:after="0"/>
              <w:rPr>
                <w:sz w:val="1"/>
                <w:szCs w:val="1"/>
                <w:color w:val="auto"/>
              </w:rPr>
            </w:pPr>
          </w:p>
        </w:tc>
      </w:tr>
      <w:tr>
        <w:trPr>
          <w:trHeight w:val="21"/>
        </w:trPr>
        <w:tc>
          <w:tcPr>
            <w:tcW w:w="27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tcPr>
          <w:p>
            <w:pPr>
              <w:ind w:left="140"/>
              <w:spacing w:after="0"/>
              <w:rPr>
                <w:sz w:val="20"/>
                <w:szCs w:val="20"/>
                <w:color w:val="auto"/>
              </w:rPr>
            </w:pPr>
            <w:r>
              <w:rPr>
                <w:rFonts w:ascii="Arial" w:cs="Arial" w:eastAsia="Arial" w:hAnsi="Arial"/>
                <w:sz w:val="18"/>
                <w:szCs w:val="18"/>
                <w:color w:val="auto"/>
              </w:rPr>
              <w:t>Commercial real estate</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Non-watch (1-6)</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47,775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53,528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107,034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87,569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44,269</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191,347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34,913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566,435</w:t>
            </w:r>
          </w:p>
        </w:tc>
        <w:tc>
          <w:tcPr>
            <w:tcW w:w="0" w:type="dxa"/>
            <w:vAlign w:val="bottom"/>
          </w:tcPr>
          <w:p>
            <w:pPr>
              <w:spacing w:after="0"/>
              <w:rPr>
                <w:sz w:val="1"/>
                <w:szCs w:val="1"/>
                <w:color w:val="auto"/>
              </w:rPr>
            </w:pPr>
          </w:p>
        </w:tc>
      </w:tr>
      <w:tr>
        <w:trPr>
          <w:trHeight w:val="216"/>
        </w:trPr>
        <w:tc>
          <w:tcPr>
            <w:tcW w:w="2740" w:type="dxa"/>
            <w:vAlign w:val="bottom"/>
          </w:tcPr>
          <w:p>
            <w:pPr>
              <w:ind w:left="340"/>
              <w:spacing w:after="0"/>
              <w:rPr>
                <w:sz w:val="20"/>
                <w:szCs w:val="20"/>
                <w:color w:val="auto"/>
              </w:rPr>
            </w:pPr>
            <w:r>
              <w:rPr>
                <w:rFonts w:ascii="Arial" w:cs="Arial" w:eastAsia="Arial" w:hAnsi="Arial"/>
                <w:sz w:val="18"/>
                <w:szCs w:val="18"/>
                <w:color w:val="auto"/>
              </w:rPr>
              <w:t>Watch (7-8)</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386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0"/>
              <w:spacing w:after="0"/>
              <w:rPr>
                <w:sz w:val="20"/>
                <w:szCs w:val="20"/>
                <w:color w:val="auto"/>
              </w:rPr>
            </w:pPr>
            <w:r>
              <w:rPr>
                <w:rFonts w:ascii="Arial" w:cs="Arial" w:eastAsia="Arial" w:hAnsi="Arial"/>
                <w:sz w:val="18"/>
                <w:szCs w:val="18"/>
                <w:color w:val="auto"/>
              </w:rPr>
              <w:t>388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191</w:t>
            </w:r>
          </w:p>
        </w:tc>
        <w:tc>
          <w:tcPr>
            <w:tcW w:w="1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1,040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2,005</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Substandard Accrual (9)</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1,220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1,133</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2,353</w:t>
            </w:r>
          </w:p>
        </w:tc>
        <w:tc>
          <w:tcPr>
            <w:tcW w:w="0" w:type="dxa"/>
            <w:vAlign w:val="bottom"/>
          </w:tcPr>
          <w:p>
            <w:pPr>
              <w:spacing w:after="0"/>
              <w:rPr>
                <w:sz w:val="1"/>
                <w:szCs w:val="1"/>
                <w:color w:val="auto"/>
              </w:rPr>
            </w:pPr>
          </w:p>
        </w:tc>
      </w:tr>
      <w:tr>
        <w:trPr>
          <w:trHeight w:val="223"/>
        </w:trPr>
        <w:tc>
          <w:tcPr>
            <w:tcW w:w="2740" w:type="dxa"/>
            <w:vAlign w:val="bottom"/>
          </w:tcPr>
          <w:p>
            <w:pPr>
              <w:ind w:left="340"/>
              <w:spacing w:after="0"/>
              <w:rPr>
                <w:sz w:val="20"/>
                <w:szCs w:val="20"/>
                <w:color w:val="auto"/>
              </w:rPr>
            </w:pPr>
            <w:r>
              <w:rPr>
                <w:rFonts w:ascii="Arial" w:cs="Arial" w:eastAsia="Arial" w:hAnsi="Arial"/>
                <w:sz w:val="18"/>
                <w:szCs w:val="18"/>
                <w:color w:val="auto"/>
              </w:rPr>
              <w:t>Non-Accrual (10-11)</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7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47,775</w:t>
            </w:r>
          </w:p>
        </w:tc>
        <w:tc>
          <w:tcPr>
            <w:tcW w:w="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53,528</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107,420</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89,177</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45,593</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192,387</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34,913</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570,793</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2900" w:type="dxa"/>
            <w:vAlign w:val="bottom"/>
            <w:gridSpan w:val="2"/>
          </w:tcPr>
          <w:p>
            <w:pPr>
              <w:jc w:val="right"/>
              <w:ind w:right="7"/>
              <w:spacing w:after="0"/>
              <w:rPr>
                <w:sz w:val="20"/>
                <w:szCs w:val="20"/>
                <w:color w:val="auto"/>
              </w:rPr>
            </w:pPr>
            <w:r>
              <w:rPr>
                <w:rFonts w:ascii="Arial" w:cs="Arial" w:eastAsia="Arial" w:hAnsi="Arial"/>
                <w:sz w:val="18"/>
                <w:szCs w:val="18"/>
                <w:color w:val="auto"/>
                <w:w w:val="92"/>
              </w:rPr>
              <w:t>Accrued interest excluded from total $</w:t>
            </w:r>
          </w:p>
        </w:tc>
        <w:tc>
          <w:tcPr>
            <w:tcW w:w="680" w:type="dxa"/>
            <w:vAlign w:val="bottom"/>
          </w:tcPr>
          <w:p>
            <w:pPr>
              <w:jc w:val="right"/>
              <w:spacing w:after="0"/>
              <w:rPr>
                <w:sz w:val="20"/>
                <w:szCs w:val="20"/>
                <w:color w:val="auto"/>
              </w:rPr>
            </w:pPr>
            <w:r>
              <w:rPr>
                <w:rFonts w:ascii="Arial" w:cs="Arial" w:eastAsia="Arial" w:hAnsi="Arial"/>
                <w:sz w:val="18"/>
                <w:szCs w:val="18"/>
                <w:color w:val="auto"/>
              </w:rPr>
              <w:t>56</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80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213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
              <w:spacing w:after="0"/>
              <w:rPr>
                <w:sz w:val="20"/>
                <w:szCs w:val="20"/>
                <w:color w:val="auto"/>
              </w:rPr>
            </w:pPr>
            <w:r>
              <w:rPr>
                <w:rFonts w:ascii="Arial" w:cs="Arial" w:eastAsia="Arial" w:hAnsi="Arial"/>
                <w:sz w:val="18"/>
                <w:szCs w:val="18"/>
                <w:color w:val="auto"/>
              </w:rPr>
              <w:t>188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107</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370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57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1,071</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tcPr>
          <w:p>
            <w:pPr>
              <w:ind w:left="140"/>
              <w:spacing w:after="0"/>
              <w:rPr>
                <w:sz w:val="20"/>
                <w:szCs w:val="20"/>
                <w:color w:val="auto"/>
              </w:rPr>
            </w:pPr>
            <w:r>
              <w:rPr>
                <w:rFonts w:ascii="Arial" w:cs="Arial" w:eastAsia="Arial" w:hAnsi="Arial"/>
                <w:sz w:val="18"/>
                <w:szCs w:val="18"/>
                <w:color w:val="auto"/>
              </w:rPr>
              <w:t>Total Commercial</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Non-watch (1-6)</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208,176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168,257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170,388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139,946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91,130</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293,254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143,904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1,215,055</w:t>
            </w:r>
          </w:p>
        </w:tc>
        <w:tc>
          <w:tcPr>
            <w:tcW w:w="0" w:type="dxa"/>
            <w:vAlign w:val="bottom"/>
          </w:tcPr>
          <w:p>
            <w:pPr>
              <w:spacing w:after="0"/>
              <w:rPr>
                <w:sz w:val="1"/>
                <w:szCs w:val="1"/>
                <w:color w:val="auto"/>
              </w:rPr>
            </w:pPr>
          </w:p>
        </w:tc>
      </w:tr>
      <w:tr>
        <w:trPr>
          <w:trHeight w:val="216"/>
        </w:trPr>
        <w:tc>
          <w:tcPr>
            <w:tcW w:w="2740" w:type="dxa"/>
            <w:vAlign w:val="bottom"/>
          </w:tcPr>
          <w:p>
            <w:pPr>
              <w:ind w:left="340"/>
              <w:spacing w:after="0"/>
              <w:rPr>
                <w:sz w:val="20"/>
                <w:szCs w:val="20"/>
                <w:color w:val="auto"/>
              </w:rPr>
            </w:pPr>
            <w:r>
              <w:rPr>
                <w:rFonts w:ascii="Arial" w:cs="Arial" w:eastAsia="Arial" w:hAnsi="Arial"/>
                <w:sz w:val="18"/>
                <w:szCs w:val="18"/>
                <w:color w:val="auto"/>
              </w:rPr>
              <w:t>Watch (7-8)</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1,234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0"/>
              <w:spacing w:after="0"/>
              <w:rPr>
                <w:sz w:val="20"/>
                <w:szCs w:val="20"/>
                <w:color w:val="auto"/>
              </w:rPr>
            </w:pPr>
            <w:r>
              <w:rPr>
                <w:rFonts w:ascii="Arial" w:cs="Arial" w:eastAsia="Arial" w:hAnsi="Arial"/>
                <w:sz w:val="18"/>
                <w:szCs w:val="18"/>
                <w:color w:val="auto"/>
              </w:rPr>
              <w:t>4,342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2,837</w:t>
            </w:r>
          </w:p>
        </w:tc>
        <w:tc>
          <w:tcPr>
            <w:tcW w:w="1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10,876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5,256</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24,692</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Substandard Accrual (9)</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1,502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1,133</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4,558</w:t>
            </w:r>
          </w:p>
        </w:tc>
        <w:tc>
          <w:tcPr>
            <w:tcW w:w="0" w:type="dxa"/>
            <w:vAlign w:val="bottom"/>
          </w:tcPr>
          <w:p>
            <w:pPr>
              <w:spacing w:after="0"/>
              <w:rPr>
                <w:sz w:val="1"/>
                <w:szCs w:val="1"/>
                <w:color w:val="auto"/>
              </w:rPr>
            </w:pPr>
          </w:p>
        </w:tc>
      </w:tr>
      <w:tr>
        <w:trPr>
          <w:trHeight w:val="223"/>
        </w:trPr>
        <w:tc>
          <w:tcPr>
            <w:tcW w:w="2740" w:type="dxa"/>
            <w:vAlign w:val="bottom"/>
          </w:tcPr>
          <w:p>
            <w:pPr>
              <w:ind w:left="340"/>
              <w:spacing w:after="0"/>
              <w:rPr>
                <w:sz w:val="20"/>
                <w:szCs w:val="20"/>
                <w:color w:val="auto"/>
              </w:rPr>
            </w:pPr>
            <w:r>
              <w:rPr>
                <w:rFonts w:ascii="Arial" w:cs="Arial" w:eastAsia="Arial" w:hAnsi="Arial"/>
                <w:sz w:val="18"/>
                <w:szCs w:val="18"/>
                <w:color w:val="auto"/>
              </w:rPr>
              <w:t>Non-Accrual (10-11)</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57"/>
        </w:trPr>
        <w:tc>
          <w:tcPr>
            <w:tcW w:w="27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208,206</w:t>
            </w:r>
          </w:p>
        </w:tc>
        <w:tc>
          <w:tcPr>
            <w:tcW w:w="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168,506</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172,861</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145,790</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95,100</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304,924</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149,160</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1,244,547</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900" w:type="dxa"/>
            <w:vAlign w:val="bottom"/>
            <w:gridSpan w:val="2"/>
          </w:tcPr>
          <w:p>
            <w:pPr>
              <w:jc w:val="right"/>
              <w:ind w:right="7"/>
              <w:spacing w:after="0"/>
              <w:rPr>
                <w:sz w:val="20"/>
                <w:szCs w:val="20"/>
                <w:color w:val="auto"/>
              </w:rPr>
            </w:pPr>
            <w:r>
              <w:rPr>
                <w:rFonts w:ascii="Arial" w:cs="Arial" w:eastAsia="Arial" w:hAnsi="Arial"/>
                <w:sz w:val="18"/>
                <w:szCs w:val="18"/>
                <w:color w:val="auto"/>
                <w:w w:val="92"/>
              </w:rPr>
              <w:t>Accrued interest excluded from total $</w:t>
            </w:r>
          </w:p>
        </w:tc>
        <w:tc>
          <w:tcPr>
            <w:tcW w:w="680" w:type="dxa"/>
            <w:vAlign w:val="bottom"/>
          </w:tcPr>
          <w:p>
            <w:pPr>
              <w:jc w:val="right"/>
              <w:spacing w:after="0"/>
              <w:rPr>
                <w:sz w:val="20"/>
                <w:szCs w:val="20"/>
                <w:color w:val="auto"/>
              </w:rPr>
            </w:pPr>
            <w:r>
              <w:rPr>
                <w:rFonts w:ascii="Arial" w:cs="Arial" w:eastAsia="Arial" w:hAnsi="Arial"/>
                <w:sz w:val="18"/>
                <w:szCs w:val="18"/>
                <w:color w:val="auto"/>
              </w:rPr>
              <w:t>537</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732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324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
              <w:spacing w:after="0"/>
              <w:rPr>
                <w:sz w:val="20"/>
                <w:szCs w:val="20"/>
                <w:color w:val="auto"/>
              </w:rPr>
            </w:pPr>
            <w:r>
              <w:rPr>
                <w:rFonts w:ascii="Arial" w:cs="Arial" w:eastAsia="Arial" w:hAnsi="Arial"/>
                <w:sz w:val="18"/>
                <w:szCs w:val="18"/>
                <w:color w:val="auto"/>
              </w:rPr>
              <w:t>442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225</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665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246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3,171</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loan ratings by loan class for our commercial portfolio loan segment as of December 31, 2020:</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6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380"/>
              <w:spacing w:after="0"/>
              <w:rPr>
                <w:sz w:val="20"/>
                <w:szCs w:val="20"/>
                <w:color w:val="auto"/>
              </w:rPr>
            </w:pPr>
            <w:r>
              <w:rPr>
                <w:rFonts w:ascii="Arial" w:cs="Arial" w:eastAsia="Arial" w:hAnsi="Arial"/>
                <w:sz w:val="18"/>
                <w:szCs w:val="18"/>
                <w:color w:val="auto"/>
                <w:w w:val="95"/>
              </w:rPr>
              <w:t>Commercial</w:t>
            </w: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320"/>
              <w:spacing w:after="0" w:line="201" w:lineRule="exact"/>
              <w:rPr>
                <w:sz w:val="20"/>
                <w:szCs w:val="20"/>
                <w:color w:val="auto"/>
              </w:rPr>
            </w:pPr>
            <w:r>
              <w:rPr>
                <w:rFonts w:ascii="Arial" w:cs="Arial" w:eastAsia="Arial" w:hAnsi="Arial"/>
                <w:sz w:val="18"/>
                <w:szCs w:val="18"/>
                <w:color w:val="auto"/>
                <w:w w:val="88"/>
              </w:rPr>
              <w:t>Substandard</w:t>
            </w:r>
          </w:p>
        </w:tc>
        <w:tc>
          <w:tcPr>
            <w:tcW w:w="180" w:type="dxa"/>
            <w:vAlign w:val="bottom"/>
          </w:tcPr>
          <w:p>
            <w:pPr>
              <w:spacing w:after="0"/>
              <w:rPr>
                <w:sz w:val="17"/>
                <w:szCs w:val="17"/>
                <w:color w:val="auto"/>
              </w:rPr>
            </w:pPr>
          </w:p>
        </w:tc>
        <w:tc>
          <w:tcPr>
            <w:tcW w:w="1140" w:type="dxa"/>
            <w:vAlign w:val="bottom"/>
            <w:gridSpan w:val="2"/>
          </w:tcPr>
          <w:p>
            <w:pPr>
              <w:jc w:val="center"/>
              <w:ind w:right="380"/>
              <w:spacing w:after="0" w:line="201" w:lineRule="exact"/>
              <w:rPr>
                <w:sz w:val="20"/>
                <w:szCs w:val="20"/>
                <w:color w:val="auto"/>
              </w:rPr>
            </w:pPr>
            <w:r>
              <w:rPr>
                <w:rFonts w:ascii="Arial" w:cs="Arial" w:eastAsia="Arial" w:hAnsi="Arial"/>
                <w:sz w:val="18"/>
                <w:szCs w:val="18"/>
                <w:color w:val="auto"/>
                <w:w w:val="92"/>
              </w:rPr>
              <w:t>Non-</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ind w:left="40"/>
              <w:spacing w:after="0"/>
              <w:rPr>
                <w:sz w:val="20"/>
                <w:szCs w:val="20"/>
                <w:color w:val="auto"/>
              </w:rPr>
            </w:pPr>
            <w:r>
              <w:rPr>
                <w:rFonts w:ascii="Arial" w:cs="Arial" w:eastAsia="Arial" w:hAnsi="Arial"/>
                <w:sz w:val="18"/>
                <w:szCs w:val="18"/>
                <w:color w:val="auto"/>
              </w:rPr>
              <w:t>Non-watch</w:t>
            </w:r>
          </w:p>
        </w:tc>
        <w:tc>
          <w:tcPr>
            <w:tcW w:w="220" w:type="dxa"/>
            <w:vAlign w:val="bottom"/>
          </w:tcPr>
          <w:p>
            <w:pPr>
              <w:spacing w:after="0"/>
              <w:rPr>
                <w:sz w:val="18"/>
                <w:szCs w:val="18"/>
                <w:color w:val="auto"/>
              </w:rPr>
            </w:pPr>
          </w:p>
        </w:tc>
        <w:tc>
          <w:tcPr>
            <w:tcW w:w="1160" w:type="dxa"/>
            <w:vAlign w:val="bottom"/>
            <w:gridSpan w:val="2"/>
          </w:tcPr>
          <w:p>
            <w:pPr>
              <w:ind w:left="120"/>
              <w:spacing w:after="0"/>
              <w:rPr>
                <w:sz w:val="20"/>
                <w:szCs w:val="20"/>
                <w:color w:val="auto"/>
              </w:rPr>
            </w:pPr>
            <w:r>
              <w:rPr>
                <w:rFonts w:ascii="Arial" w:cs="Arial" w:eastAsia="Arial" w:hAnsi="Arial"/>
                <w:sz w:val="18"/>
                <w:szCs w:val="18"/>
                <w:color w:val="auto"/>
              </w:rPr>
              <w:t>Watch</w:t>
            </w: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color w:val="auto"/>
                <w:w w:val="96"/>
              </w:rPr>
              <w:t>Accrual</w:t>
            </w:r>
          </w:p>
        </w:tc>
        <w:tc>
          <w:tcPr>
            <w:tcW w:w="180" w:type="dxa"/>
            <w:vAlign w:val="bottom"/>
          </w:tcPr>
          <w:p>
            <w:pPr>
              <w:spacing w:after="0"/>
              <w:rPr>
                <w:sz w:val="18"/>
                <w:szCs w:val="18"/>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8"/>
                <w:szCs w:val="18"/>
                <w:color w:val="auto"/>
                <w:w w:val="93"/>
              </w:rPr>
              <w:t>Accrual</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350"/>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370"/>
              <w:spacing w:after="0"/>
              <w:rPr>
                <w:sz w:val="20"/>
                <w:szCs w:val="20"/>
                <w:color w:val="auto"/>
              </w:rPr>
            </w:pPr>
            <w:r>
              <w:rPr>
                <w:rFonts w:ascii="Arial" w:cs="Arial" w:eastAsia="Arial" w:hAnsi="Arial"/>
                <w:sz w:val="18"/>
                <w:szCs w:val="18"/>
                <w:color w:val="auto"/>
              </w:rPr>
              <w:t>7-8</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center"/>
              <w:ind w:right="10"/>
              <w:spacing w:after="0"/>
              <w:rPr>
                <w:sz w:val="20"/>
                <w:szCs w:val="20"/>
                <w:color w:val="auto"/>
              </w:rPr>
            </w:pPr>
            <w:r>
              <w:rPr>
                <w:rFonts w:ascii="Arial" w:cs="Arial" w:eastAsia="Arial" w:hAnsi="Arial"/>
                <w:sz w:val="18"/>
                <w:szCs w:val="18"/>
                <w:color w:val="auto"/>
                <w:w w:val="99"/>
              </w:rPr>
              <w:t>9</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center"/>
              <w:ind w:right="90"/>
              <w:spacing w:after="0"/>
              <w:rPr>
                <w:sz w:val="20"/>
                <w:szCs w:val="20"/>
                <w:color w:val="auto"/>
              </w:rPr>
            </w:pPr>
            <w:r>
              <w:rPr>
                <w:rFonts w:ascii="Arial" w:cs="Arial" w:eastAsia="Arial" w:hAnsi="Arial"/>
                <w:sz w:val="18"/>
                <w:szCs w:val="18"/>
                <w:color w:val="auto"/>
                <w:w w:val="91"/>
              </w:rPr>
              <w:t>10-11</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ind w:left="14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30"/>
        </w:trPr>
        <w:tc>
          <w:tcPr>
            <w:tcW w:w="4620" w:type="dxa"/>
            <w:vAlign w:val="bottom"/>
            <w:vMerge w:val="restart"/>
          </w:tcPr>
          <w:p>
            <w:pPr>
              <w:spacing w:after="0"/>
              <w:rPr>
                <w:sz w:val="20"/>
                <w:szCs w:val="20"/>
                <w:color w:val="auto"/>
              </w:rPr>
            </w:pPr>
            <w:r>
              <w:rPr>
                <w:rFonts w:ascii="Arial" w:cs="Arial" w:eastAsia="Arial" w:hAnsi="Arial"/>
                <w:sz w:val="18"/>
                <w:szCs w:val="18"/>
                <w:color w:val="auto"/>
              </w:rPr>
              <w:t>December 31, 2020</w:t>
            </w: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88"/>
              </w:rPr>
              <w:t>(In thousands)</w:t>
            </w:r>
          </w:p>
        </w:tc>
        <w:tc>
          <w:tcPr>
            <w:tcW w:w="2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6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Commercial and industrial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637,826</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32,765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4,341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1,387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676,319</w:t>
            </w:r>
          </w:p>
        </w:tc>
        <w:tc>
          <w:tcPr>
            <w:tcW w:w="0" w:type="dxa"/>
            <w:vAlign w:val="bottom"/>
          </w:tcPr>
          <w:p>
            <w:pPr>
              <w:spacing w:after="0"/>
              <w:rPr>
                <w:sz w:val="1"/>
                <w:szCs w:val="1"/>
                <w:color w:val="auto"/>
              </w:rPr>
            </w:pPr>
          </w:p>
        </w:tc>
      </w:tr>
      <w:tr>
        <w:trPr>
          <w:trHeight w:val="223"/>
        </w:trPr>
        <w:tc>
          <w:tcPr>
            <w:tcW w:w="4620" w:type="dxa"/>
            <w:vAlign w:val="bottom"/>
          </w:tcPr>
          <w:p>
            <w:pPr>
              <w:ind w:left="140"/>
              <w:spacing w:after="0"/>
              <w:rPr>
                <w:sz w:val="20"/>
                <w:szCs w:val="20"/>
                <w:color w:val="auto"/>
              </w:rPr>
            </w:pPr>
            <w:r>
              <w:rPr>
                <w:rFonts w:ascii="Arial" w:cs="Arial" w:eastAsia="Arial" w:hAnsi="Arial"/>
                <w:sz w:val="18"/>
                <w:szCs w:val="18"/>
                <w:color w:val="auto"/>
              </w:rPr>
              <w:t>Commercial real estate</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561,382</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5,978</w:t>
            </w: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2,272</w:t>
            </w:r>
          </w:p>
        </w:tc>
        <w:tc>
          <w:tcPr>
            <w:tcW w:w="18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569,632</w:t>
            </w:r>
          </w:p>
        </w:tc>
        <w:tc>
          <w:tcPr>
            <w:tcW w:w="0" w:type="dxa"/>
            <w:vAlign w:val="bottom"/>
          </w:tcPr>
          <w:p>
            <w:pPr>
              <w:spacing w:after="0"/>
              <w:rPr>
                <w:sz w:val="1"/>
                <w:szCs w:val="1"/>
                <w:color w:val="auto"/>
              </w:rPr>
            </w:pPr>
          </w:p>
        </w:tc>
      </w:tr>
      <w:tr>
        <w:trPr>
          <w:trHeight w:val="257"/>
        </w:trPr>
        <w:tc>
          <w:tcPr>
            <w:tcW w:w="46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1,199,208</w:t>
            </w:r>
          </w:p>
        </w:tc>
        <w:tc>
          <w:tcPr>
            <w:tcW w:w="2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38,743</w:t>
            </w: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6,613</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1,387</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1,245,951</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4620" w:type="dxa"/>
            <w:vAlign w:val="bottom"/>
          </w:tcPr>
          <w:p>
            <w:pPr>
              <w:ind w:left="140"/>
              <w:spacing w:after="0"/>
              <w:rPr>
                <w:sz w:val="20"/>
                <w:szCs w:val="20"/>
                <w:color w:val="auto"/>
              </w:rPr>
            </w:pPr>
            <w:r>
              <w:rPr>
                <w:rFonts w:ascii="Arial" w:cs="Arial" w:eastAsia="Arial" w:hAnsi="Arial"/>
                <w:sz w:val="18"/>
                <w:szCs w:val="18"/>
                <w:color w:val="auto"/>
              </w:rPr>
              <w:t>Accrued interest included in total</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3,408</w:t>
            </w:r>
          </w:p>
        </w:tc>
        <w:tc>
          <w:tcPr>
            <w:tcW w:w="24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105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23</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3,536</w:t>
            </w:r>
          </w:p>
        </w:tc>
        <w:tc>
          <w:tcPr>
            <w:tcW w:w="0" w:type="dxa"/>
            <w:vAlign w:val="bottom"/>
          </w:tcPr>
          <w:p>
            <w:pPr>
              <w:spacing w:after="0"/>
              <w:rPr>
                <w:sz w:val="1"/>
                <w:szCs w:val="1"/>
                <w:color w:val="auto"/>
              </w:rPr>
            </w:pPr>
          </w:p>
        </w:tc>
      </w:tr>
      <w:tr>
        <w:trPr>
          <w:trHeight w:val="21"/>
        </w:trPr>
        <w:tc>
          <w:tcPr>
            <w:tcW w:w="4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each of our mortgage and installment portfolio segment classes, we generally monitor credit quality based on the credit scores of the borrowers. These credit scores are generally updated semi-annually.</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credit scores by loan class for our mortgage and installment loan portfolio segments at June 30, 2021:</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9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6"/>
          </w:tcPr>
          <w:p>
            <w:pPr>
              <w:jc w:val="right"/>
              <w:ind w:right="500"/>
              <w:spacing w:after="0"/>
              <w:rPr>
                <w:sz w:val="20"/>
                <w:szCs w:val="20"/>
                <w:color w:val="auto"/>
              </w:rPr>
            </w:pPr>
            <w:r>
              <w:rPr>
                <w:rFonts w:ascii="Arial" w:cs="Arial" w:eastAsia="Arial" w:hAnsi="Arial"/>
                <w:sz w:val="18"/>
                <w:szCs w:val="18"/>
                <w:color w:val="auto"/>
              </w:rPr>
              <w:t>Mortgage (1)</w:t>
            </w: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3"/>
          </w:tcPr>
          <w:p>
            <w:pPr>
              <w:jc w:val="center"/>
              <w:ind w:right="220"/>
              <w:spacing w:after="0" w:line="201" w:lineRule="exact"/>
              <w:rPr>
                <w:sz w:val="20"/>
                <w:szCs w:val="20"/>
                <w:color w:val="auto"/>
              </w:rPr>
            </w:pPr>
            <w:r>
              <w:rPr>
                <w:rFonts w:ascii="Arial" w:cs="Arial" w:eastAsia="Arial" w:hAnsi="Arial"/>
                <w:sz w:val="18"/>
                <w:szCs w:val="18"/>
                <w:color w:val="auto"/>
                <w:w w:val="93"/>
              </w:rPr>
              <w:t>Revolving</w:t>
            </w: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0" w:type="dxa"/>
            <w:vAlign w:val="bottom"/>
            <w:gridSpan w:val="15"/>
            <w:vMerge w:val="restart"/>
          </w:tcPr>
          <w:p>
            <w:pPr>
              <w:ind w:left="140"/>
              <w:spacing w:after="0"/>
              <w:rPr>
                <w:sz w:val="20"/>
                <w:szCs w:val="20"/>
                <w:color w:val="auto"/>
              </w:rPr>
            </w:pPr>
            <w:r>
              <w:rPr>
                <w:rFonts w:ascii="Arial" w:cs="Arial" w:eastAsia="Arial" w:hAnsi="Arial"/>
                <w:sz w:val="18"/>
                <w:szCs w:val="18"/>
                <w:color w:val="auto"/>
                <w:w w:val="93"/>
              </w:rPr>
              <w:t>Term Loans Amortized Cost Basis by Origination Year</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Loans</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4200" w:type="dxa"/>
            <w:vAlign w:val="bottom"/>
            <w:tcBorders>
              <w:bottom w:val="single" w:sz="8" w:color="auto"/>
            </w:tcBorders>
            <w:gridSpan w:val="15"/>
            <w:vMerge w:val="continue"/>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3"/>
          </w:tcPr>
          <w:p>
            <w:pPr>
              <w:jc w:val="center"/>
              <w:ind w:right="220"/>
              <w:spacing w:after="0" w:line="203" w:lineRule="exact"/>
              <w:rPr>
                <w:sz w:val="20"/>
                <w:szCs w:val="20"/>
                <w:color w:val="auto"/>
              </w:rPr>
            </w:pPr>
            <w:r>
              <w:rPr>
                <w:rFonts w:ascii="Arial" w:cs="Arial" w:eastAsia="Arial" w:hAnsi="Arial"/>
                <w:sz w:val="18"/>
                <w:szCs w:val="18"/>
                <w:color w:val="auto"/>
                <w:w w:val="96"/>
              </w:rPr>
              <w:t>Amortized</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9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2021</w:t>
            </w: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2020</w:t>
            </w: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2019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2017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Prior</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8"/>
              </w:rPr>
              <w:t>Cost Basis</w:t>
            </w: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80" w:type="dxa"/>
            <w:vAlign w:val="bottom"/>
            <w:vMerge w:val="restart"/>
          </w:tcPr>
          <w:p>
            <w:pPr>
              <w:spacing w:after="0"/>
              <w:rPr>
                <w:sz w:val="20"/>
                <w:szCs w:val="20"/>
                <w:color w:val="auto"/>
              </w:rPr>
            </w:pPr>
            <w:r>
              <w:rPr>
                <w:rFonts w:ascii="Arial" w:cs="Arial" w:eastAsia="Arial" w:hAnsi="Arial"/>
                <w:sz w:val="18"/>
                <w:szCs w:val="18"/>
                <w:color w:val="auto"/>
              </w:rPr>
              <w:t>June 30, 2021</w:t>
            </w: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(In</w:t>
            </w:r>
          </w:p>
        </w:tc>
        <w:tc>
          <w:tcPr>
            <w:tcW w:w="1040" w:type="dxa"/>
            <w:vAlign w:val="bottom"/>
            <w:gridSpan w:val="4"/>
          </w:tcPr>
          <w:p>
            <w:pPr>
              <w:jc w:val="right"/>
              <w:ind w:right="230"/>
              <w:spacing w:after="0"/>
              <w:rPr>
                <w:sz w:val="20"/>
                <w:szCs w:val="20"/>
                <w:color w:val="auto"/>
              </w:rPr>
            </w:pPr>
            <w:r>
              <w:rPr>
                <w:rFonts w:ascii="Arial" w:cs="Arial" w:eastAsia="Arial" w:hAnsi="Arial"/>
                <w:sz w:val="18"/>
                <w:szCs w:val="18"/>
                <w:color w:val="auto"/>
                <w:w w:val="78"/>
              </w:rPr>
              <w:t>thousands)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29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980" w:type="dxa"/>
            <w:vAlign w:val="bottom"/>
          </w:tcPr>
          <w:p>
            <w:pPr>
              <w:spacing w:after="0"/>
              <w:rPr>
                <w:sz w:val="20"/>
                <w:szCs w:val="20"/>
                <w:color w:val="auto"/>
              </w:rPr>
            </w:pPr>
            <w:r>
              <w:rPr>
                <w:rFonts w:ascii="Arial" w:cs="Arial" w:eastAsia="Arial" w:hAnsi="Arial"/>
                <w:sz w:val="18"/>
                <w:szCs w:val="18"/>
                <w:color w:val="auto"/>
              </w:rPr>
              <w:t>1-4 family owner occupied - jumbo</w:t>
            </w: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800 and above</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13,200</w:t>
            </w:r>
          </w:p>
        </w:tc>
        <w:tc>
          <w:tcPr>
            <w:tcW w:w="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29,651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10,170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3,004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3,039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60,115</w:t>
            </w:r>
          </w:p>
        </w:tc>
        <w:tc>
          <w:tcPr>
            <w:tcW w:w="0" w:type="dxa"/>
            <w:vAlign w:val="bottom"/>
          </w:tcPr>
          <w:p>
            <w:pPr>
              <w:spacing w:after="0"/>
              <w:rPr>
                <w:sz w:val="1"/>
                <w:szCs w:val="1"/>
                <w:color w:val="auto"/>
              </w:rPr>
            </w:pPr>
          </w:p>
        </w:tc>
      </w:tr>
      <w:tr>
        <w:trPr>
          <w:trHeight w:val="216"/>
        </w:trPr>
        <w:tc>
          <w:tcPr>
            <w:tcW w:w="2980" w:type="dxa"/>
            <w:vAlign w:val="bottom"/>
          </w:tcPr>
          <w:p>
            <w:pPr>
              <w:ind w:left="180"/>
              <w:spacing w:after="0"/>
              <w:rPr>
                <w:sz w:val="20"/>
                <w:szCs w:val="20"/>
                <w:color w:val="auto"/>
              </w:rPr>
            </w:pPr>
            <w:r>
              <w:rPr>
                <w:rFonts w:ascii="Arial" w:cs="Arial" w:eastAsia="Arial" w:hAnsi="Arial"/>
                <w:sz w:val="18"/>
                <w:szCs w:val="18"/>
                <w:color w:val="auto"/>
              </w:rPr>
              <w:t>750-799</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88,565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97,242</w:t>
            </w:r>
          </w:p>
        </w:tc>
        <w:tc>
          <w:tcPr>
            <w:tcW w:w="18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40,772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
              <w:spacing w:after="0"/>
              <w:rPr>
                <w:sz w:val="20"/>
                <w:szCs w:val="20"/>
                <w:color w:val="auto"/>
              </w:rPr>
            </w:pPr>
            <w:r>
              <w:rPr>
                <w:rFonts w:ascii="Arial" w:cs="Arial" w:eastAsia="Arial" w:hAnsi="Arial"/>
                <w:sz w:val="18"/>
                <w:szCs w:val="18"/>
                <w:color w:val="auto"/>
              </w:rPr>
              <w:t>12,265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15,456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4,004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258,304</w:t>
            </w: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700-749</w:t>
            </w:r>
          </w:p>
        </w:tc>
        <w:tc>
          <w:tcPr>
            <w:tcW w:w="16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31,225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29,810</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16,476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8,562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13,558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5,387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105,018</w:t>
            </w:r>
          </w:p>
        </w:tc>
        <w:tc>
          <w:tcPr>
            <w:tcW w:w="0" w:type="dxa"/>
            <w:vAlign w:val="bottom"/>
          </w:tcPr>
          <w:p>
            <w:pPr>
              <w:spacing w:after="0"/>
              <w:rPr>
                <w:sz w:val="1"/>
                <w:szCs w:val="1"/>
                <w:color w:val="auto"/>
              </w:rPr>
            </w:pPr>
          </w:p>
        </w:tc>
      </w:tr>
      <w:tr>
        <w:trPr>
          <w:trHeight w:val="216"/>
        </w:trPr>
        <w:tc>
          <w:tcPr>
            <w:tcW w:w="2980" w:type="dxa"/>
            <w:vAlign w:val="bottom"/>
          </w:tcPr>
          <w:p>
            <w:pPr>
              <w:ind w:left="180"/>
              <w:spacing w:after="0"/>
              <w:rPr>
                <w:sz w:val="20"/>
                <w:szCs w:val="20"/>
                <w:color w:val="auto"/>
              </w:rPr>
            </w:pPr>
            <w:r>
              <w:rPr>
                <w:rFonts w:ascii="Arial" w:cs="Arial" w:eastAsia="Arial" w:hAnsi="Arial"/>
                <w:sz w:val="18"/>
                <w:szCs w:val="18"/>
                <w:color w:val="auto"/>
              </w:rPr>
              <w:t>650-699</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4,979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13,876</w:t>
            </w:r>
          </w:p>
        </w:tc>
        <w:tc>
          <w:tcPr>
            <w:tcW w:w="18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10,971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
              <w:spacing w:after="0"/>
              <w:rPr>
                <w:sz w:val="20"/>
                <w:szCs w:val="20"/>
                <w:color w:val="auto"/>
              </w:rPr>
            </w:pPr>
            <w:r>
              <w:rPr>
                <w:rFonts w:ascii="Arial" w:cs="Arial" w:eastAsia="Arial" w:hAnsi="Arial"/>
                <w:sz w:val="18"/>
                <w:szCs w:val="18"/>
                <w:color w:val="auto"/>
              </w:rPr>
              <w:t>6,654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8,905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2,505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47,890</w:t>
            </w: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600-649</w:t>
            </w:r>
          </w:p>
        </w:tc>
        <w:tc>
          <w:tcPr>
            <w:tcW w:w="16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1,463</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2,808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2,014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7,979</w:t>
            </w:r>
          </w:p>
        </w:tc>
        <w:tc>
          <w:tcPr>
            <w:tcW w:w="0" w:type="dxa"/>
            <w:vAlign w:val="bottom"/>
          </w:tcPr>
          <w:p>
            <w:pPr>
              <w:spacing w:after="0"/>
              <w:rPr>
                <w:sz w:val="1"/>
                <w:szCs w:val="1"/>
                <w:color w:val="auto"/>
              </w:rPr>
            </w:pPr>
          </w:p>
        </w:tc>
      </w:tr>
      <w:tr>
        <w:trPr>
          <w:trHeight w:val="216"/>
        </w:trPr>
        <w:tc>
          <w:tcPr>
            <w:tcW w:w="2980" w:type="dxa"/>
            <w:vAlign w:val="bottom"/>
          </w:tcPr>
          <w:p>
            <w:pPr>
              <w:ind w:left="180"/>
              <w:spacing w:after="0"/>
              <w:rPr>
                <w:sz w:val="20"/>
                <w:szCs w:val="20"/>
                <w:color w:val="auto"/>
              </w:rPr>
            </w:pPr>
            <w:r>
              <w:rPr>
                <w:rFonts w:ascii="Arial" w:cs="Arial" w:eastAsia="Arial" w:hAnsi="Arial"/>
                <w:sz w:val="18"/>
                <w:szCs w:val="18"/>
                <w:color w:val="auto"/>
              </w:rPr>
              <w:t>550-599</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1,878</w:t>
            </w:r>
          </w:p>
        </w:tc>
        <w:tc>
          <w:tcPr>
            <w:tcW w:w="18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555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2,433</w:t>
            </w: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500-549</w:t>
            </w:r>
          </w:p>
        </w:tc>
        <w:tc>
          <w:tcPr>
            <w:tcW w:w="16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456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1,550</w:t>
            </w:r>
          </w:p>
        </w:tc>
        <w:tc>
          <w:tcPr>
            <w:tcW w:w="0" w:type="dxa"/>
            <w:vAlign w:val="bottom"/>
          </w:tcPr>
          <w:p>
            <w:pPr>
              <w:spacing w:after="0"/>
              <w:rPr>
                <w:sz w:val="1"/>
                <w:szCs w:val="1"/>
                <w:color w:val="auto"/>
              </w:rPr>
            </w:pPr>
          </w:p>
        </w:tc>
      </w:tr>
      <w:tr>
        <w:trPr>
          <w:trHeight w:val="216"/>
        </w:trPr>
        <w:tc>
          <w:tcPr>
            <w:tcW w:w="2980" w:type="dxa"/>
            <w:vAlign w:val="bottom"/>
          </w:tcPr>
          <w:p>
            <w:pPr>
              <w:ind w:left="180"/>
              <w:spacing w:after="0"/>
              <w:rPr>
                <w:sz w:val="20"/>
                <w:szCs w:val="20"/>
                <w:color w:val="auto"/>
              </w:rPr>
            </w:pPr>
            <w:r>
              <w:rPr>
                <w:rFonts w:ascii="Arial" w:cs="Arial" w:eastAsia="Arial" w:hAnsi="Arial"/>
                <w:sz w:val="18"/>
                <w:szCs w:val="18"/>
                <w:color w:val="auto"/>
              </w:rPr>
              <w:t>Under 500</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Unknown</w:t>
            </w:r>
          </w:p>
        </w:tc>
        <w:tc>
          <w:tcPr>
            <w:tcW w:w="16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9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tcBorders>
              <w:right w:val="single" w:sz="8" w:color="CCEEFF"/>
            </w:tcBorders>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980" w:type="dxa"/>
            <w:vAlign w:val="bottom"/>
          </w:tcPr>
          <w:p>
            <w:pPr>
              <w:ind w:left="180"/>
              <w:spacing w:after="0"/>
              <w:rPr>
                <w:sz w:val="20"/>
                <w:szCs w:val="20"/>
                <w:color w:val="auto"/>
              </w:rPr>
            </w:pPr>
            <w:r>
              <w:rPr>
                <w:rFonts w:ascii="Arial" w:cs="Arial" w:eastAsia="Arial" w:hAnsi="Arial"/>
                <w:sz w:val="18"/>
                <w:szCs w:val="18"/>
                <w:color w:val="auto"/>
              </w:rPr>
              <w:t>Total</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137,969</w:t>
            </w:r>
          </w:p>
        </w:tc>
        <w:tc>
          <w:tcPr>
            <w:tcW w:w="1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173,920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81,672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
              <w:spacing w:after="0"/>
              <w:rPr>
                <w:sz w:val="20"/>
                <w:szCs w:val="20"/>
                <w:color w:val="auto"/>
              </w:rPr>
            </w:pPr>
            <w:r>
              <w:rPr>
                <w:rFonts w:ascii="Arial" w:cs="Arial" w:eastAsia="Arial" w:hAnsi="Arial"/>
                <w:sz w:val="18"/>
                <w:szCs w:val="18"/>
                <w:color w:val="auto"/>
              </w:rPr>
              <w:t>30,941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44,146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14,641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483,289</w:t>
            </w:r>
          </w:p>
        </w:tc>
        <w:tc>
          <w:tcPr>
            <w:tcW w:w="0" w:type="dxa"/>
            <w:vAlign w:val="bottom"/>
          </w:tcPr>
          <w:p>
            <w:pPr>
              <w:spacing w:after="0"/>
              <w:rPr>
                <w:sz w:val="1"/>
                <w:szCs w:val="1"/>
                <w:color w:val="auto"/>
              </w:rPr>
            </w:pPr>
          </w:p>
        </w:tc>
      </w:tr>
      <w:tr>
        <w:trPr>
          <w:trHeight w:val="21"/>
        </w:trPr>
        <w:tc>
          <w:tcPr>
            <w:tcW w:w="2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interest excluded from total</w:t>
            </w: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1,261</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2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w w:val="95"/>
              </w:rPr>
              <w:t>1-4 family owner occupied - non-jumbo</w:t>
            </w:r>
          </w:p>
        </w:tc>
        <w:tc>
          <w:tcPr>
            <w:tcW w:w="16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tcPr>
          <w:p>
            <w:pPr>
              <w:ind w:left="180"/>
              <w:spacing w:after="0"/>
              <w:rPr>
                <w:sz w:val="20"/>
                <w:szCs w:val="20"/>
                <w:color w:val="auto"/>
              </w:rPr>
            </w:pPr>
            <w:r>
              <w:rPr>
                <w:rFonts w:ascii="Arial" w:cs="Arial" w:eastAsia="Arial" w:hAnsi="Arial"/>
                <w:sz w:val="18"/>
                <w:szCs w:val="18"/>
                <w:color w:val="auto"/>
              </w:rPr>
              <w:t>800 and above</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626</w:t>
            </w:r>
          </w:p>
        </w:tc>
        <w:tc>
          <w:tcPr>
            <w:tcW w:w="3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7,906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5,562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
              <w:spacing w:after="0"/>
              <w:rPr>
                <w:sz w:val="20"/>
                <w:szCs w:val="20"/>
                <w:color w:val="auto"/>
              </w:rPr>
            </w:pPr>
            <w:r>
              <w:rPr>
                <w:rFonts w:ascii="Arial" w:cs="Arial" w:eastAsia="Arial" w:hAnsi="Arial"/>
                <w:sz w:val="18"/>
                <w:szCs w:val="18"/>
                <w:color w:val="auto"/>
              </w:rPr>
              <w:t>2,531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4,820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5,677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2,241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29,363</w:t>
            </w: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750-799</w:t>
            </w:r>
          </w:p>
        </w:tc>
        <w:tc>
          <w:tcPr>
            <w:tcW w:w="16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4,117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33,175</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10,263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8,733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13,181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11,589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6,098</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87,156</w:t>
            </w:r>
          </w:p>
        </w:tc>
        <w:tc>
          <w:tcPr>
            <w:tcW w:w="0" w:type="dxa"/>
            <w:vAlign w:val="bottom"/>
          </w:tcPr>
          <w:p>
            <w:pPr>
              <w:spacing w:after="0"/>
              <w:rPr>
                <w:sz w:val="1"/>
                <w:szCs w:val="1"/>
                <w:color w:val="auto"/>
              </w:rPr>
            </w:pPr>
          </w:p>
        </w:tc>
      </w:tr>
      <w:tr>
        <w:trPr>
          <w:trHeight w:val="216"/>
        </w:trPr>
        <w:tc>
          <w:tcPr>
            <w:tcW w:w="2980" w:type="dxa"/>
            <w:vAlign w:val="bottom"/>
          </w:tcPr>
          <w:p>
            <w:pPr>
              <w:ind w:left="180"/>
              <w:spacing w:after="0"/>
              <w:rPr>
                <w:sz w:val="20"/>
                <w:szCs w:val="20"/>
                <w:color w:val="auto"/>
              </w:rPr>
            </w:pPr>
            <w:r>
              <w:rPr>
                <w:rFonts w:ascii="Arial" w:cs="Arial" w:eastAsia="Arial" w:hAnsi="Arial"/>
                <w:sz w:val="18"/>
                <w:szCs w:val="18"/>
                <w:color w:val="auto"/>
              </w:rPr>
              <w:t>700-749</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7,784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13,294</w:t>
            </w:r>
          </w:p>
        </w:tc>
        <w:tc>
          <w:tcPr>
            <w:tcW w:w="18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7,129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
              <w:spacing w:after="0"/>
              <w:rPr>
                <w:sz w:val="20"/>
                <w:szCs w:val="20"/>
                <w:color w:val="auto"/>
              </w:rPr>
            </w:pPr>
            <w:r>
              <w:rPr>
                <w:rFonts w:ascii="Arial" w:cs="Arial" w:eastAsia="Arial" w:hAnsi="Arial"/>
                <w:sz w:val="18"/>
                <w:szCs w:val="18"/>
                <w:color w:val="auto"/>
              </w:rPr>
              <w:t>4,017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5,145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23,456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2,549</w:t>
            </w: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63,374</w:t>
            </w: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650-699</w:t>
            </w:r>
          </w:p>
        </w:tc>
        <w:tc>
          <w:tcPr>
            <w:tcW w:w="16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7,447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5,944</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4,069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2,864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2,980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11,433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1,098</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35,835</w:t>
            </w:r>
          </w:p>
        </w:tc>
        <w:tc>
          <w:tcPr>
            <w:tcW w:w="0" w:type="dxa"/>
            <w:vAlign w:val="bottom"/>
          </w:tcPr>
          <w:p>
            <w:pPr>
              <w:spacing w:after="0"/>
              <w:rPr>
                <w:sz w:val="1"/>
                <w:szCs w:val="1"/>
                <w:color w:val="auto"/>
              </w:rPr>
            </w:pPr>
          </w:p>
        </w:tc>
      </w:tr>
      <w:tr>
        <w:trPr>
          <w:trHeight w:val="216"/>
        </w:trPr>
        <w:tc>
          <w:tcPr>
            <w:tcW w:w="2980" w:type="dxa"/>
            <w:vAlign w:val="bottom"/>
          </w:tcPr>
          <w:p>
            <w:pPr>
              <w:ind w:left="180"/>
              <w:spacing w:after="0"/>
              <w:rPr>
                <w:sz w:val="20"/>
                <w:szCs w:val="20"/>
                <w:color w:val="auto"/>
              </w:rPr>
            </w:pPr>
            <w:r>
              <w:rPr>
                <w:rFonts w:ascii="Arial" w:cs="Arial" w:eastAsia="Arial" w:hAnsi="Arial"/>
                <w:sz w:val="18"/>
                <w:szCs w:val="18"/>
                <w:color w:val="auto"/>
              </w:rPr>
              <w:t>600-649</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2,031</w:t>
            </w:r>
          </w:p>
        </w:tc>
        <w:tc>
          <w:tcPr>
            <w:tcW w:w="18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1,750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
              <w:spacing w:after="0"/>
              <w:rPr>
                <w:sz w:val="20"/>
                <w:szCs w:val="20"/>
                <w:color w:val="auto"/>
              </w:rPr>
            </w:pPr>
            <w:r>
              <w:rPr>
                <w:rFonts w:ascii="Arial" w:cs="Arial" w:eastAsia="Arial" w:hAnsi="Arial"/>
                <w:sz w:val="18"/>
                <w:szCs w:val="18"/>
                <w:color w:val="auto"/>
              </w:rPr>
              <w:t>1,786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3,372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9,429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71</w:t>
            </w: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18,546</w:t>
            </w: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550-599</w:t>
            </w:r>
          </w:p>
        </w:tc>
        <w:tc>
          <w:tcPr>
            <w:tcW w:w="16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1,874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6,598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144</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9,192</w:t>
            </w:r>
          </w:p>
        </w:tc>
        <w:tc>
          <w:tcPr>
            <w:tcW w:w="0" w:type="dxa"/>
            <w:vAlign w:val="bottom"/>
          </w:tcPr>
          <w:p>
            <w:pPr>
              <w:spacing w:after="0"/>
              <w:rPr>
                <w:sz w:val="1"/>
                <w:szCs w:val="1"/>
                <w:color w:val="auto"/>
              </w:rPr>
            </w:pPr>
          </w:p>
        </w:tc>
      </w:tr>
      <w:tr>
        <w:trPr>
          <w:trHeight w:val="216"/>
        </w:trPr>
        <w:tc>
          <w:tcPr>
            <w:tcW w:w="2980" w:type="dxa"/>
            <w:vAlign w:val="bottom"/>
          </w:tcPr>
          <w:p>
            <w:pPr>
              <w:ind w:left="180"/>
              <w:spacing w:after="0"/>
              <w:rPr>
                <w:sz w:val="20"/>
                <w:szCs w:val="20"/>
                <w:color w:val="auto"/>
              </w:rPr>
            </w:pPr>
            <w:r>
              <w:rPr>
                <w:rFonts w:ascii="Arial" w:cs="Arial" w:eastAsia="Arial" w:hAnsi="Arial"/>
                <w:sz w:val="18"/>
                <w:szCs w:val="18"/>
                <w:color w:val="auto"/>
              </w:rPr>
              <w:t>500-549</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404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1,178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3,992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5,673</w:t>
            </w: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Under 500</w:t>
            </w:r>
          </w:p>
        </w:tc>
        <w:tc>
          <w:tcPr>
            <w:tcW w:w="16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405</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1,979</w:t>
            </w:r>
          </w:p>
        </w:tc>
        <w:tc>
          <w:tcPr>
            <w:tcW w:w="0" w:type="dxa"/>
            <w:vAlign w:val="bottom"/>
          </w:tcPr>
          <w:p>
            <w:pPr>
              <w:spacing w:after="0"/>
              <w:rPr>
                <w:sz w:val="1"/>
                <w:szCs w:val="1"/>
                <w:color w:val="auto"/>
              </w:rPr>
            </w:pPr>
          </w:p>
        </w:tc>
      </w:tr>
      <w:tr>
        <w:trPr>
          <w:trHeight w:val="223"/>
        </w:trPr>
        <w:tc>
          <w:tcPr>
            <w:tcW w:w="2980" w:type="dxa"/>
            <w:vAlign w:val="bottom"/>
          </w:tcPr>
          <w:p>
            <w:pPr>
              <w:ind w:left="180"/>
              <w:spacing w:after="0"/>
              <w:rPr>
                <w:sz w:val="20"/>
                <w:szCs w:val="20"/>
                <w:color w:val="auto"/>
              </w:rPr>
            </w:pPr>
            <w:r>
              <w:rPr>
                <w:rFonts w:ascii="Arial" w:cs="Arial" w:eastAsia="Arial" w:hAnsi="Arial"/>
                <w:sz w:val="18"/>
                <w:szCs w:val="18"/>
                <w:color w:val="auto"/>
              </w:rPr>
              <w:t>Unknown</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9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20,081</w:t>
            </w:r>
          </w:p>
        </w:tc>
        <w:tc>
          <w:tcPr>
            <w:tcW w:w="1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62,755</w:t>
            </w:r>
          </w:p>
        </w:tc>
        <w:tc>
          <w:tcPr>
            <w:tcW w:w="1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29,519</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21,939</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31,521</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73,087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12,216</w:t>
            </w: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251,118</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2980" w:type="dxa"/>
            <w:vAlign w:val="bottom"/>
          </w:tcPr>
          <w:p>
            <w:pPr>
              <w:spacing w:after="0"/>
              <w:rPr>
                <w:sz w:val="20"/>
                <w:szCs w:val="20"/>
                <w:color w:val="auto"/>
              </w:rPr>
            </w:pPr>
            <w:r>
              <w:rPr>
                <w:rFonts w:ascii="Arial" w:cs="Arial" w:eastAsia="Arial" w:hAnsi="Arial"/>
                <w:sz w:val="18"/>
                <w:szCs w:val="18"/>
                <w:color w:val="auto"/>
              </w:rPr>
              <w:t>Accrued interest excluded from total</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141</w:t>
            </w:r>
          </w:p>
        </w:tc>
        <w:tc>
          <w:tcPr>
            <w:tcW w:w="3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141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107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
              <w:spacing w:after="0"/>
              <w:rPr>
                <w:sz w:val="20"/>
                <w:szCs w:val="20"/>
                <w:color w:val="auto"/>
              </w:rPr>
            </w:pPr>
            <w:r>
              <w:rPr>
                <w:rFonts w:ascii="Arial" w:cs="Arial" w:eastAsia="Arial" w:hAnsi="Arial"/>
                <w:sz w:val="18"/>
                <w:szCs w:val="18"/>
                <w:color w:val="auto"/>
              </w:rPr>
              <w:t>79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144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267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52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931</w:t>
            </w:r>
          </w:p>
        </w:tc>
        <w:tc>
          <w:tcPr>
            <w:tcW w:w="0" w:type="dxa"/>
            <w:vAlign w:val="bottom"/>
          </w:tcPr>
          <w:p>
            <w:pPr>
              <w:spacing w:after="0"/>
              <w:rPr>
                <w:sz w:val="1"/>
                <w:szCs w:val="1"/>
                <w:color w:val="auto"/>
              </w:rPr>
            </w:pPr>
          </w:p>
        </w:tc>
      </w:tr>
      <w:tr>
        <w:trPr>
          <w:trHeight w:val="21"/>
        </w:trPr>
        <w:tc>
          <w:tcPr>
            <w:tcW w:w="2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1-4 family non-owner occupied</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800 and above</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6,658</w:t>
            </w:r>
          </w:p>
        </w:tc>
        <w:tc>
          <w:tcPr>
            <w:tcW w:w="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4,236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3,579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1,682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3,944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6,416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1,763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28,278</w:t>
            </w:r>
          </w:p>
        </w:tc>
        <w:tc>
          <w:tcPr>
            <w:tcW w:w="0" w:type="dxa"/>
            <w:vAlign w:val="bottom"/>
          </w:tcPr>
          <w:p>
            <w:pPr>
              <w:spacing w:after="0"/>
              <w:rPr>
                <w:sz w:val="1"/>
                <w:szCs w:val="1"/>
                <w:color w:val="auto"/>
              </w:rPr>
            </w:pPr>
          </w:p>
        </w:tc>
      </w:tr>
      <w:tr>
        <w:trPr>
          <w:trHeight w:val="216"/>
        </w:trPr>
        <w:tc>
          <w:tcPr>
            <w:tcW w:w="2980" w:type="dxa"/>
            <w:vAlign w:val="bottom"/>
          </w:tcPr>
          <w:p>
            <w:pPr>
              <w:ind w:left="180"/>
              <w:spacing w:after="0"/>
              <w:rPr>
                <w:sz w:val="20"/>
                <w:szCs w:val="20"/>
                <w:color w:val="auto"/>
              </w:rPr>
            </w:pPr>
            <w:r>
              <w:rPr>
                <w:rFonts w:ascii="Arial" w:cs="Arial" w:eastAsia="Arial" w:hAnsi="Arial"/>
                <w:sz w:val="18"/>
                <w:szCs w:val="18"/>
                <w:color w:val="auto"/>
              </w:rPr>
              <w:t>750-799</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20,518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24,055</w:t>
            </w:r>
          </w:p>
        </w:tc>
        <w:tc>
          <w:tcPr>
            <w:tcW w:w="18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13,115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
              <w:spacing w:after="0"/>
              <w:rPr>
                <w:sz w:val="20"/>
                <w:szCs w:val="20"/>
                <w:color w:val="auto"/>
              </w:rPr>
            </w:pPr>
            <w:r>
              <w:rPr>
                <w:rFonts w:ascii="Arial" w:cs="Arial" w:eastAsia="Arial" w:hAnsi="Arial"/>
                <w:sz w:val="18"/>
                <w:szCs w:val="18"/>
                <w:color w:val="auto"/>
              </w:rPr>
              <w:t>4,057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5,974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10,659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7,342</w:t>
            </w: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85,720</w:t>
            </w: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700-749</w:t>
            </w:r>
          </w:p>
        </w:tc>
        <w:tc>
          <w:tcPr>
            <w:tcW w:w="16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9,048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8,058</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2,004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2,780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2,783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7,224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3,910</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35,807</w:t>
            </w:r>
          </w:p>
        </w:tc>
        <w:tc>
          <w:tcPr>
            <w:tcW w:w="0" w:type="dxa"/>
            <w:vAlign w:val="bottom"/>
          </w:tcPr>
          <w:p>
            <w:pPr>
              <w:spacing w:after="0"/>
              <w:rPr>
                <w:sz w:val="1"/>
                <w:szCs w:val="1"/>
                <w:color w:val="auto"/>
              </w:rPr>
            </w:pPr>
          </w:p>
        </w:tc>
      </w:tr>
      <w:tr>
        <w:trPr>
          <w:trHeight w:val="216"/>
        </w:trPr>
        <w:tc>
          <w:tcPr>
            <w:tcW w:w="2980" w:type="dxa"/>
            <w:vAlign w:val="bottom"/>
          </w:tcPr>
          <w:p>
            <w:pPr>
              <w:ind w:left="180"/>
              <w:spacing w:after="0"/>
              <w:rPr>
                <w:sz w:val="20"/>
                <w:szCs w:val="20"/>
                <w:color w:val="auto"/>
              </w:rPr>
            </w:pPr>
            <w:r>
              <w:rPr>
                <w:rFonts w:ascii="Arial" w:cs="Arial" w:eastAsia="Arial" w:hAnsi="Arial"/>
                <w:sz w:val="18"/>
                <w:szCs w:val="18"/>
                <w:color w:val="auto"/>
              </w:rPr>
              <w:t>650-699</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1,633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859</w:t>
            </w:r>
          </w:p>
        </w:tc>
        <w:tc>
          <w:tcPr>
            <w:tcW w:w="18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1,315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
              <w:spacing w:after="0"/>
              <w:rPr>
                <w:sz w:val="20"/>
                <w:szCs w:val="20"/>
                <w:color w:val="auto"/>
              </w:rPr>
            </w:pPr>
            <w:r>
              <w:rPr>
                <w:rFonts w:ascii="Arial" w:cs="Arial" w:eastAsia="Arial" w:hAnsi="Arial"/>
                <w:sz w:val="18"/>
                <w:szCs w:val="18"/>
                <w:color w:val="auto"/>
              </w:rPr>
              <w:t>602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477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6,916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1,266</w:t>
            </w: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13,068</w:t>
            </w: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600-649</w:t>
            </w:r>
          </w:p>
        </w:tc>
        <w:tc>
          <w:tcPr>
            <w:tcW w:w="16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278</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2,787</w:t>
            </w:r>
          </w:p>
        </w:tc>
        <w:tc>
          <w:tcPr>
            <w:tcW w:w="0" w:type="dxa"/>
            <w:vAlign w:val="bottom"/>
          </w:tcPr>
          <w:p>
            <w:pPr>
              <w:spacing w:after="0"/>
              <w:rPr>
                <w:sz w:val="1"/>
                <w:szCs w:val="1"/>
                <w:color w:val="auto"/>
              </w:rPr>
            </w:pPr>
          </w:p>
        </w:tc>
      </w:tr>
      <w:tr>
        <w:trPr>
          <w:trHeight w:val="216"/>
        </w:trPr>
        <w:tc>
          <w:tcPr>
            <w:tcW w:w="2980" w:type="dxa"/>
            <w:vAlign w:val="bottom"/>
          </w:tcPr>
          <w:p>
            <w:pPr>
              <w:ind w:left="180"/>
              <w:spacing w:after="0"/>
              <w:rPr>
                <w:sz w:val="20"/>
                <w:szCs w:val="20"/>
                <w:color w:val="auto"/>
              </w:rPr>
            </w:pPr>
            <w:r>
              <w:rPr>
                <w:rFonts w:ascii="Arial" w:cs="Arial" w:eastAsia="Arial" w:hAnsi="Arial"/>
                <w:sz w:val="18"/>
                <w:szCs w:val="18"/>
                <w:color w:val="auto"/>
              </w:rPr>
              <w:t>550-599</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59</w:t>
            </w:r>
          </w:p>
        </w:tc>
        <w:tc>
          <w:tcPr>
            <w:tcW w:w="18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156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1,783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54</w:t>
            </w: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2,386</w:t>
            </w: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500-549</w:t>
            </w:r>
          </w:p>
        </w:tc>
        <w:tc>
          <w:tcPr>
            <w:tcW w:w="16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824</w:t>
            </w:r>
          </w:p>
        </w:tc>
        <w:tc>
          <w:tcPr>
            <w:tcW w:w="0" w:type="dxa"/>
            <w:vAlign w:val="bottom"/>
          </w:tcPr>
          <w:p>
            <w:pPr>
              <w:spacing w:after="0"/>
              <w:rPr>
                <w:sz w:val="1"/>
                <w:szCs w:val="1"/>
                <w:color w:val="auto"/>
              </w:rPr>
            </w:pPr>
          </w:p>
        </w:tc>
      </w:tr>
      <w:tr>
        <w:trPr>
          <w:trHeight w:val="216"/>
        </w:trPr>
        <w:tc>
          <w:tcPr>
            <w:tcW w:w="2980" w:type="dxa"/>
            <w:vAlign w:val="bottom"/>
          </w:tcPr>
          <w:p>
            <w:pPr>
              <w:ind w:left="160"/>
              <w:spacing w:after="0"/>
              <w:rPr>
                <w:sz w:val="20"/>
                <w:szCs w:val="20"/>
                <w:color w:val="auto"/>
              </w:rPr>
            </w:pPr>
            <w:r>
              <w:rPr>
                <w:rFonts w:ascii="Arial" w:cs="Arial" w:eastAsia="Arial" w:hAnsi="Arial"/>
                <w:sz w:val="18"/>
                <w:szCs w:val="18"/>
                <w:color w:val="auto"/>
              </w:rPr>
              <w:t>Under 500</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297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Unknown</w:t>
            </w:r>
          </w:p>
        </w:tc>
        <w:tc>
          <w:tcPr>
            <w:tcW w:w="16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9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tcBorders>
              <w:right w:val="single" w:sz="8" w:color="CCEEFF"/>
            </w:tcBorders>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980" w:type="dxa"/>
            <w:vAlign w:val="bottom"/>
          </w:tcPr>
          <w:p>
            <w:pPr>
              <w:ind w:left="340"/>
              <w:spacing w:after="0"/>
              <w:rPr>
                <w:sz w:val="20"/>
                <w:szCs w:val="20"/>
                <w:color w:val="auto"/>
              </w:rPr>
            </w:pPr>
            <w:r>
              <w:rPr>
                <w:rFonts w:ascii="Arial" w:cs="Arial" w:eastAsia="Arial" w:hAnsi="Arial"/>
                <w:sz w:val="18"/>
                <w:szCs w:val="18"/>
                <w:color w:val="auto"/>
              </w:rPr>
              <w:t>Total</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37,857</w:t>
            </w:r>
          </w:p>
        </w:tc>
        <w:tc>
          <w:tcPr>
            <w:tcW w:w="1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37,267</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20,138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
              <w:spacing w:after="0"/>
              <w:rPr>
                <w:sz w:val="20"/>
                <w:szCs w:val="20"/>
                <w:color w:val="auto"/>
              </w:rPr>
            </w:pPr>
            <w:r>
              <w:rPr>
                <w:rFonts w:ascii="Arial" w:cs="Arial" w:eastAsia="Arial" w:hAnsi="Arial"/>
                <w:sz w:val="18"/>
                <w:szCs w:val="18"/>
                <w:color w:val="auto"/>
              </w:rPr>
              <w:t>9,392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13,476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36,424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14,628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169,182</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interest excluded from total</w:t>
            </w: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1-4 family - 2nd lien</w:t>
            </w:r>
          </w:p>
        </w:tc>
        <w:tc>
          <w:tcPr>
            <w:tcW w:w="16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tcPr>
          <w:p>
            <w:pPr>
              <w:ind w:left="180"/>
              <w:spacing w:after="0"/>
              <w:rPr>
                <w:sz w:val="20"/>
                <w:szCs w:val="20"/>
                <w:color w:val="auto"/>
              </w:rPr>
            </w:pPr>
            <w:r>
              <w:rPr>
                <w:rFonts w:ascii="Arial" w:cs="Arial" w:eastAsia="Arial" w:hAnsi="Arial"/>
                <w:sz w:val="18"/>
                <w:szCs w:val="18"/>
                <w:color w:val="auto"/>
              </w:rPr>
              <w:t>800 and above</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248</w:t>
            </w:r>
          </w:p>
        </w:tc>
        <w:tc>
          <w:tcPr>
            <w:tcW w:w="3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525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200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
              <w:spacing w:after="0"/>
              <w:rPr>
                <w:sz w:val="20"/>
                <w:szCs w:val="20"/>
                <w:color w:val="auto"/>
              </w:rPr>
            </w:pPr>
            <w:r>
              <w:rPr>
                <w:rFonts w:ascii="Arial" w:cs="Arial" w:eastAsia="Arial" w:hAnsi="Arial"/>
                <w:sz w:val="18"/>
                <w:szCs w:val="18"/>
                <w:color w:val="auto"/>
              </w:rPr>
              <w:t>374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677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260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8,728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11,012</w:t>
            </w: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750-799</w:t>
            </w:r>
          </w:p>
        </w:tc>
        <w:tc>
          <w:tcPr>
            <w:tcW w:w="16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4,620</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1,752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1,804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2,518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25,196</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40,256</w:t>
            </w:r>
          </w:p>
        </w:tc>
        <w:tc>
          <w:tcPr>
            <w:tcW w:w="0" w:type="dxa"/>
            <w:vAlign w:val="bottom"/>
          </w:tcPr>
          <w:p>
            <w:pPr>
              <w:spacing w:after="0"/>
              <w:rPr>
                <w:sz w:val="1"/>
                <w:szCs w:val="1"/>
                <w:color w:val="auto"/>
              </w:rPr>
            </w:pPr>
          </w:p>
        </w:tc>
      </w:tr>
      <w:tr>
        <w:trPr>
          <w:trHeight w:val="216"/>
        </w:trPr>
        <w:tc>
          <w:tcPr>
            <w:tcW w:w="2980" w:type="dxa"/>
            <w:vAlign w:val="bottom"/>
          </w:tcPr>
          <w:p>
            <w:pPr>
              <w:ind w:left="180"/>
              <w:spacing w:after="0"/>
              <w:rPr>
                <w:sz w:val="20"/>
                <w:szCs w:val="20"/>
                <w:color w:val="auto"/>
              </w:rPr>
            </w:pPr>
            <w:r>
              <w:rPr>
                <w:rFonts w:ascii="Arial" w:cs="Arial" w:eastAsia="Arial" w:hAnsi="Arial"/>
                <w:sz w:val="18"/>
                <w:szCs w:val="18"/>
                <w:color w:val="auto"/>
              </w:rPr>
              <w:t>700-749</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945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1,437</w:t>
            </w:r>
          </w:p>
        </w:tc>
        <w:tc>
          <w:tcPr>
            <w:tcW w:w="18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1,292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
              <w:spacing w:after="0"/>
              <w:rPr>
                <w:sz w:val="20"/>
                <w:szCs w:val="20"/>
                <w:color w:val="auto"/>
              </w:rPr>
            </w:pPr>
            <w:r>
              <w:rPr>
                <w:rFonts w:ascii="Arial" w:cs="Arial" w:eastAsia="Arial" w:hAnsi="Arial"/>
                <w:sz w:val="18"/>
                <w:szCs w:val="18"/>
                <w:color w:val="auto"/>
              </w:rPr>
              <w:t>1,082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1,498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1,793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12,605</w:t>
            </w: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20,652</w:t>
            </w: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650-699</w:t>
            </w:r>
          </w:p>
        </w:tc>
        <w:tc>
          <w:tcPr>
            <w:tcW w:w="16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273</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722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334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1,072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5,707</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9,664</w:t>
            </w:r>
          </w:p>
        </w:tc>
        <w:tc>
          <w:tcPr>
            <w:tcW w:w="0" w:type="dxa"/>
            <w:vAlign w:val="bottom"/>
          </w:tcPr>
          <w:p>
            <w:pPr>
              <w:spacing w:after="0"/>
              <w:rPr>
                <w:sz w:val="1"/>
                <w:szCs w:val="1"/>
                <w:color w:val="auto"/>
              </w:rPr>
            </w:pPr>
          </w:p>
        </w:tc>
      </w:tr>
      <w:tr>
        <w:trPr>
          <w:trHeight w:val="216"/>
        </w:trPr>
        <w:tc>
          <w:tcPr>
            <w:tcW w:w="2980" w:type="dxa"/>
            <w:vAlign w:val="bottom"/>
          </w:tcPr>
          <w:p>
            <w:pPr>
              <w:ind w:left="180"/>
              <w:spacing w:after="0"/>
              <w:rPr>
                <w:sz w:val="20"/>
                <w:szCs w:val="20"/>
                <w:color w:val="auto"/>
              </w:rPr>
            </w:pPr>
            <w:r>
              <w:rPr>
                <w:rFonts w:ascii="Arial" w:cs="Arial" w:eastAsia="Arial" w:hAnsi="Arial"/>
                <w:sz w:val="18"/>
                <w:szCs w:val="18"/>
                <w:color w:val="auto"/>
              </w:rPr>
              <w:t>600-649</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370</w:t>
            </w:r>
          </w:p>
        </w:tc>
        <w:tc>
          <w:tcPr>
            <w:tcW w:w="18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210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1,023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1,253</w:t>
            </w: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2,989</w:t>
            </w: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550-599</w:t>
            </w:r>
          </w:p>
        </w:tc>
        <w:tc>
          <w:tcPr>
            <w:tcW w:w="16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673</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1,704</w:t>
            </w:r>
          </w:p>
        </w:tc>
        <w:tc>
          <w:tcPr>
            <w:tcW w:w="0" w:type="dxa"/>
            <w:vAlign w:val="bottom"/>
          </w:tcPr>
          <w:p>
            <w:pPr>
              <w:spacing w:after="0"/>
              <w:rPr>
                <w:sz w:val="1"/>
                <w:szCs w:val="1"/>
                <w:color w:val="auto"/>
              </w:rPr>
            </w:pPr>
          </w:p>
        </w:tc>
      </w:tr>
      <w:tr>
        <w:trPr>
          <w:trHeight w:val="216"/>
        </w:trPr>
        <w:tc>
          <w:tcPr>
            <w:tcW w:w="2980" w:type="dxa"/>
            <w:vAlign w:val="bottom"/>
          </w:tcPr>
          <w:p>
            <w:pPr>
              <w:ind w:left="180"/>
              <w:spacing w:after="0"/>
              <w:rPr>
                <w:sz w:val="20"/>
                <w:szCs w:val="20"/>
                <w:color w:val="auto"/>
              </w:rPr>
            </w:pPr>
            <w:r>
              <w:rPr>
                <w:rFonts w:ascii="Arial" w:cs="Arial" w:eastAsia="Arial" w:hAnsi="Arial"/>
                <w:sz w:val="18"/>
                <w:szCs w:val="18"/>
                <w:color w:val="auto"/>
              </w:rPr>
              <w:t>500-549</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298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98</w:t>
            </w: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989</w:t>
            </w: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Under 500</w:t>
            </w:r>
          </w:p>
        </w:tc>
        <w:tc>
          <w:tcPr>
            <w:tcW w:w="16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23"/>
        </w:trPr>
        <w:tc>
          <w:tcPr>
            <w:tcW w:w="2980" w:type="dxa"/>
            <w:vAlign w:val="bottom"/>
          </w:tcPr>
          <w:p>
            <w:pPr>
              <w:ind w:left="160"/>
              <w:spacing w:after="0"/>
              <w:rPr>
                <w:sz w:val="20"/>
                <w:szCs w:val="20"/>
                <w:color w:val="auto"/>
              </w:rPr>
            </w:pPr>
            <w:r>
              <w:rPr>
                <w:rFonts w:ascii="Arial" w:cs="Arial" w:eastAsia="Arial" w:hAnsi="Arial"/>
                <w:sz w:val="18"/>
                <w:szCs w:val="18"/>
                <w:color w:val="auto"/>
              </w:rPr>
              <w:t>Unknown</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29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3,796</w:t>
            </w:r>
          </w:p>
        </w:tc>
        <w:tc>
          <w:tcPr>
            <w:tcW w:w="1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7,225</w:t>
            </w:r>
          </w:p>
        </w:tc>
        <w:tc>
          <w:tcPr>
            <w:tcW w:w="1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4,444</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3,904</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6,495</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54,260</w:t>
            </w: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87,605</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2980" w:type="dxa"/>
            <w:vAlign w:val="bottom"/>
          </w:tcPr>
          <w:p>
            <w:pPr>
              <w:spacing w:after="0"/>
              <w:rPr>
                <w:sz w:val="20"/>
                <w:szCs w:val="20"/>
                <w:color w:val="auto"/>
              </w:rPr>
            </w:pPr>
            <w:r>
              <w:rPr>
                <w:rFonts w:ascii="Arial" w:cs="Arial" w:eastAsia="Arial" w:hAnsi="Arial"/>
                <w:sz w:val="18"/>
                <w:szCs w:val="18"/>
                <w:color w:val="auto"/>
              </w:rPr>
              <w:t>Accrued interest excluded from total</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w:t>
            </w:r>
          </w:p>
        </w:tc>
        <w:tc>
          <w:tcPr>
            <w:tcW w:w="3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19</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17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
              <w:spacing w:after="0"/>
              <w:rPr>
                <w:sz w:val="20"/>
                <w:szCs w:val="20"/>
                <w:color w:val="auto"/>
              </w:rPr>
            </w:pPr>
            <w:r>
              <w:rPr>
                <w:rFonts w:ascii="Arial" w:cs="Arial" w:eastAsia="Arial" w:hAnsi="Arial"/>
                <w:sz w:val="18"/>
                <w:szCs w:val="18"/>
                <w:color w:val="auto"/>
              </w:rPr>
              <w:t>18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21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225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1"/>
        </w:trPr>
        <w:tc>
          <w:tcPr>
            <w:tcW w:w="2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3" w:name="page34"/>
    <w:bookmarkEnd w:id="3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7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6"/>
          </w:tcPr>
          <w:p>
            <w:pPr>
              <w:spacing w:after="0"/>
              <w:rPr>
                <w:sz w:val="20"/>
                <w:szCs w:val="20"/>
                <w:color w:val="auto"/>
              </w:rPr>
            </w:pPr>
            <w:r>
              <w:rPr>
                <w:rFonts w:ascii="Arial" w:cs="Arial" w:eastAsia="Arial" w:hAnsi="Arial"/>
                <w:sz w:val="18"/>
                <w:szCs w:val="18"/>
                <w:color w:val="auto"/>
              </w:rPr>
              <w:t>Mortgage - continued (1)</w:t>
            </w: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3"/>
          </w:tcPr>
          <w:p>
            <w:pPr>
              <w:jc w:val="center"/>
              <w:ind w:right="200"/>
              <w:spacing w:after="0" w:line="201" w:lineRule="exact"/>
              <w:rPr>
                <w:sz w:val="20"/>
                <w:szCs w:val="20"/>
                <w:color w:val="auto"/>
              </w:rPr>
            </w:pPr>
            <w:r>
              <w:rPr>
                <w:rFonts w:ascii="Arial" w:cs="Arial" w:eastAsia="Arial" w:hAnsi="Arial"/>
                <w:sz w:val="18"/>
                <w:szCs w:val="18"/>
                <w:color w:val="auto"/>
                <w:w w:val="93"/>
              </w:rPr>
              <w:t>Revolving</w:t>
            </w: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80" w:type="dxa"/>
            <w:vAlign w:val="bottom"/>
            <w:gridSpan w:val="13"/>
            <w:vMerge w:val="restart"/>
          </w:tcPr>
          <w:p>
            <w:pPr>
              <w:ind w:left="80"/>
              <w:spacing w:after="0"/>
              <w:rPr>
                <w:sz w:val="20"/>
                <w:szCs w:val="20"/>
                <w:color w:val="auto"/>
              </w:rPr>
            </w:pPr>
            <w:r>
              <w:rPr>
                <w:rFonts w:ascii="Arial" w:cs="Arial" w:eastAsia="Arial" w:hAnsi="Arial"/>
                <w:sz w:val="18"/>
                <w:szCs w:val="18"/>
                <w:color w:val="auto"/>
                <w:w w:val="96"/>
              </w:rPr>
              <w:t>Term Loans Amortized Cost Basis by Origination Year</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Loans</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280" w:type="dxa"/>
            <w:vAlign w:val="bottom"/>
            <w:tcBorders>
              <w:bottom w:val="single" w:sz="8" w:color="auto"/>
            </w:tcBorders>
            <w:gridSpan w:val="13"/>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3"/>
          </w:tcPr>
          <w:p>
            <w:pPr>
              <w:jc w:val="center"/>
              <w:ind w:right="200"/>
              <w:spacing w:after="0" w:line="203" w:lineRule="exact"/>
              <w:rPr>
                <w:sz w:val="20"/>
                <w:szCs w:val="20"/>
                <w:color w:val="auto"/>
              </w:rPr>
            </w:pPr>
            <w:r>
              <w:rPr>
                <w:rFonts w:ascii="Arial" w:cs="Arial" w:eastAsia="Arial" w:hAnsi="Arial"/>
                <w:sz w:val="18"/>
                <w:szCs w:val="18"/>
                <w:color w:val="auto"/>
                <w:w w:val="96"/>
              </w:rPr>
              <w:t>Amortized</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7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2021</w:t>
            </w: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2019</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2017</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Prior</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8"/>
              </w:rPr>
              <w:t>Cost Basis</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40" w:type="dxa"/>
            <w:vAlign w:val="bottom"/>
            <w:vMerge w:val="restart"/>
          </w:tcPr>
          <w:p>
            <w:pPr>
              <w:spacing w:after="0"/>
              <w:rPr>
                <w:sz w:val="20"/>
                <w:szCs w:val="20"/>
                <w:color w:val="auto"/>
              </w:rPr>
            </w:pPr>
            <w:r>
              <w:rPr>
                <w:rFonts w:ascii="Arial" w:cs="Arial" w:eastAsia="Arial" w:hAnsi="Arial"/>
                <w:sz w:val="18"/>
                <w:szCs w:val="18"/>
                <w:color w:val="auto"/>
              </w:rPr>
              <w:t>June 30, 2021</w:t>
            </w: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(In</w:t>
            </w:r>
          </w:p>
        </w:tc>
        <w:tc>
          <w:tcPr>
            <w:tcW w:w="1060" w:type="dxa"/>
            <w:vAlign w:val="bottom"/>
            <w:gridSpan w:val="4"/>
          </w:tcPr>
          <w:p>
            <w:pPr>
              <w:jc w:val="right"/>
              <w:ind w:right="290"/>
              <w:spacing w:after="0"/>
              <w:rPr>
                <w:sz w:val="20"/>
                <w:szCs w:val="20"/>
                <w:color w:val="auto"/>
              </w:rPr>
            </w:pPr>
            <w:r>
              <w:rPr>
                <w:rFonts w:ascii="Arial" w:cs="Arial" w:eastAsia="Arial" w:hAnsi="Arial"/>
                <w:sz w:val="18"/>
                <w:szCs w:val="18"/>
                <w:color w:val="auto"/>
                <w:w w:val="74"/>
              </w:rPr>
              <w:t>thousands)</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27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740" w:type="dxa"/>
            <w:vAlign w:val="bottom"/>
          </w:tcPr>
          <w:p>
            <w:pPr>
              <w:spacing w:after="0"/>
              <w:rPr>
                <w:sz w:val="20"/>
                <w:szCs w:val="20"/>
                <w:color w:val="auto"/>
              </w:rPr>
            </w:pPr>
            <w:r>
              <w:rPr>
                <w:rFonts w:ascii="Arial" w:cs="Arial" w:eastAsia="Arial" w:hAnsi="Arial"/>
                <w:sz w:val="18"/>
                <w:szCs w:val="18"/>
                <w:color w:val="auto"/>
              </w:rPr>
              <w:t>Resort lending</w:t>
            </w: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800 and above</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34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276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9,667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11,053</w:t>
            </w:r>
          </w:p>
        </w:tc>
        <w:tc>
          <w:tcPr>
            <w:tcW w:w="0" w:type="dxa"/>
            <w:vAlign w:val="bottom"/>
          </w:tcPr>
          <w:p>
            <w:pPr>
              <w:spacing w:after="0"/>
              <w:rPr>
                <w:sz w:val="1"/>
                <w:szCs w:val="1"/>
                <w:color w:val="auto"/>
              </w:rPr>
            </w:pPr>
          </w:p>
        </w:tc>
      </w:tr>
      <w:tr>
        <w:trPr>
          <w:trHeight w:val="216"/>
        </w:trPr>
        <w:tc>
          <w:tcPr>
            <w:tcW w:w="2740" w:type="dxa"/>
            <w:vAlign w:val="bottom"/>
          </w:tcPr>
          <w:p>
            <w:pPr>
              <w:ind w:left="180"/>
              <w:spacing w:after="0"/>
              <w:rPr>
                <w:sz w:val="20"/>
                <w:szCs w:val="20"/>
                <w:color w:val="auto"/>
              </w:rPr>
            </w:pPr>
            <w:r>
              <w:rPr>
                <w:rFonts w:ascii="Arial" w:cs="Arial" w:eastAsia="Arial" w:hAnsi="Arial"/>
                <w:sz w:val="18"/>
                <w:szCs w:val="18"/>
                <w:color w:val="auto"/>
              </w:rPr>
              <w:t>750-799</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577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761</w:t>
            </w:r>
          </w:p>
        </w:tc>
        <w:tc>
          <w:tcPr>
            <w:tcW w:w="1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8"/>
                <w:szCs w:val="18"/>
                <w:color w:val="auto"/>
              </w:rPr>
            </w:pPr>
          </w:p>
        </w:tc>
        <w:tc>
          <w:tcPr>
            <w:tcW w:w="860" w:type="dxa"/>
            <w:vAlign w:val="bottom"/>
            <w:gridSpan w:val="2"/>
          </w:tcPr>
          <w:p>
            <w:pPr>
              <w:jc w:val="right"/>
              <w:ind w:right="10"/>
              <w:spacing w:after="0"/>
              <w:rPr>
                <w:sz w:val="20"/>
                <w:szCs w:val="20"/>
                <w:color w:val="auto"/>
              </w:rPr>
            </w:pPr>
            <w:r>
              <w:rPr>
                <w:rFonts w:ascii="Arial" w:cs="Arial" w:eastAsia="Arial" w:hAnsi="Arial"/>
                <w:sz w:val="18"/>
                <w:szCs w:val="18"/>
                <w:color w:val="auto"/>
              </w:rPr>
              <w:t>604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357</w:t>
            </w:r>
          </w:p>
        </w:tc>
        <w:tc>
          <w:tcPr>
            <w:tcW w:w="1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21,092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23,464</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700-749</w:t>
            </w:r>
          </w:p>
        </w:tc>
        <w:tc>
          <w:tcPr>
            <w:tcW w:w="16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378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10,568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11,134</w:t>
            </w:r>
          </w:p>
        </w:tc>
        <w:tc>
          <w:tcPr>
            <w:tcW w:w="0" w:type="dxa"/>
            <w:vAlign w:val="bottom"/>
          </w:tcPr>
          <w:p>
            <w:pPr>
              <w:spacing w:after="0"/>
              <w:rPr>
                <w:sz w:val="1"/>
                <w:szCs w:val="1"/>
                <w:color w:val="auto"/>
              </w:rPr>
            </w:pPr>
          </w:p>
        </w:tc>
      </w:tr>
      <w:tr>
        <w:trPr>
          <w:trHeight w:val="216"/>
        </w:trPr>
        <w:tc>
          <w:tcPr>
            <w:tcW w:w="2740" w:type="dxa"/>
            <w:vAlign w:val="bottom"/>
          </w:tcPr>
          <w:p>
            <w:pPr>
              <w:ind w:left="180"/>
              <w:spacing w:after="0"/>
              <w:rPr>
                <w:sz w:val="20"/>
                <w:szCs w:val="20"/>
                <w:color w:val="auto"/>
              </w:rPr>
            </w:pPr>
            <w:r>
              <w:rPr>
                <w:rFonts w:ascii="Arial" w:cs="Arial" w:eastAsia="Arial" w:hAnsi="Arial"/>
                <w:sz w:val="18"/>
                <w:szCs w:val="18"/>
                <w:color w:val="auto"/>
              </w:rPr>
              <w:t>650-699</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5,945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5,945</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600-649</w:t>
            </w:r>
          </w:p>
        </w:tc>
        <w:tc>
          <w:tcPr>
            <w:tcW w:w="16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1,493</w:t>
            </w:r>
          </w:p>
        </w:tc>
        <w:tc>
          <w:tcPr>
            <w:tcW w:w="0" w:type="dxa"/>
            <w:vAlign w:val="bottom"/>
          </w:tcPr>
          <w:p>
            <w:pPr>
              <w:spacing w:after="0"/>
              <w:rPr>
                <w:sz w:val="1"/>
                <w:szCs w:val="1"/>
                <w:color w:val="auto"/>
              </w:rPr>
            </w:pPr>
          </w:p>
        </w:tc>
      </w:tr>
      <w:tr>
        <w:trPr>
          <w:trHeight w:val="216"/>
        </w:trPr>
        <w:tc>
          <w:tcPr>
            <w:tcW w:w="2740" w:type="dxa"/>
            <w:vAlign w:val="bottom"/>
          </w:tcPr>
          <w:p>
            <w:pPr>
              <w:ind w:left="180"/>
              <w:spacing w:after="0"/>
              <w:rPr>
                <w:sz w:val="20"/>
                <w:szCs w:val="20"/>
                <w:color w:val="auto"/>
              </w:rPr>
            </w:pPr>
            <w:r>
              <w:rPr>
                <w:rFonts w:ascii="Arial" w:cs="Arial" w:eastAsia="Arial" w:hAnsi="Arial"/>
                <w:sz w:val="18"/>
                <w:szCs w:val="18"/>
                <w:color w:val="auto"/>
              </w:rPr>
              <w:t>550-599</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535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535</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500-549</w:t>
            </w:r>
          </w:p>
        </w:tc>
        <w:tc>
          <w:tcPr>
            <w:tcW w:w="16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16"/>
        </w:trPr>
        <w:tc>
          <w:tcPr>
            <w:tcW w:w="2740" w:type="dxa"/>
            <w:vAlign w:val="bottom"/>
          </w:tcPr>
          <w:p>
            <w:pPr>
              <w:ind w:left="160"/>
              <w:spacing w:after="0"/>
              <w:rPr>
                <w:sz w:val="20"/>
                <w:szCs w:val="20"/>
                <w:color w:val="auto"/>
              </w:rPr>
            </w:pPr>
            <w:r>
              <w:rPr>
                <w:rFonts w:ascii="Arial" w:cs="Arial" w:eastAsia="Arial" w:hAnsi="Arial"/>
                <w:sz w:val="18"/>
                <w:szCs w:val="18"/>
                <w:color w:val="auto"/>
              </w:rPr>
              <w:t>Under 500</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Unknown</w:t>
            </w:r>
          </w:p>
        </w:tc>
        <w:tc>
          <w:tcPr>
            <w:tcW w:w="16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7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tcBorders>
              <w:right w:val="single" w:sz="8" w:color="CCEEFF"/>
            </w:tcBorders>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740" w:type="dxa"/>
            <w:vAlign w:val="bottom"/>
          </w:tcPr>
          <w:p>
            <w:pPr>
              <w:ind w:left="340"/>
              <w:spacing w:after="0"/>
              <w:rPr>
                <w:sz w:val="20"/>
                <w:szCs w:val="20"/>
                <w:color w:val="auto"/>
              </w:rPr>
            </w:pPr>
            <w:r>
              <w:rPr>
                <w:rFonts w:ascii="Arial" w:cs="Arial" w:eastAsia="Arial" w:hAnsi="Arial"/>
                <w:sz w:val="18"/>
                <w:szCs w:val="18"/>
                <w:color w:val="auto"/>
              </w:rPr>
              <w:t>Total</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680</w:t>
            </w:r>
          </w:p>
        </w:tc>
        <w:tc>
          <w:tcPr>
            <w:tcW w:w="340" w:type="dxa"/>
            <w:vAlign w:val="bottom"/>
            <w:gridSpan w:val="2"/>
          </w:tcPr>
          <w:p>
            <w:pPr>
              <w:jc w:val="right"/>
              <w:ind w:right="1"/>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1,598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363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
              <w:spacing w:after="0"/>
              <w:rPr>
                <w:sz w:val="20"/>
                <w:szCs w:val="20"/>
                <w:color w:val="auto"/>
              </w:rPr>
            </w:pPr>
            <w:r>
              <w:rPr>
                <w:rFonts w:ascii="Arial" w:cs="Arial" w:eastAsia="Arial" w:hAnsi="Arial"/>
                <w:sz w:val="18"/>
                <w:szCs w:val="18"/>
                <w:color w:val="auto"/>
              </w:rPr>
              <w:t>1,258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425</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49,590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53,914</w:t>
            </w:r>
          </w:p>
        </w:tc>
        <w:tc>
          <w:tcPr>
            <w:tcW w:w="0" w:type="dxa"/>
            <w:vAlign w:val="bottom"/>
          </w:tcPr>
          <w:p>
            <w:pPr>
              <w:spacing w:after="0"/>
              <w:rPr>
                <w:sz w:val="1"/>
                <w:szCs w:val="1"/>
                <w:color w:val="auto"/>
              </w:rPr>
            </w:pPr>
          </w:p>
        </w:tc>
      </w:tr>
      <w:tr>
        <w:trPr>
          <w:trHeight w:val="21"/>
        </w:trPr>
        <w:tc>
          <w:tcPr>
            <w:tcW w:w="27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4"/>
              </w:rPr>
              <w:t>Accrued interest excluded from total</w:t>
            </w: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Total Mortgage</w:t>
            </w:r>
          </w:p>
        </w:tc>
        <w:tc>
          <w:tcPr>
            <w:tcW w:w="16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tcPr>
          <w:p>
            <w:pPr>
              <w:ind w:left="180"/>
              <w:spacing w:after="0"/>
              <w:rPr>
                <w:sz w:val="20"/>
                <w:szCs w:val="20"/>
                <w:color w:val="auto"/>
              </w:rPr>
            </w:pPr>
            <w:r>
              <w:rPr>
                <w:rFonts w:ascii="Arial" w:cs="Arial" w:eastAsia="Arial" w:hAnsi="Arial"/>
                <w:sz w:val="18"/>
                <w:szCs w:val="18"/>
                <w:color w:val="auto"/>
              </w:rPr>
              <w:t>800 and above</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20,835</w:t>
            </w:r>
          </w:p>
        </w:tc>
        <w:tc>
          <w:tcPr>
            <w:tcW w:w="340" w:type="dxa"/>
            <w:vAlign w:val="bottom"/>
            <w:gridSpan w:val="2"/>
          </w:tcPr>
          <w:p>
            <w:pPr>
              <w:jc w:val="right"/>
              <w:ind w:right="1"/>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43,035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19,801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
              <w:spacing w:after="0"/>
              <w:rPr>
                <w:sz w:val="20"/>
                <w:szCs w:val="20"/>
                <w:color w:val="auto"/>
              </w:rPr>
            </w:pPr>
            <w:r>
              <w:rPr>
                <w:rFonts w:ascii="Arial" w:cs="Arial" w:eastAsia="Arial" w:hAnsi="Arial"/>
                <w:sz w:val="18"/>
                <w:szCs w:val="18"/>
                <w:color w:val="auto"/>
              </w:rPr>
              <w:t>7,867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12,480</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23,071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12,732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139,821</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750-799</w:t>
            </w:r>
          </w:p>
        </w:tc>
        <w:tc>
          <w:tcPr>
            <w:tcW w:w="16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116,240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159,853</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65,975</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27,463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37,486</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49,247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38,636</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494,900</w:t>
            </w:r>
          </w:p>
        </w:tc>
        <w:tc>
          <w:tcPr>
            <w:tcW w:w="0" w:type="dxa"/>
            <w:vAlign w:val="bottom"/>
          </w:tcPr>
          <w:p>
            <w:pPr>
              <w:spacing w:after="0"/>
              <w:rPr>
                <w:sz w:val="1"/>
                <w:szCs w:val="1"/>
                <w:color w:val="auto"/>
              </w:rPr>
            </w:pPr>
          </w:p>
        </w:tc>
      </w:tr>
      <w:tr>
        <w:trPr>
          <w:trHeight w:val="216"/>
        </w:trPr>
        <w:tc>
          <w:tcPr>
            <w:tcW w:w="2740" w:type="dxa"/>
            <w:vAlign w:val="bottom"/>
          </w:tcPr>
          <w:p>
            <w:pPr>
              <w:ind w:left="180"/>
              <w:spacing w:after="0"/>
              <w:rPr>
                <w:sz w:val="20"/>
                <w:szCs w:val="20"/>
                <w:color w:val="auto"/>
              </w:rPr>
            </w:pPr>
            <w:r>
              <w:rPr>
                <w:rFonts w:ascii="Arial" w:cs="Arial" w:eastAsia="Arial" w:hAnsi="Arial"/>
                <w:sz w:val="18"/>
                <w:szCs w:val="18"/>
                <w:color w:val="auto"/>
              </w:rPr>
              <w:t>700-749</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49,002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52,719</w:t>
            </w:r>
          </w:p>
        </w:tc>
        <w:tc>
          <w:tcPr>
            <w:tcW w:w="1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26,901</w:t>
            </w:r>
          </w:p>
        </w:tc>
        <w:tc>
          <w:tcPr>
            <w:tcW w:w="100" w:type="dxa"/>
            <w:vAlign w:val="bottom"/>
          </w:tcPr>
          <w:p>
            <w:pPr>
              <w:spacing w:after="0"/>
              <w:rPr>
                <w:sz w:val="18"/>
                <w:szCs w:val="18"/>
                <w:color w:val="auto"/>
              </w:rPr>
            </w:pPr>
          </w:p>
        </w:tc>
        <w:tc>
          <w:tcPr>
            <w:tcW w:w="860" w:type="dxa"/>
            <w:vAlign w:val="bottom"/>
            <w:gridSpan w:val="2"/>
          </w:tcPr>
          <w:p>
            <w:pPr>
              <w:jc w:val="right"/>
              <w:ind w:right="10"/>
              <w:spacing w:after="0"/>
              <w:rPr>
                <w:sz w:val="20"/>
                <w:szCs w:val="20"/>
                <w:color w:val="auto"/>
              </w:rPr>
            </w:pPr>
            <w:r>
              <w:rPr>
                <w:rFonts w:ascii="Arial" w:cs="Arial" w:eastAsia="Arial" w:hAnsi="Arial"/>
                <w:sz w:val="18"/>
                <w:szCs w:val="18"/>
                <w:color w:val="auto"/>
              </w:rPr>
              <w:t>16,819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23,052</w:t>
            </w:r>
          </w:p>
        </w:tc>
        <w:tc>
          <w:tcPr>
            <w:tcW w:w="1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48,428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19,064</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235,985</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650-699</w:t>
            </w:r>
          </w:p>
        </w:tc>
        <w:tc>
          <w:tcPr>
            <w:tcW w:w="16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14,199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20,952</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17,077</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10,454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13,434</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28,215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8,071</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112,402</w:t>
            </w:r>
          </w:p>
        </w:tc>
        <w:tc>
          <w:tcPr>
            <w:tcW w:w="0" w:type="dxa"/>
            <w:vAlign w:val="bottom"/>
          </w:tcPr>
          <w:p>
            <w:pPr>
              <w:spacing w:after="0"/>
              <w:rPr>
                <w:sz w:val="1"/>
                <w:szCs w:val="1"/>
                <w:color w:val="auto"/>
              </w:rPr>
            </w:pPr>
          </w:p>
        </w:tc>
      </w:tr>
      <w:tr>
        <w:trPr>
          <w:trHeight w:val="216"/>
        </w:trPr>
        <w:tc>
          <w:tcPr>
            <w:tcW w:w="2740" w:type="dxa"/>
            <w:vAlign w:val="bottom"/>
          </w:tcPr>
          <w:p>
            <w:pPr>
              <w:ind w:left="180"/>
              <w:spacing w:after="0"/>
              <w:rPr>
                <w:sz w:val="20"/>
                <w:szCs w:val="20"/>
                <w:color w:val="auto"/>
              </w:rPr>
            </w:pPr>
            <w:r>
              <w:rPr>
                <w:rFonts w:ascii="Arial" w:cs="Arial" w:eastAsia="Arial" w:hAnsi="Arial"/>
                <w:sz w:val="18"/>
                <w:szCs w:val="18"/>
                <w:color w:val="auto"/>
              </w:rPr>
              <w:t>600-649</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3,864</w:t>
            </w:r>
          </w:p>
        </w:tc>
        <w:tc>
          <w:tcPr>
            <w:tcW w:w="1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4,631</w:t>
            </w:r>
          </w:p>
        </w:tc>
        <w:tc>
          <w:tcPr>
            <w:tcW w:w="100" w:type="dxa"/>
            <w:vAlign w:val="bottom"/>
          </w:tcPr>
          <w:p>
            <w:pPr>
              <w:spacing w:after="0"/>
              <w:rPr>
                <w:sz w:val="18"/>
                <w:szCs w:val="18"/>
                <w:color w:val="auto"/>
              </w:rPr>
            </w:pPr>
          </w:p>
        </w:tc>
        <w:tc>
          <w:tcPr>
            <w:tcW w:w="860" w:type="dxa"/>
            <w:vAlign w:val="bottom"/>
            <w:gridSpan w:val="2"/>
          </w:tcPr>
          <w:p>
            <w:pPr>
              <w:jc w:val="right"/>
              <w:ind w:right="10"/>
              <w:spacing w:after="0"/>
              <w:rPr>
                <w:sz w:val="20"/>
                <w:szCs w:val="20"/>
                <w:color w:val="auto"/>
              </w:rPr>
            </w:pPr>
            <w:r>
              <w:rPr>
                <w:rFonts w:ascii="Arial" w:cs="Arial" w:eastAsia="Arial" w:hAnsi="Arial"/>
                <w:sz w:val="18"/>
                <w:szCs w:val="18"/>
                <w:color w:val="auto"/>
              </w:rPr>
              <w:t>1,908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5,738</w:t>
            </w:r>
          </w:p>
        </w:tc>
        <w:tc>
          <w:tcPr>
            <w:tcW w:w="1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15,944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1,602</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33,794</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550-599</w:t>
            </w:r>
          </w:p>
        </w:tc>
        <w:tc>
          <w:tcPr>
            <w:tcW w:w="16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1,937</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242</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2,262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1,294</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9,644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871</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16,250</w:t>
            </w:r>
          </w:p>
        </w:tc>
        <w:tc>
          <w:tcPr>
            <w:tcW w:w="0" w:type="dxa"/>
            <w:vAlign w:val="bottom"/>
          </w:tcPr>
          <w:p>
            <w:pPr>
              <w:spacing w:after="0"/>
              <w:rPr>
                <w:sz w:val="1"/>
                <w:szCs w:val="1"/>
                <w:color w:val="auto"/>
              </w:rPr>
            </w:pPr>
          </w:p>
        </w:tc>
      </w:tr>
      <w:tr>
        <w:trPr>
          <w:trHeight w:val="216"/>
        </w:trPr>
        <w:tc>
          <w:tcPr>
            <w:tcW w:w="2740" w:type="dxa"/>
            <w:vAlign w:val="bottom"/>
          </w:tcPr>
          <w:p>
            <w:pPr>
              <w:ind w:left="180"/>
              <w:spacing w:after="0"/>
              <w:rPr>
                <w:sz w:val="20"/>
                <w:szCs w:val="20"/>
                <w:color w:val="auto"/>
              </w:rPr>
            </w:pPr>
            <w:r>
              <w:rPr>
                <w:rFonts w:ascii="Arial" w:cs="Arial" w:eastAsia="Arial" w:hAnsi="Arial"/>
                <w:sz w:val="18"/>
                <w:szCs w:val="18"/>
                <w:color w:val="auto"/>
              </w:rPr>
              <w:t>500-549</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1,115</w:t>
            </w:r>
          </w:p>
        </w:tc>
        <w:tc>
          <w:tcPr>
            <w:tcW w:w="100" w:type="dxa"/>
            <w:vAlign w:val="bottom"/>
          </w:tcPr>
          <w:p>
            <w:pPr>
              <w:spacing w:after="0"/>
              <w:rPr>
                <w:sz w:val="18"/>
                <w:szCs w:val="18"/>
                <w:color w:val="auto"/>
              </w:rPr>
            </w:pPr>
          </w:p>
        </w:tc>
        <w:tc>
          <w:tcPr>
            <w:tcW w:w="860" w:type="dxa"/>
            <w:vAlign w:val="bottom"/>
            <w:gridSpan w:val="2"/>
          </w:tcPr>
          <w:p>
            <w:pPr>
              <w:jc w:val="right"/>
              <w:ind w:right="10"/>
              <w:spacing w:after="0"/>
              <w:rPr>
                <w:sz w:val="20"/>
                <w:szCs w:val="20"/>
                <w:color w:val="auto"/>
              </w:rPr>
            </w:pPr>
            <w:r>
              <w:rPr>
                <w:rFonts w:ascii="Arial" w:cs="Arial" w:eastAsia="Arial" w:hAnsi="Arial"/>
                <w:sz w:val="18"/>
                <w:szCs w:val="18"/>
                <w:color w:val="auto"/>
              </w:rPr>
              <w:t>590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2,095</w:t>
            </w:r>
          </w:p>
        </w:tc>
        <w:tc>
          <w:tcPr>
            <w:tcW w:w="1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5,428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98</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9,326</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Under 500</w:t>
            </w:r>
          </w:p>
        </w:tc>
        <w:tc>
          <w:tcPr>
            <w:tcW w:w="16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405</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394</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484</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2,630</w:t>
            </w:r>
          </w:p>
        </w:tc>
        <w:tc>
          <w:tcPr>
            <w:tcW w:w="0" w:type="dxa"/>
            <w:vAlign w:val="bottom"/>
          </w:tcPr>
          <w:p>
            <w:pPr>
              <w:spacing w:after="0"/>
              <w:rPr>
                <w:sz w:val="1"/>
                <w:szCs w:val="1"/>
                <w:color w:val="auto"/>
              </w:rPr>
            </w:pPr>
          </w:p>
        </w:tc>
      </w:tr>
      <w:tr>
        <w:trPr>
          <w:trHeight w:val="223"/>
        </w:trPr>
        <w:tc>
          <w:tcPr>
            <w:tcW w:w="2740" w:type="dxa"/>
            <w:vAlign w:val="bottom"/>
          </w:tcPr>
          <w:p>
            <w:pPr>
              <w:ind w:left="160"/>
              <w:spacing w:after="0"/>
              <w:rPr>
                <w:sz w:val="20"/>
                <w:szCs w:val="20"/>
                <w:color w:val="auto"/>
              </w:rPr>
            </w:pPr>
            <w:r>
              <w:rPr>
                <w:rFonts w:ascii="Arial" w:cs="Arial" w:eastAsia="Arial" w:hAnsi="Arial"/>
                <w:sz w:val="18"/>
                <w:szCs w:val="18"/>
                <w:color w:val="auto"/>
              </w:rPr>
              <w:t>Unknown</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27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200,383</w:t>
            </w:r>
          </w:p>
        </w:tc>
        <w:tc>
          <w:tcPr>
            <w:tcW w:w="1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282,765</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136,136</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67,434</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96,063</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181,223</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81,104</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1,045,108</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900" w:type="dxa"/>
            <w:vAlign w:val="bottom"/>
            <w:gridSpan w:val="2"/>
          </w:tcPr>
          <w:p>
            <w:pPr>
              <w:spacing w:after="0"/>
              <w:rPr>
                <w:sz w:val="20"/>
                <w:szCs w:val="20"/>
                <w:color w:val="auto"/>
              </w:rPr>
            </w:pPr>
            <w:r>
              <w:rPr>
                <w:rFonts w:ascii="Arial" w:cs="Arial" w:eastAsia="Arial" w:hAnsi="Arial"/>
                <w:sz w:val="18"/>
                <w:szCs w:val="18"/>
                <w:color w:val="auto"/>
                <w:w w:val="95"/>
              </w:rPr>
              <w:t>Accrued interest excluded from total $</w:t>
            </w:r>
          </w:p>
        </w:tc>
        <w:tc>
          <w:tcPr>
            <w:tcW w:w="700" w:type="dxa"/>
            <w:vAlign w:val="bottom"/>
          </w:tcPr>
          <w:p>
            <w:pPr>
              <w:jc w:val="right"/>
              <w:spacing w:after="0"/>
              <w:rPr>
                <w:sz w:val="20"/>
                <w:szCs w:val="20"/>
                <w:color w:val="auto"/>
              </w:rPr>
            </w:pPr>
            <w:r>
              <w:rPr>
                <w:rFonts w:ascii="Arial" w:cs="Arial" w:eastAsia="Arial" w:hAnsi="Arial"/>
                <w:sz w:val="18"/>
                <w:szCs w:val="18"/>
                <w:color w:val="auto"/>
              </w:rPr>
              <w:t>511</w:t>
            </w:r>
          </w:p>
        </w:tc>
        <w:tc>
          <w:tcPr>
            <w:tcW w:w="340" w:type="dxa"/>
            <w:vAlign w:val="bottom"/>
            <w:gridSpan w:val="2"/>
          </w:tcPr>
          <w:p>
            <w:pPr>
              <w:jc w:val="right"/>
              <w:ind w:right="1"/>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722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414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
              <w:spacing w:after="0"/>
              <w:rPr>
                <w:sz w:val="20"/>
                <w:szCs w:val="20"/>
                <w:color w:val="auto"/>
              </w:rPr>
            </w:pPr>
            <w:r>
              <w:rPr>
                <w:rFonts w:ascii="Arial" w:cs="Arial" w:eastAsia="Arial" w:hAnsi="Arial"/>
                <w:sz w:val="18"/>
                <w:szCs w:val="18"/>
                <w:color w:val="auto"/>
              </w:rPr>
              <w:t>283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338</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742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337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3,347</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(1) Credit scores have been updated within the last twelve months.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7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Installment (1)</w:t>
            </w: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7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4120" w:type="dxa"/>
            <w:vAlign w:val="bottom"/>
            <w:tcBorders>
              <w:bottom w:val="single" w:sz="8" w:color="auto"/>
            </w:tcBorders>
            <w:gridSpan w:val="12"/>
          </w:tcPr>
          <w:p>
            <w:pPr>
              <w:jc w:val="right"/>
              <w:ind w:right="67"/>
              <w:spacing w:after="0"/>
              <w:rPr>
                <w:sz w:val="20"/>
                <w:szCs w:val="20"/>
                <w:color w:val="auto"/>
              </w:rPr>
            </w:pPr>
            <w:r>
              <w:rPr>
                <w:rFonts w:ascii="Arial" w:cs="Arial" w:eastAsia="Arial" w:hAnsi="Arial"/>
                <w:sz w:val="18"/>
                <w:szCs w:val="18"/>
                <w:color w:val="auto"/>
                <w:w w:val="91"/>
              </w:rPr>
              <w:t>Term Loans Amortized Cost Basis by Origination Year</w:t>
            </w:r>
          </w:p>
        </w:tc>
        <w:tc>
          <w:tcPr>
            <w:tcW w:w="8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color w:val="auto"/>
              </w:rPr>
              <w:t>2021</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color w:val="auto"/>
              </w:rPr>
              <w:t>2019</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color w:val="auto"/>
              </w:rPr>
              <w:t>2018</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ind w:left="120"/>
              <w:spacing w:after="0"/>
              <w:rPr>
                <w:sz w:val="20"/>
                <w:szCs w:val="20"/>
                <w:color w:val="auto"/>
              </w:rPr>
            </w:pPr>
            <w:r>
              <w:rPr>
                <w:rFonts w:ascii="Arial" w:cs="Arial" w:eastAsia="Arial" w:hAnsi="Arial"/>
                <w:sz w:val="18"/>
                <w:szCs w:val="18"/>
                <w:color w:val="auto"/>
              </w:rPr>
              <w:t>Prior</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40" w:type="dxa"/>
            <w:vAlign w:val="bottom"/>
            <w:vMerge w:val="restart"/>
          </w:tcPr>
          <w:p>
            <w:pPr>
              <w:spacing w:after="0"/>
              <w:rPr>
                <w:sz w:val="20"/>
                <w:szCs w:val="20"/>
                <w:color w:val="auto"/>
              </w:rPr>
            </w:pPr>
            <w:r>
              <w:rPr>
                <w:rFonts w:ascii="Arial" w:cs="Arial" w:eastAsia="Arial" w:hAnsi="Arial"/>
                <w:sz w:val="18"/>
                <w:szCs w:val="18"/>
                <w:color w:val="auto"/>
              </w:rPr>
              <w:t>June 30, 2021</w:t>
            </w: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color w:val="auto"/>
                <w:w w:val="83"/>
              </w:rPr>
              <w:t>(In thousands)</w:t>
            </w:r>
          </w:p>
        </w:tc>
        <w:tc>
          <w:tcPr>
            <w:tcW w:w="2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27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740" w:type="dxa"/>
            <w:vAlign w:val="bottom"/>
          </w:tcPr>
          <w:p>
            <w:pPr>
              <w:spacing w:after="0"/>
              <w:rPr>
                <w:sz w:val="20"/>
                <w:szCs w:val="20"/>
                <w:color w:val="auto"/>
              </w:rPr>
            </w:pPr>
            <w:r>
              <w:rPr>
                <w:rFonts w:ascii="Arial" w:cs="Arial" w:eastAsia="Arial" w:hAnsi="Arial"/>
                <w:sz w:val="18"/>
                <w:szCs w:val="18"/>
                <w:color w:val="auto"/>
              </w:rPr>
              <w:t>Boat lending</w:t>
            </w: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800 and above</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8,768</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5,595</w:t>
            </w:r>
          </w:p>
        </w:tc>
        <w:tc>
          <w:tcPr>
            <w:tcW w:w="42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7,168</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6,159</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3,604</w:t>
            </w:r>
          </w:p>
        </w:tc>
        <w:tc>
          <w:tcPr>
            <w:tcW w:w="32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5,429</w:t>
            </w:r>
          </w:p>
        </w:tc>
        <w:tc>
          <w:tcPr>
            <w:tcW w:w="32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36,723</w:t>
            </w:r>
          </w:p>
        </w:tc>
        <w:tc>
          <w:tcPr>
            <w:tcW w:w="0" w:type="dxa"/>
            <w:vAlign w:val="bottom"/>
          </w:tcPr>
          <w:p>
            <w:pPr>
              <w:spacing w:after="0"/>
              <w:rPr>
                <w:sz w:val="1"/>
                <w:szCs w:val="1"/>
                <w:color w:val="auto"/>
              </w:rPr>
            </w:pPr>
          </w:p>
        </w:tc>
      </w:tr>
      <w:tr>
        <w:trPr>
          <w:trHeight w:val="216"/>
        </w:trPr>
        <w:tc>
          <w:tcPr>
            <w:tcW w:w="2740" w:type="dxa"/>
            <w:vAlign w:val="bottom"/>
          </w:tcPr>
          <w:p>
            <w:pPr>
              <w:ind w:left="180"/>
              <w:spacing w:after="0"/>
              <w:rPr>
                <w:sz w:val="20"/>
                <w:szCs w:val="20"/>
                <w:color w:val="auto"/>
              </w:rPr>
            </w:pPr>
            <w:r>
              <w:rPr>
                <w:rFonts w:ascii="Arial" w:cs="Arial" w:eastAsia="Arial" w:hAnsi="Arial"/>
                <w:sz w:val="18"/>
                <w:szCs w:val="18"/>
                <w:color w:val="auto"/>
              </w:rPr>
              <w:t>750-799</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33,194</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28,984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24,325</w:t>
            </w:r>
          </w:p>
        </w:tc>
        <w:tc>
          <w:tcPr>
            <w:tcW w:w="2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19,453</w:t>
            </w: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11,619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14,202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131,777</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700-749</w:t>
            </w:r>
          </w:p>
        </w:tc>
        <w:tc>
          <w:tcPr>
            <w:tcW w:w="20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12,767</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9,153</w:t>
            </w:r>
          </w:p>
        </w:tc>
        <w:tc>
          <w:tcPr>
            <w:tcW w:w="20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5,703</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3,892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4,999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47,368</w:t>
            </w:r>
          </w:p>
        </w:tc>
        <w:tc>
          <w:tcPr>
            <w:tcW w:w="0" w:type="dxa"/>
            <w:vAlign w:val="bottom"/>
          </w:tcPr>
          <w:p>
            <w:pPr>
              <w:spacing w:after="0"/>
              <w:rPr>
                <w:sz w:val="1"/>
                <w:szCs w:val="1"/>
                <w:color w:val="auto"/>
              </w:rPr>
            </w:pPr>
          </w:p>
        </w:tc>
      </w:tr>
      <w:tr>
        <w:trPr>
          <w:trHeight w:val="216"/>
        </w:trPr>
        <w:tc>
          <w:tcPr>
            <w:tcW w:w="2740" w:type="dxa"/>
            <w:vAlign w:val="bottom"/>
          </w:tcPr>
          <w:p>
            <w:pPr>
              <w:ind w:left="180"/>
              <w:spacing w:after="0"/>
              <w:rPr>
                <w:sz w:val="20"/>
                <w:szCs w:val="20"/>
                <w:color w:val="auto"/>
              </w:rPr>
            </w:pPr>
            <w:r>
              <w:rPr>
                <w:rFonts w:ascii="Arial" w:cs="Arial" w:eastAsia="Arial" w:hAnsi="Arial"/>
                <w:sz w:val="18"/>
                <w:szCs w:val="18"/>
                <w:color w:val="auto"/>
              </w:rPr>
              <w:t>650-699</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1,507</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2,178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2,164</w:t>
            </w:r>
          </w:p>
        </w:tc>
        <w:tc>
          <w:tcPr>
            <w:tcW w:w="2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1,349</w:t>
            </w: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1,157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1,993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10,348</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600-649</w:t>
            </w:r>
          </w:p>
        </w:tc>
        <w:tc>
          <w:tcPr>
            <w:tcW w:w="20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350</w:t>
            </w:r>
          </w:p>
        </w:tc>
        <w:tc>
          <w:tcPr>
            <w:tcW w:w="20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228</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1,366</w:t>
            </w:r>
          </w:p>
        </w:tc>
        <w:tc>
          <w:tcPr>
            <w:tcW w:w="0" w:type="dxa"/>
            <w:vAlign w:val="bottom"/>
          </w:tcPr>
          <w:p>
            <w:pPr>
              <w:spacing w:after="0"/>
              <w:rPr>
                <w:sz w:val="1"/>
                <w:szCs w:val="1"/>
                <w:color w:val="auto"/>
              </w:rPr>
            </w:pPr>
          </w:p>
        </w:tc>
      </w:tr>
      <w:tr>
        <w:trPr>
          <w:trHeight w:val="216"/>
        </w:trPr>
        <w:tc>
          <w:tcPr>
            <w:tcW w:w="2740" w:type="dxa"/>
            <w:vAlign w:val="bottom"/>
          </w:tcPr>
          <w:p>
            <w:pPr>
              <w:ind w:left="180"/>
              <w:spacing w:after="0"/>
              <w:rPr>
                <w:sz w:val="20"/>
                <w:szCs w:val="20"/>
                <w:color w:val="auto"/>
              </w:rPr>
            </w:pPr>
            <w:r>
              <w:rPr>
                <w:rFonts w:ascii="Arial" w:cs="Arial" w:eastAsia="Arial" w:hAnsi="Arial"/>
                <w:sz w:val="18"/>
                <w:szCs w:val="18"/>
                <w:color w:val="auto"/>
              </w:rPr>
              <w:t>550-599</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49</w:t>
            </w:r>
          </w:p>
        </w:tc>
        <w:tc>
          <w:tcPr>
            <w:tcW w:w="2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177</w:t>
            </w: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388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500-549</w:t>
            </w:r>
          </w:p>
        </w:tc>
        <w:tc>
          <w:tcPr>
            <w:tcW w:w="20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w:t>
            </w:r>
          </w:p>
        </w:tc>
        <w:tc>
          <w:tcPr>
            <w:tcW w:w="20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16"/>
        </w:trPr>
        <w:tc>
          <w:tcPr>
            <w:tcW w:w="2740" w:type="dxa"/>
            <w:vAlign w:val="bottom"/>
          </w:tcPr>
          <w:p>
            <w:pPr>
              <w:ind w:left="160"/>
              <w:spacing w:after="0"/>
              <w:rPr>
                <w:sz w:val="20"/>
                <w:szCs w:val="20"/>
                <w:color w:val="auto"/>
              </w:rPr>
            </w:pPr>
            <w:r>
              <w:rPr>
                <w:rFonts w:ascii="Arial" w:cs="Arial" w:eastAsia="Arial" w:hAnsi="Arial"/>
                <w:sz w:val="18"/>
                <w:szCs w:val="18"/>
                <w:color w:val="auto"/>
              </w:rPr>
              <w:t>Under 500</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Unknown</w:t>
            </w:r>
          </w:p>
        </w:tc>
        <w:tc>
          <w:tcPr>
            <w:tcW w:w="20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7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tcBorders>
              <w:right w:val="single" w:sz="8" w:color="CCEEFF"/>
            </w:tcBorders>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740" w:type="dxa"/>
            <w:vAlign w:val="bottom"/>
          </w:tcPr>
          <w:p>
            <w:pPr>
              <w:ind w:left="240"/>
              <w:spacing w:after="0"/>
              <w:rPr>
                <w:sz w:val="20"/>
                <w:szCs w:val="20"/>
                <w:color w:val="auto"/>
              </w:rPr>
            </w:pPr>
            <w:r>
              <w:rPr>
                <w:rFonts w:ascii="Arial" w:cs="Arial" w:eastAsia="Arial" w:hAnsi="Arial"/>
                <w:sz w:val="18"/>
                <w:szCs w:val="18"/>
                <w:color w:val="auto"/>
              </w:rPr>
              <w:t>Total</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56,259</w:t>
            </w:r>
          </w:p>
        </w:tc>
        <w:tc>
          <w:tcPr>
            <w:tcW w:w="16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47,760</w:t>
            </w:r>
          </w:p>
        </w:tc>
        <w:tc>
          <w:tcPr>
            <w:tcW w:w="42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43,241</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33,093</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20,766</w:t>
            </w:r>
          </w:p>
        </w:tc>
        <w:tc>
          <w:tcPr>
            <w:tcW w:w="32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27,574</w:t>
            </w:r>
          </w:p>
        </w:tc>
        <w:tc>
          <w:tcPr>
            <w:tcW w:w="32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228,693</w:t>
            </w:r>
          </w:p>
        </w:tc>
        <w:tc>
          <w:tcPr>
            <w:tcW w:w="0" w:type="dxa"/>
            <w:vAlign w:val="bottom"/>
          </w:tcPr>
          <w:p>
            <w:pPr>
              <w:spacing w:after="0"/>
              <w:rPr>
                <w:sz w:val="1"/>
                <w:szCs w:val="1"/>
                <w:color w:val="auto"/>
              </w:rPr>
            </w:pPr>
          </w:p>
        </w:tc>
      </w:tr>
      <w:tr>
        <w:trPr>
          <w:trHeight w:val="21"/>
        </w:trPr>
        <w:tc>
          <w:tcPr>
            <w:tcW w:w="27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4"/>
              </w:rPr>
              <w:t>Accrued interest excluded from total</w:t>
            </w: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00" w:type="dxa"/>
            <w:vAlign w:val="bottom"/>
            <w:tcBorders>
              <w:bottom w:val="single" w:sz="8" w:color="CCEEFF"/>
              <w:right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2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Recreational vehicle lending</w:t>
            </w:r>
          </w:p>
        </w:tc>
        <w:tc>
          <w:tcPr>
            <w:tcW w:w="20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tcPr>
          <w:p>
            <w:pPr>
              <w:ind w:left="180"/>
              <w:spacing w:after="0"/>
              <w:rPr>
                <w:sz w:val="20"/>
                <w:szCs w:val="20"/>
                <w:color w:val="auto"/>
              </w:rPr>
            </w:pPr>
            <w:r>
              <w:rPr>
                <w:rFonts w:ascii="Arial" w:cs="Arial" w:eastAsia="Arial" w:hAnsi="Arial"/>
                <w:sz w:val="18"/>
                <w:szCs w:val="18"/>
                <w:color w:val="auto"/>
              </w:rPr>
              <w:t>800 and above</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8,871</w:t>
            </w:r>
          </w:p>
        </w:tc>
        <w:tc>
          <w:tcPr>
            <w:tcW w:w="16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4,877</w:t>
            </w:r>
          </w:p>
        </w:tc>
        <w:tc>
          <w:tcPr>
            <w:tcW w:w="42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5,851</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5,721</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2,860</w:t>
            </w:r>
          </w:p>
        </w:tc>
        <w:tc>
          <w:tcPr>
            <w:tcW w:w="32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4,448</w:t>
            </w:r>
          </w:p>
        </w:tc>
        <w:tc>
          <w:tcPr>
            <w:tcW w:w="32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32,628</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750-799</w:t>
            </w:r>
          </w:p>
        </w:tc>
        <w:tc>
          <w:tcPr>
            <w:tcW w:w="20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34,252</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27,477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21,005</w:t>
            </w:r>
          </w:p>
        </w:tc>
        <w:tc>
          <w:tcPr>
            <w:tcW w:w="20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13,967</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6,966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8,547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112,214</w:t>
            </w:r>
          </w:p>
        </w:tc>
        <w:tc>
          <w:tcPr>
            <w:tcW w:w="0" w:type="dxa"/>
            <w:vAlign w:val="bottom"/>
          </w:tcPr>
          <w:p>
            <w:pPr>
              <w:spacing w:after="0"/>
              <w:rPr>
                <w:sz w:val="1"/>
                <w:szCs w:val="1"/>
                <w:color w:val="auto"/>
              </w:rPr>
            </w:pPr>
          </w:p>
        </w:tc>
      </w:tr>
      <w:tr>
        <w:trPr>
          <w:trHeight w:val="216"/>
        </w:trPr>
        <w:tc>
          <w:tcPr>
            <w:tcW w:w="2740" w:type="dxa"/>
            <w:vAlign w:val="bottom"/>
          </w:tcPr>
          <w:p>
            <w:pPr>
              <w:ind w:left="180"/>
              <w:spacing w:after="0"/>
              <w:rPr>
                <w:sz w:val="20"/>
                <w:szCs w:val="20"/>
                <w:color w:val="auto"/>
              </w:rPr>
            </w:pPr>
            <w:r>
              <w:rPr>
                <w:rFonts w:ascii="Arial" w:cs="Arial" w:eastAsia="Arial" w:hAnsi="Arial"/>
                <w:sz w:val="18"/>
                <w:szCs w:val="18"/>
                <w:color w:val="auto"/>
              </w:rPr>
              <w:t>700-749</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16,614</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11,770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6,711</w:t>
            </w:r>
          </w:p>
        </w:tc>
        <w:tc>
          <w:tcPr>
            <w:tcW w:w="2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4,989</w:t>
            </w: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1,931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2,834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44,849</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650-699</w:t>
            </w:r>
          </w:p>
        </w:tc>
        <w:tc>
          <w:tcPr>
            <w:tcW w:w="20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1,197</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2,481</w:t>
            </w:r>
          </w:p>
        </w:tc>
        <w:tc>
          <w:tcPr>
            <w:tcW w:w="20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1,059</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9,659</w:t>
            </w:r>
          </w:p>
        </w:tc>
        <w:tc>
          <w:tcPr>
            <w:tcW w:w="0" w:type="dxa"/>
            <w:vAlign w:val="bottom"/>
          </w:tcPr>
          <w:p>
            <w:pPr>
              <w:spacing w:after="0"/>
              <w:rPr>
                <w:sz w:val="1"/>
                <w:szCs w:val="1"/>
                <w:color w:val="auto"/>
              </w:rPr>
            </w:pPr>
          </w:p>
        </w:tc>
      </w:tr>
      <w:tr>
        <w:trPr>
          <w:trHeight w:val="216"/>
        </w:trPr>
        <w:tc>
          <w:tcPr>
            <w:tcW w:w="2740" w:type="dxa"/>
            <w:vAlign w:val="bottom"/>
          </w:tcPr>
          <w:p>
            <w:pPr>
              <w:ind w:left="180"/>
              <w:spacing w:after="0"/>
              <w:rPr>
                <w:sz w:val="20"/>
                <w:szCs w:val="20"/>
                <w:color w:val="auto"/>
              </w:rPr>
            </w:pPr>
            <w:r>
              <w:rPr>
                <w:rFonts w:ascii="Arial" w:cs="Arial" w:eastAsia="Arial" w:hAnsi="Arial"/>
                <w:sz w:val="18"/>
                <w:szCs w:val="18"/>
                <w:color w:val="auto"/>
              </w:rPr>
              <w:t>600-649</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475</w:t>
            </w:r>
          </w:p>
        </w:tc>
        <w:tc>
          <w:tcPr>
            <w:tcW w:w="2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434</w:t>
            </w: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1,648</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550-599</w:t>
            </w:r>
          </w:p>
        </w:tc>
        <w:tc>
          <w:tcPr>
            <w:tcW w:w="20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157</w:t>
            </w:r>
          </w:p>
        </w:tc>
        <w:tc>
          <w:tcPr>
            <w:tcW w:w="20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109</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16"/>
        </w:trPr>
        <w:tc>
          <w:tcPr>
            <w:tcW w:w="2740" w:type="dxa"/>
            <w:vAlign w:val="bottom"/>
          </w:tcPr>
          <w:p>
            <w:pPr>
              <w:ind w:left="180"/>
              <w:spacing w:after="0"/>
              <w:rPr>
                <w:sz w:val="20"/>
                <w:szCs w:val="20"/>
                <w:color w:val="auto"/>
              </w:rPr>
            </w:pPr>
            <w:r>
              <w:rPr>
                <w:rFonts w:ascii="Arial" w:cs="Arial" w:eastAsia="Arial" w:hAnsi="Arial"/>
                <w:sz w:val="18"/>
                <w:szCs w:val="18"/>
                <w:color w:val="auto"/>
              </w:rPr>
              <w:t>500-549</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162</w:t>
            </w: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Under 500</w:t>
            </w:r>
          </w:p>
        </w:tc>
        <w:tc>
          <w:tcPr>
            <w:tcW w:w="20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w:t>
            </w:r>
          </w:p>
        </w:tc>
        <w:tc>
          <w:tcPr>
            <w:tcW w:w="20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3"/>
        </w:trPr>
        <w:tc>
          <w:tcPr>
            <w:tcW w:w="2740" w:type="dxa"/>
            <w:vAlign w:val="bottom"/>
          </w:tcPr>
          <w:p>
            <w:pPr>
              <w:ind w:left="160"/>
              <w:spacing w:after="0"/>
              <w:rPr>
                <w:sz w:val="20"/>
                <w:szCs w:val="20"/>
                <w:color w:val="auto"/>
              </w:rPr>
            </w:pPr>
            <w:r>
              <w:rPr>
                <w:rFonts w:ascii="Arial" w:cs="Arial" w:eastAsia="Arial" w:hAnsi="Arial"/>
                <w:sz w:val="18"/>
                <w:szCs w:val="18"/>
                <w:color w:val="auto"/>
              </w:rPr>
              <w:t>Unknown</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7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60,974</w:t>
            </w:r>
          </w:p>
        </w:tc>
        <w:tc>
          <w:tcPr>
            <w:tcW w:w="1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47,790</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36,702</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26,441</w:t>
            </w:r>
          </w:p>
        </w:tc>
        <w:tc>
          <w:tcPr>
            <w:tcW w:w="200" w:type="dxa"/>
            <w:vAlign w:val="bottom"/>
            <w:tcBorders>
              <w:bottom w:val="single" w:sz="8" w:color="CCEEFF"/>
              <w:right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12,533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17,505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201,945</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2940" w:type="dxa"/>
            <w:vAlign w:val="bottom"/>
            <w:gridSpan w:val="2"/>
          </w:tcPr>
          <w:p>
            <w:pPr>
              <w:spacing w:after="0"/>
              <w:rPr>
                <w:sz w:val="20"/>
                <w:szCs w:val="20"/>
                <w:color w:val="auto"/>
              </w:rPr>
            </w:pPr>
            <w:r>
              <w:rPr>
                <w:rFonts w:ascii="Arial" w:cs="Arial" w:eastAsia="Arial" w:hAnsi="Arial"/>
                <w:sz w:val="18"/>
                <w:szCs w:val="18"/>
                <w:color w:val="auto"/>
                <w:w w:val="96"/>
              </w:rPr>
              <w:t>Accrued interest excluded from total $</w:t>
            </w:r>
          </w:p>
        </w:tc>
        <w:tc>
          <w:tcPr>
            <w:tcW w:w="820" w:type="dxa"/>
            <w:vAlign w:val="bottom"/>
          </w:tcPr>
          <w:p>
            <w:pPr>
              <w:jc w:val="right"/>
              <w:spacing w:after="0"/>
              <w:rPr>
                <w:sz w:val="20"/>
                <w:szCs w:val="20"/>
                <w:color w:val="auto"/>
              </w:rPr>
            </w:pPr>
            <w:r>
              <w:rPr>
                <w:rFonts w:ascii="Arial" w:cs="Arial" w:eastAsia="Arial" w:hAnsi="Arial"/>
                <w:sz w:val="18"/>
                <w:szCs w:val="18"/>
                <w:color w:val="auto"/>
              </w:rPr>
              <w:t>144</w:t>
            </w:r>
          </w:p>
        </w:tc>
        <w:tc>
          <w:tcPr>
            <w:tcW w:w="16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113</w:t>
            </w:r>
          </w:p>
        </w:tc>
        <w:tc>
          <w:tcPr>
            <w:tcW w:w="42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95</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67</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c>
          <w:tcPr>
            <w:tcW w:w="32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39</w:t>
            </w:r>
          </w:p>
        </w:tc>
        <w:tc>
          <w:tcPr>
            <w:tcW w:w="32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21"/>
        </w:trPr>
        <w:tc>
          <w:tcPr>
            <w:tcW w:w="27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800 and above</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2,081</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1,867</w:t>
            </w:r>
          </w:p>
        </w:tc>
        <w:tc>
          <w:tcPr>
            <w:tcW w:w="42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1,936</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1,293</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540</w:t>
            </w:r>
          </w:p>
        </w:tc>
        <w:tc>
          <w:tcPr>
            <w:tcW w:w="32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822</w:t>
            </w:r>
          </w:p>
        </w:tc>
        <w:tc>
          <w:tcPr>
            <w:tcW w:w="32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8,539</w:t>
            </w:r>
          </w:p>
        </w:tc>
        <w:tc>
          <w:tcPr>
            <w:tcW w:w="0" w:type="dxa"/>
            <w:vAlign w:val="bottom"/>
          </w:tcPr>
          <w:p>
            <w:pPr>
              <w:spacing w:after="0"/>
              <w:rPr>
                <w:sz w:val="1"/>
                <w:szCs w:val="1"/>
                <w:color w:val="auto"/>
              </w:rPr>
            </w:pPr>
          </w:p>
        </w:tc>
      </w:tr>
      <w:tr>
        <w:trPr>
          <w:trHeight w:val="216"/>
        </w:trPr>
        <w:tc>
          <w:tcPr>
            <w:tcW w:w="2740" w:type="dxa"/>
            <w:vAlign w:val="bottom"/>
          </w:tcPr>
          <w:p>
            <w:pPr>
              <w:ind w:left="180"/>
              <w:spacing w:after="0"/>
              <w:rPr>
                <w:sz w:val="20"/>
                <w:szCs w:val="20"/>
                <w:color w:val="auto"/>
              </w:rPr>
            </w:pPr>
            <w:r>
              <w:rPr>
                <w:rFonts w:ascii="Arial" w:cs="Arial" w:eastAsia="Arial" w:hAnsi="Arial"/>
                <w:sz w:val="18"/>
                <w:szCs w:val="18"/>
                <w:color w:val="auto"/>
              </w:rPr>
              <w:t>750-799</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7,175</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10,912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7,417</w:t>
            </w:r>
          </w:p>
        </w:tc>
        <w:tc>
          <w:tcPr>
            <w:tcW w:w="2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3,831</w:t>
            </w: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2,745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3,168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35,248</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700-749</w:t>
            </w:r>
          </w:p>
        </w:tc>
        <w:tc>
          <w:tcPr>
            <w:tcW w:w="20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5,328</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4,695</w:t>
            </w:r>
          </w:p>
        </w:tc>
        <w:tc>
          <w:tcPr>
            <w:tcW w:w="20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2,564</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22,932</w:t>
            </w:r>
          </w:p>
        </w:tc>
        <w:tc>
          <w:tcPr>
            <w:tcW w:w="0" w:type="dxa"/>
            <w:vAlign w:val="bottom"/>
          </w:tcPr>
          <w:p>
            <w:pPr>
              <w:spacing w:after="0"/>
              <w:rPr>
                <w:sz w:val="1"/>
                <w:szCs w:val="1"/>
                <w:color w:val="auto"/>
              </w:rPr>
            </w:pPr>
          </w:p>
        </w:tc>
      </w:tr>
      <w:tr>
        <w:trPr>
          <w:trHeight w:val="216"/>
        </w:trPr>
        <w:tc>
          <w:tcPr>
            <w:tcW w:w="2740" w:type="dxa"/>
            <w:vAlign w:val="bottom"/>
          </w:tcPr>
          <w:p>
            <w:pPr>
              <w:ind w:left="180"/>
              <w:spacing w:after="0"/>
              <w:rPr>
                <w:sz w:val="20"/>
                <w:szCs w:val="20"/>
                <w:color w:val="auto"/>
              </w:rPr>
            </w:pPr>
            <w:r>
              <w:rPr>
                <w:rFonts w:ascii="Arial" w:cs="Arial" w:eastAsia="Arial" w:hAnsi="Arial"/>
                <w:sz w:val="18"/>
                <w:szCs w:val="18"/>
                <w:color w:val="auto"/>
              </w:rPr>
              <w:t>650-699</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14,934</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2,684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1,904</w:t>
            </w:r>
          </w:p>
        </w:tc>
        <w:tc>
          <w:tcPr>
            <w:tcW w:w="2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870</w:t>
            </w: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875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1,498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22,765</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600-649</w:t>
            </w:r>
          </w:p>
        </w:tc>
        <w:tc>
          <w:tcPr>
            <w:tcW w:w="20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463</w:t>
            </w:r>
          </w:p>
        </w:tc>
        <w:tc>
          <w:tcPr>
            <w:tcW w:w="20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397</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2,433</w:t>
            </w:r>
          </w:p>
        </w:tc>
        <w:tc>
          <w:tcPr>
            <w:tcW w:w="0" w:type="dxa"/>
            <w:vAlign w:val="bottom"/>
          </w:tcPr>
          <w:p>
            <w:pPr>
              <w:spacing w:after="0"/>
              <w:rPr>
                <w:sz w:val="1"/>
                <w:szCs w:val="1"/>
                <w:color w:val="auto"/>
              </w:rPr>
            </w:pPr>
          </w:p>
        </w:tc>
      </w:tr>
      <w:tr>
        <w:trPr>
          <w:trHeight w:val="216"/>
        </w:trPr>
        <w:tc>
          <w:tcPr>
            <w:tcW w:w="2740" w:type="dxa"/>
            <w:vAlign w:val="bottom"/>
          </w:tcPr>
          <w:p>
            <w:pPr>
              <w:ind w:left="180"/>
              <w:spacing w:after="0"/>
              <w:rPr>
                <w:sz w:val="20"/>
                <w:szCs w:val="20"/>
                <w:color w:val="auto"/>
              </w:rPr>
            </w:pPr>
            <w:r>
              <w:rPr>
                <w:rFonts w:ascii="Arial" w:cs="Arial" w:eastAsia="Arial" w:hAnsi="Arial"/>
                <w:sz w:val="18"/>
                <w:szCs w:val="18"/>
                <w:color w:val="auto"/>
              </w:rPr>
              <w:t>550-599</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69</w:t>
            </w:r>
          </w:p>
        </w:tc>
        <w:tc>
          <w:tcPr>
            <w:tcW w:w="2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139</w:t>
            </w: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179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500-549</w:t>
            </w:r>
          </w:p>
        </w:tc>
        <w:tc>
          <w:tcPr>
            <w:tcW w:w="20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w:t>
            </w:r>
          </w:p>
        </w:tc>
        <w:tc>
          <w:tcPr>
            <w:tcW w:w="20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141</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16"/>
        </w:trPr>
        <w:tc>
          <w:tcPr>
            <w:tcW w:w="2740" w:type="dxa"/>
            <w:vAlign w:val="bottom"/>
          </w:tcPr>
          <w:p>
            <w:pPr>
              <w:ind w:left="160"/>
              <w:spacing w:after="0"/>
              <w:rPr>
                <w:sz w:val="20"/>
                <w:szCs w:val="20"/>
                <w:color w:val="auto"/>
              </w:rPr>
            </w:pPr>
            <w:r>
              <w:rPr>
                <w:rFonts w:ascii="Arial" w:cs="Arial" w:eastAsia="Arial" w:hAnsi="Arial"/>
                <w:sz w:val="18"/>
                <w:szCs w:val="18"/>
                <w:color w:val="auto"/>
              </w:rPr>
              <w:t>Under 500</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47</w:t>
            </w:r>
          </w:p>
        </w:tc>
        <w:tc>
          <w:tcPr>
            <w:tcW w:w="2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Unknown</w:t>
            </w:r>
          </w:p>
        </w:tc>
        <w:tc>
          <w:tcPr>
            <w:tcW w:w="20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1,292</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1,292</w:t>
            </w:r>
          </w:p>
        </w:tc>
        <w:tc>
          <w:tcPr>
            <w:tcW w:w="0" w:type="dxa"/>
            <w:vAlign w:val="bottom"/>
          </w:tcPr>
          <w:p>
            <w:pPr>
              <w:spacing w:after="0"/>
              <w:rPr>
                <w:sz w:val="1"/>
                <w:szCs w:val="1"/>
                <w:color w:val="auto"/>
              </w:rPr>
            </w:pPr>
          </w:p>
        </w:tc>
      </w:tr>
      <w:tr>
        <w:trPr>
          <w:trHeight w:val="27"/>
        </w:trPr>
        <w:tc>
          <w:tcPr>
            <w:tcW w:w="27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tcBorders>
              <w:right w:val="single" w:sz="8" w:color="CCEEFF"/>
            </w:tcBorders>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740" w:type="dxa"/>
            <w:vAlign w:val="bottom"/>
          </w:tcPr>
          <w:p>
            <w:pPr>
              <w:ind w:left="240"/>
              <w:spacing w:after="0"/>
              <w:rPr>
                <w:sz w:val="20"/>
                <w:szCs w:val="20"/>
                <w:color w:val="auto"/>
              </w:rPr>
            </w:pPr>
            <w:r>
              <w:rPr>
                <w:rFonts w:ascii="Arial" w:cs="Arial" w:eastAsia="Arial" w:hAnsi="Arial"/>
                <w:sz w:val="18"/>
                <w:szCs w:val="18"/>
                <w:color w:val="auto"/>
              </w:rPr>
              <w:t>Total</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31,255</w:t>
            </w:r>
          </w:p>
        </w:tc>
        <w:tc>
          <w:tcPr>
            <w:tcW w:w="16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22,766</w:t>
            </w:r>
          </w:p>
        </w:tc>
        <w:tc>
          <w:tcPr>
            <w:tcW w:w="42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16,585</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9,238</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5,947</w:t>
            </w:r>
          </w:p>
        </w:tc>
        <w:tc>
          <w:tcPr>
            <w:tcW w:w="32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8,475</w:t>
            </w:r>
          </w:p>
        </w:tc>
        <w:tc>
          <w:tcPr>
            <w:tcW w:w="32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94,266</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4"/>
              </w:rPr>
              <w:t>Accrued interest excluded from total</w:t>
            </w: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0" w:type="dxa"/>
            <w:vAlign w:val="bottom"/>
            <w:tcBorders>
              <w:bottom w:val="single" w:sz="8" w:color="CCEEFF"/>
              <w:right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Total installment</w:t>
            </w:r>
          </w:p>
        </w:tc>
        <w:tc>
          <w:tcPr>
            <w:tcW w:w="20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tcPr>
          <w:p>
            <w:pPr>
              <w:ind w:left="180"/>
              <w:spacing w:after="0"/>
              <w:rPr>
                <w:sz w:val="20"/>
                <w:szCs w:val="20"/>
                <w:color w:val="auto"/>
              </w:rPr>
            </w:pPr>
            <w:r>
              <w:rPr>
                <w:rFonts w:ascii="Arial" w:cs="Arial" w:eastAsia="Arial" w:hAnsi="Arial"/>
                <w:sz w:val="18"/>
                <w:szCs w:val="18"/>
                <w:color w:val="auto"/>
              </w:rPr>
              <w:t>800 and above</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19,720</w:t>
            </w:r>
          </w:p>
        </w:tc>
        <w:tc>
          <w:tcPr>
            <w:tcW w:w="16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12,339</w:t>
            </w:r>
          </w:p>
        </w:tc>
        <w:tc>
          <w:tcPr>
            <w:tcW w:w="42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14,955</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13,173</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7,004</w:t>
            </w:r>
          </w:p>
        </w:tc>
        <w:tc>
          <w:tcPr>
            <w:tcW w:w="32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10,699</w:t>
            </w:r>
          </w:p>
        </w:tc>
        <w:tc>
          <w:tcPr>
            <w:tcW w:w="32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77,890</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750-799</w:t>
            </w:r>
          </w:p>
        </w:tc>
        <w:tc>
          <w:tcPr>
            <w:tcW w:w="20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74,621</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67,373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52,747</w:t>
            </w:r>
          </w:p>
        </w:tc>
        <w:tc>
          <w:tcPr>
            <w:tcW w:w="20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37,251</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21,330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25,917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279,239</w:t>
            </w:r>
          </w:p>
        </w:tc>
        <w:tc>
          <w:tcPr>
            <w:tcW w:w="0" w:type="dxa"/>
            <w:vAlign w:val="bottom"/>
          </w:tcPr>
          <w:p>
            <w:pPr>
              <w:spacing w:after="0"/>
              <w:rPr>
                <w:sz w:val="1"/>
                <w:szCs w:val="1"/>
                <w:color w:val="auto"/>
              </w:rPr>
            </w:pPr>
          </w:p>
        </w:tc>
      </w:tr>
      <w:tr>
        <w:trPr>
          <w:trHeight w:val="216"/>
        </w:trPr>
        <w:tc>
          <w:tcPr>
            <w:tcW w:w="2740" w:type="dxa"/>
            <w:vAlign w:val="bottom"/>
          </w:tcPr>
          <w:p>
            <w:pPr>
              <w:ind w:left="180"/>
              <w:spacing w:after="0"/>
              <w:rPr>
                <w:sz w:val="20"/>
                <w:szCs w:val="20"/>
                <w:color w:val="auto"/>
              </w:rPr>
            </w:pPr>
            <w:r>
              <w:rPr>
                <w:rFonts w:ascii="Arial" w:cs="Arial" w:eastAsia="Arial" w:hAnsi="Arial"/>
                <w:sz w:val="18"/>
                <w:szCs w:val="18"/>
                <w:color w:val="auto"/>
              </w:rPr>
              <w:t>700-749</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34,709</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29,430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20,559</w:t>
            </w:r>
          </w:p>
        </w:tc>
        <w:tc>
          <w:tcPr>
            <w:tcW w:w="2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13,256</w:t>
            </w: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7,191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10,004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115,149</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650-699</w:t>
            </w:r>
          </w:p>
        </w:tc>
        <w:tc>
          <w:tcPr>
            <w:tcW w:w="20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17,638</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6,549</w:t>
            </w:r>
          </w:p>
        </w:tc>
        <w:tc>
          <w:tcPr>
            <w:tcW w:w="20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3,278</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4,661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42,772</w:t>
            </w:r>
          </w:p>
        </w:tc>
        <w:tc>
          <w:tcPr>
            <w:tcW w:w="0" w:type="dxa"/>
            <w:vAlign w:val="bottom"/>
          </w:tcPr>
          <w:p>
            <w:pPr>
              <w:spacing w:after="0"/>
              <w:rPr>
                <w:sz w:val="1"/>
                <w:szCs w:val="1"/>
                <w:color w:val="auto"/>
              </w:rPr>
            </w:pPr>
          </w:p>
        </w:tc>
      </w:tr>
      <w:tr>
        <w:trPr>
          <w:trHeight w:val="216"/>
        </w:trPr>
        <w:tc>
          <w:tcPr>
            <w:tcW w:w="2740" w:type="dxa"/>
            <w:vAlign w:val="bottom"/>
          </w:tcPr>
          <w:p>
            <w:pPr>
              <w:ind w:left="180"/>
              <w:spacing w:after="0"/>
              <w:rPr>
                <w:sz w:val="20"/>
                <w:szCs w:val="20"/>
                <w:color w:val="auto"/>
              </w:rPr>
            </w:pPr>
            <w:r>
              <w:rPr>
                <w:rFonts w:ascii="Arial" w:cs="Arial" w:eastAsia="Arial" w:hAnsi="Arial"/>
                <w:sz w:val="18"/>
                <w:szCs w:val="18"/>
                <w:color w:val="auto"/>
              </w:rPr>
              <w:t>600-649</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506</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806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1,288</w:t>
            </w:r>
          </w:p>
        </w:tc>
        <w:tc>
          <w:tcPr>
            <w:tcW w:w="2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1,059</w:t>
            </w: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605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1,183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5,447</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550-599</w:t>
            </w:r>
          </w:p>
        </w:tc>
        <w:tc>
          <w:tcPr>
            <w:tcW w:w="20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275</w:t>
            </w:r>
          </w:p>
        </w:tc>
        <w:tc>
          <w:tcPr>
            <w:tcW w:w="20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425</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1,877</w:t>
            </w:r>
          </w:p>
        </w:tc>
        <w:tc>
          <w:tcPr>
            <w:tcW w:w="0" w:type="dxa"/>
            <w:vAlign w:val="bottom"/>
          </w:tcPr>
          <w:p>
            <w:pPr>
              <w:spacing w:after="0"/>
              <w:rPr>
                <w:sz w:val="1"/>
                <w:szCs w:val="1"/>
                <w:color w:val="auto"/>
              </w:rPr>
            </w:pPr>
          </w:p>
        </w:tc>
      </w:tr>
      <w:tr>
        <w:trPr>
          <w:trHeight w:val="216"/>
        </w:trPr>
        <w:tc>
          <w:tcPr>
            <w:tcW w:w="2740" w:type="dxa"/>
            <w:vAlign w:val="bottom"/>
          </w:tcPr>
          <w:p>
            <w:pPr>
              <w:ind w:left="180"/>
              <w:spacing w:after="0"/>
              <w:rPr>
                <w:sz w:val="20"/>
                <w:szCs w:val="20"/>
                <w:color w:val="auto"/>
              </w:rPr>
            </w:pPr>
            <w:r>
              <w:rPr>
                <w:rFonts w:ascii="Arial" w:cs="Arial" w:eastAsia="Arial" w:hAnsi="Arial"/>
                <w:sz w:val="18"/>
                <w:szCs w:val="18"/>
                <w:color w:val="auto"/>
              </w:rPr>
              <w:t>500-549</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86</w:t>
            </w:r>
          </w:p>
        </w:tc>
        <w:tc>
          <w:tcPr>
            <w:tcW w:w="2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306</w:t>
            </w: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302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295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1,056</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Under 500</w:t>
            </w:r>
          </w:p>
        </w:tc>
        <w:tc>
          <w:tcPr>
            <w:tcW w:w="20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w:t>
            </w:r>
          </w:p>
        </w:tc>
        <w:tc>
          <w:tcPr>
            <w:tcW w:w="20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23"/>
        </w:trPr>
        <w:tc>
          <w:tcPr>
            <w:tcW w:w="2740" w:type="dxa"/>
            <w:vAlign w:val="bottom"/>
          </w:tcPr>
          <w:p>
            <w:pPr>
              <w:ind w:left="160"/>
              <w:spacing w:after="0"/>
              <w:rPr>
                <w:sz w:val="20"/>
                <w:szCs w:val="20"/>
                <w:color w:val="auto"/>
              </w:rPr>
            </w:pPr>
            <w:r>
              <w:rPr>
                <w:rFonts w:ascii="Arial" w:cs="Arial" w:eastAsia="Arial" w:hAnsi="Arial"/>
                <w:sz w:val="18"/>
                <w:szCs w:val="18"/>
                <w:color w:val="auto"/>
              </w:rPr>
              <w:t>Unknown</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1,292</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1,292</w:t>
            </w:r>
          </w:p>
        </w:tc>
        <w:tc>
          <w:tcPr>
            <w:tcW w:w="0" w:type="dxa"/>
            <w:vAlign w:val="bottom"/>
          </w:tcPr>
          <w:p>
            <w:pPr>
              <w:spacing w:after="0"/>
              <w:rPr>
                <w:sz w:val="1"/>
                <w:szCs w:val="1"/>
                <w:color w:val="auto"/>
              </w:rPr>
            </w:pPr>
          </w:p>
        </w:tc>
      </w:tr>
      <w:tr>
        <w:trPr>
          <w:trHeight w:val="256"/>
        </w:trPr>
        <w:tc>
          <w:tcPr>
            <w:tcW w:w="27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148,488</w:t>
            </w:r>
          </w:p>
        </w:tc>
        <w:tc>
          <w:tcPr>
            <w:tcW w:w="1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118,316</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96,528</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68,772</w:t>
            </w:r>
          </w:p>
        </w:tc>
        <w:tc>
          <w:tcPr>
            <w:tcW w:w="200" w:type="dxa"/>
            <w:vAlign w:val="bottom"/>
            <w:tcBorders>
              <w:bottom w:val="single" w:sz="8" w:color="CCEEFF"/>
              <w:right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39,246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53,554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524,904</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2940" w:type="dxa"/>
            <w:vAlign w:val="bottom"/>
            <w:gridSpan w:val="2"/>
          </w:tcPr>
          <w:p>
            <w:pPr>
              <w:spacing w:after="0"/>
              <w:rPr>
                <w:sz w:val="20"/>
                <w:szCs w:val="20"/>
                <w:color w:val="auto"/>
              </w:rPr>
            </w:pPr>
            <w:r>
              <w:rPr>
                <w:rFonts w:ascii="Arial" w:cs="Arial" w:eastAsia="Arial" w:hAnsi="Arial"/>
                <w:sz w:val="18"/>
                <w:szCs w:val="18"/>
                <w:color w:val="auto"/>
                <w:w w:val="96"/>
              </w:rPr>
              <w:t>Accrued interest excluded from total $</w:t>
            </w:r>
          </w:p>
        </w:tc>
        <w:tc>
          <w:tcPr>
            <w:tcW w:w="820" w:type="dxa"/>
            <w:vAlign w:val="bottom"/>
          </w:tcPr>
          <w:p>
            <w:pPr>
              <w:jc w:val="right"/>
              <w:spacing w:after="0"/>
              <w:rPr>
                <w:sz w:val="20"/>
                <w:szCs w:val="20"/>
                <w:color w:val="auto"/>
              </w:rPr>
            </w:pPr>
            <w:r>
              <w:rPr>
                <w:rFonts w:ascii="Arial" w:cs="Arial" w:eastAsia="Arial" w:hAnsi="Arial"/>
                <w:sz w:val="18"/>
                <w:szCs w:val="18"/>
                <w:color w:val="auto"/>
              </w:rPr>
              <w:t>327</w:t>
            </w:r>
          </w:p>
        </w:tc>
        <w:tc>
          <w:tcPr>
            <w:tcW w:w="16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270</w:t>
            </w:r>
          </w:p>
        </w:tc>
        <w:tc>
          <w:tcPr>
            <w:tcW w:w="42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254</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177</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97</w:t>
            </w:r>
          </w:p>
        </w:tc>
        <w:tc>
          <w:tcPr>
            <w:tcW w:w="32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145</w:t>
            </w:r>
          </w:p>
        </w:tc>
        <w:tc>
          <w:tcPr>
            <w:tcW w:w="32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1,270</w:t>
            </w:r>
          </w:p>
        </w:tc>
        <w:tc>
          <w:tcPr>
            <w:tcW w:w="0" w:type="dxa"/>
            <w:vAlign w:val="bottom"/>
          </w:tcPr>
          <w:p>
            <w:pPr>
              <w:spacing w:after="0"/>
              <w:rPr>
                <w:sz w:val="1"/>
                <w:szCs w:val="1"/>
                <w:color w:val="auto"/>
              </w:rPr>
            </w:pPr>
          </w:p>
        </w:tc>
      </w:tr>
      <w:tr>
        <w:trPr>
          <w:trHeight w:val="21"/>
        </w:trPr>
        <w:tc>
          <w:tcPr>
            <w:tcW w:w="27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(1) Credit scores have been updated within the last twelve months.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5" w:name="page36"/>
    <w:bookmarkEnd w:id="3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credit scores by loan class for our mortgage and installment loan portfolio segments at December 31, 2020:</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5"/>
          </w:tcPr>
          <w:p>
            <w:pPr>
              <w:jc w:val="right"/>
              <w:ind w:right="1140"/>
              <w:spacing w:after="0"/>
              <w:rPr>
                <w:sz w:val="20"/>
                <w:szCs w:val="20"/>
                <w:color w:val="auto"/>
              </w:rPr>
            </w:pPr>
            <w:r>
              <w:rPr>
                <w:rFonts w:ascii="Arial" w:cs="Arial" w:eastAsia="Arial" w:hAnsi="Arial"/>
                <w:sz w:val="18"/>
                <w:szCs w:val="18"/>
                <w:color w:val="auto"/>
              </w:rPr>
              <w:t>Mortgage</w:t>
            </w: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center"/>
              <w:ind w:right="380"/>
              <w:spacing w:after="0" w:line="201" w:lineRule="exact"/>
              <w:rPr>
                <w:sz w:val="20"/>
                <w:szCs w:val="20"/>
                <w:color w:val="auto"/>
              </w:rPr>
            </w:pPr>
            <w:r>
              <w:rPr>
                <w:rFonts w:ascii="Arial" w:cs="Arial" w:eastAsia="Arial" w:hAnsi="Arial"/>
                <w:sz w:val="18"/>
                <w:szCs w:val="18"/>
                <w:color w:val="auto"/>
                <w:w w:val="95"/>
              </w:rPr>
              <w:t>1-4 Family</w:t>
            </w:r>
          </w:p>
        </w:tc>
        <w:tc>
          <w:tcPr>
            <w:tcW w:w="120" w:type="dxa"/>
            <w:vAlign w:val="bottom"/>
          </w:tcPr>
          <w:p>
            <w:pPr>
              <w:spacing w:after="0"/>
              <w:rPr>
                <w:sz w:val="17"/>
                <w:szCs w:val="17"/>
                <w:color w:val="auto"/>
              </w:rPr>
            </w:pPr>
          </w:p>
        </w:tc>
        <w:tc>
          <w:tcPr>
            <w:tcW w:w="1240" w:type="dxa"/>
            <w:vAlign w:val="bottom"/>
            <w:gridSpan w:val="2"/>
          </w:tcPr>
          <w:p>
            <w:pPr>
              <w:jc w:val="center"/>
              <w:ind w:right="360"/>
              <w:spacing w:after="0" w:line="201" w:lineRule="exact"/>
              <w:rPr>
                <w:sz w:val="20"/>
                <w:szCs w:val="20"/>
                <w:color w:val="auto"/>
              </w:rPr>
            </w:pPr>
            <w:r>
              <w:rPr>
                <w:rFonts w:ascii="Arial" w:cs="Arial" w:eastAsia="Arial" w:hAnsi="Arial"/>
                <w:sz w:val="18"/>
                <w:szCs w:val="18"/>
                <w:color w:val="auto"/>
                <w:w w:val="95"/>
              </w:rPr>
              <w:t>1-4 Family</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color w:val="auto"/>
                <w:w w:val="90"/>
              </w:rPr>
              <w:t>Owner</w:t>
            </w:r>
          </w:p>
        </w:tc>
        <w:tc>
          <w:tcPr>
            <w:tcW w:w="120" w:type="dxa"/>
            <w:vAlign w:val="bottom"/>
          </w:tcPr>
          <w:p>
            <w:pPr>
              <w:spacing w:after="0"/>
              <w:rPr>
                <w:sz w:val="18"/>
                <w:szCs w:val="18"/>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8"/>
                <w:szCs w:val="18"/>
                <w:color w:val="auto"/>
                <w:w w:val="90"/>
              </w:rPr>
              <w:t>Owner</w:t>
            </w:r>
          </w:p>
        </w:tc>
        <w:tc>
          <w:tcPr>
            <w:tcW w:w="14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color w:val="auto"/>
                <w:w w:val="95"/>
              </w:rPr>
              <w:t>1-4 Family</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color w:val="auto"/>
                <w:w w:val="91"/>
              </w:rPr>
              <w:t>Occupied -</w:t>
            </w:r>
          </w:p>
        </w:tc>
        <w:tc>
          <w:tcPr>
            <w:tcW w:w="120" w:type="dxa"/>
            <w:vAlign w:val="bottom"/>
          </w:tcPr>
          <w:p>
            <w:pPr>
              <w:spacing w:after="0"/>
              <w:rPr>
                <w:sz w:val="18"/>
                <w:szCs w:val="18"/>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Occupied -</w:t>
            </w:r>
          </w:p>
        </w:tc>
        <w:tc>
          <w:tcPr>
            <w:tcW w:w="14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color w:val="auto"/>
                <w:w w:val="93"/>
              </w:rPr>
              <w:t>Non-owner</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1-4 Family</w:t>
            </w:r>
          </w:p>
        </w:tc>
        <w:tc>
          <w:tcPr>
            <w:tcW w:w="180" w:type="dxa"/>
            <w:vAlign w:val="bottom"/>
          </w:tcPr>
          <w:p>
            <w:pPr>
              <w:spacing w:after="0"/>
              <w:rPr>
                <w:sz w:val="18"/>
                <w:szCs w:val="18"/>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8"/>
                <w:szCs w:val="18"/>
                <w:color w:val="auto"/>
                <w:w w:val="90"/>
              </w:rPr>
              <w:t>Resort</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8"/>
              </w:rPr>
              <w:t>Jumbo</w:t>
            </w: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5"/>
              </w:rPr>
              <w:t>Non-jumbo</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Occupied</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2"/>
              </w:rPr>
              <w:t>2nd Lien</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3"/>
              </w:rPr>
              <w:t>Lending</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280" w:type="dxa"/>
            <w:vAlign w:val="bottom"/>
            <w:vMerge w:val="restart"/>
          </w:tcPr>
          <w:p>
            <w:pPr>
              <w:spacing w:after="0"/>
              <w:rPr>
                <w:sz w:val="20"/>
                <w:szCs w:val="20"/>
                <w:color w:val="auto"/>
              </w:rPr>
            </w:pPr>
            <w:r>
              <w:rPr>
                <w:rFonts w:ascii="Arial" w:cs="Arial" w:eastAsia="Arial" w:hAnsi="Arial"/>
                <w:sz w:val="18"/>
                <w:szCs w:val="18"/>
                <w:color w:val="auto"/>
              </w:rPr>
              <w:t>December 31, 2020</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40" w:type="dxa"/>
            <w:vAlign w:val="bottom"/>
            <w:gridSpan w:val="5"/>
          </w:tcPr>
          <w:p>
            <w:pPr>
              <w:jc w:val="right"/>
              <w:ind w:right="980"/>
              <w:spacing w:after="0"/>
              <w:rPr>
                <w:sz w:val="20"/>
                <w:szCs w:val="20"/>
                <w:color w:val="auto"/>
              </w:rPr>
            </w:pPr>
            <w:r>
              <w:rPr>
                <w:rFonts w:ascii="Arial" w:cs="Arial" w:eastAsia="Arial" w:hAnsi="Arial"/>
                <w:sz w:val="18"/>
                <w:szCs w:val="18"/>
                <w:color w:val="auto"/>
              </w:rPr>
              <w:t>(In thousands)</w:t>
            </w: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2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800 and above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61,077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40,187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25,468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12,490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9,546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148,768</w:t>
            </w: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Arial" w:cs="Arial" w:eastAsia="Arial" w:hAnsi="Arial"/>
                <w:sz w:val="18"/>
                <w:szCs w:val="18"/>
                <w:color w:val="auto"/>
              </w:rPr>
              <w:t>750-799</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223,177</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70,642</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82,124</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42,138</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27,530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445,611</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700-749</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101,086</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75,489</w:t>
            </w:r>
          </w:p>
        </w:tc>
        <w:tc>
          <w:tcPr>
            <w:tcW w:w="14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30,326</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22,962</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11,726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241,589</w:t>
            </w: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Arial" w:cs="Arial" w:eastAsia="Arial" w:hAnsi="Arial"/>
                <w:sz w:val="18"/>
                <w:szCs w:val="18"/>
                <w:color w:val="auto"/>
              </w:rPr>
              <w:t>650-699</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40,296</w:t>
            </w: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44,344</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13,182</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11,269</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6,393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115,484</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600-649</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11,146</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18,519</w:t>
            </w:r>
          </w:p>
        </w:tc>
        <w:tc>
          <w:tcPr>
            <w:tcW w:w="14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4,303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2,703</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1,670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38,341</w:t>
            </w: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Arial" w:cs="Arial" w:eastAsia="Arial" w:hAnsi="Arial"/>
                <w:sz w:val="18"/>
                <w:szCs w:val="18"/>
                <w:color w:val="auto"/>
              </w:rPr>
              <w:t>550-599</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11,021</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2,388</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1,608</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917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15,934</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500-549</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3,396</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5,129</w:t>
            </w:r>
          </w:p>
        </w:tc>
        <w:tc>
          <w:tcPr>
            <w:tcW w:w="14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1,580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1,012</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11,309</w:t>
            </w:r>
          </w:p>
        </w:tc>
        <w:tc>
          <w:tcPr>
            <w:tcW w:w="0" w:type="dxa"/>
            <w:vAlign w:val="bottom"/>
          </w:tcPr>
          <w:p>
            <w:pPr>
              <w:spacing w:after="0"/>
              <w:rPr>
                <w:sz w:val="1"/>
                <w:szCs w:val="1"/>
                <w:color w:val="auto"/>
              </w:rPr>
            </w:pPr>
          </w:p>
        </w:tc>
      </w:tr>
      <w:tr>
        <w:trPr>
          <w:trHeight w:val="223"/>
        </w:trPr>
        <w:tc>
          <w:tcPr>
            <w:tcW w:w="3280" w:type="dxa"/>
            <w:vAlign w:val="bottom"/>
          </w:tcPr>
          <w:p>
            <w:pPr>
              <w:ind w:left="180"/>
              <w:spacing w:after="0"/>
              <w:rPr>
                <w:sz w:val="20"/>
                <w:szCs w:val="20"/>
                <w:color w:val="auto"/>
              </w:rPr>
            </w:pPr>
            <w:r>
              <w:rPr>
                <w:rFonts w:ascii="Arial" w:cs="Arial" w:eastAsia="Arial" w:hAnsi="Arial"/>
                <w:sz w:val="18"/>
                <w:szCs w:val="18"/>
                <w:color w:val="auto"/>
              </w:rPr>
              <w:t>Under 500</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2,242</w:t>
            </w:r>
          </w:p>
        </w:tc>
        <w:tc>
          <w:tcPr>
            <w:tcW w:w="14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405</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348</w:t>
            </w:r>
          </w:p>
        </w:tc>
        <w:tc>
          <w:tcPr>
            <w:tcW w:w="18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73</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3,068</w:t>
            </w:r>
          </w:p>
        </w:tc>
        <w:tc>
          <w:tcPr>
            <w:tcW w:w="0" w:type="dxa"/>
            <w:vAlign w:val="bottom"/>
          </w:tcPr>
          <w:p>
            <w:pPr>
              <w:spacing w:after="0"/>
              <w:rPr>
                <w:sz w:val="1"/>
                <w:szCs w:val="1"/>
                <w:color w:val="auto"/>
              </w:rPr>
            </w:pPr>
          </w:p>
        </w:tc>
      </w:tr>
      <w:tr>
        <w:trPr>
          <w:trHeight w:val="257"/>
        </w:trPr>
        <w:tc>
          <w:tcPr>
            <w:tcW w:w="32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440,178</w:t>
            </w:r>
          </w:p>
        </w:tc>
        <w:tc>
          <w:tcPr>
            <w:tcW w:w="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267,573</w:t>
            </w:r>
          </w:p>
        </w:tc>
        <w:tc>
          <w:tcPr>
            <w:tcW w:w="240" w:type="dxa"/>
            <w:vAlign w:val="bottom"/>
            <w:tcBorders>
              <w:bottom w:val="single" w:sz="8" w:color="CCEEFF"/>
              <w:right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159,776</w:t>
            </w:r>
          </w:p>
        </w:tc>
        <w:tc>
          <w:tcPr>
            <w:tcW w:w="220" w:type="dxa"/>
            <w:vAlign w:val="bottom"/>
            <w:tcBorders>
              <w:bottom w:val="single" w:sz="8" w:color="CCEEFF"/>
              <w:right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94,530</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58,047</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1,020,104</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3280" w:type="dxa"/>
            <w:vAlign w:val="bottom"/>
          </w:tcPr>
          <w:p>
            <w:pPr>
              <w:spacing w:after="0"/>
              <w:rPr>
                <w:sz w:val="20"/>
                <w:szCs w:val="20"/>
                <w:color w:val="auto"/>
              </w:rPr>
            </w:pPr>
            <w:r>
              <w:rPr>
                <w:rFonts w:ascii="Arial" w:cs="Arial" w:eastAsia="Arial" w:hAnsi="Arial"/>
                <w:sz w:val="18"/>
                <w:szCs w:val="18"/>
                <w:color w:val="auto"/>
              </w:rPr>
              <w:t>Accrued interest included in total</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1,301</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1,641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587</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373</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276</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4,178</w:t>
            </w:r>
          </w:p>
        </w:tc>
        <w:tc>
          <w:tcPr>
            <w:tcW w:w="0" w:type="dxa"/>
            <w:vAlign w:val="bottom"/>
          </w:tcPr>
          <w:p>
            <w:pPr>
              <w:spacing w:after="0"/>
              <w:rPr>
                <w:sz w:val="1"/>
                <w:szCs w:val="1"/>
                <w:color w:val="auto"/>
              </w:rPr>
            </w:pPr>
          </w:p>
        </w:tc>
      </w:tr>
      <w:tr>
        <w:trPr>
          <w:trHeight w:val="21"/>
        </w:trPr>
        <w:tc>
          <w:tcPr>
            <w:tcW w:w="3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9"/>
        </w:trPr>
        <w:tc>
          <w:tcPr>
            <w:tcW w:w="3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5"/>
          </w:tcPr>
          <w:p>
            <w:pPr>
              <w:jc w:val="right"/>
              <w:ind w:right="1060"/>
              <w:spacing w:after="0"/>
              <w:rPr>
                <w:sz w:val="20"/>
                <w:szCs w:val="20"/>
                <w:color w:val="auto"/>
              </w:rPr>
            </w:pPr>
            <w:r>
              <w:rPr>
                <w:rFonts w:ascii="Arial" w:cs="Arial" w:eastAsia="Arial" w:hAnsi="Arial"/>
                <w:sz w:val="18"/>
                <w:szCs w:val="18"/>
                <w:color w:val="auto"/>
              </w:rPr>
              <w:t>Installment</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3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gridSpan w:val="3"/>
          </w:tcPr>
          <w:p>
            <w:pPr>
              <w:jc w:val="center"/>
              <w:ind w:right="240"/>
              <w:spacing w:after="0" w:line="201" w:lineRule="exact"/>
              <w:rPr>
                <w:sz w:val="20"/>
                <w:szCs w:val="20"/>
                <w:color w:val="auto"/>
              </w:rPr>
            </w:pPr>
            <w:r>
              <w:rPr>
                <w:rFonts w:ascii="Arial" w:cs="Arial" w:eastAsia="Arial" w:hAnsi="Arial"/>
                <w:sz w:val="18"/>
                <w:szCs w:val="18"/>
                <w:color w:val="auto"/>
                <w:w w:val="91"/>
              </w:rPr>
              <w:t>Recreational</w:t>
            </w: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Boat</w:t>
            </w:r>
          </w:p>
        </w:tc>
        <w:tc>
          <w:tcPr>
            <w:tcW w:w="120" w:type="dxa"/>
            <w:vAlign w:val="bottom"/>
          </w:tcPr>
          <w:p>
            <w:pPr>
              <w:spacing w:after="0"/>
              <w:rPr>
                <w:sz w:val="18"/>
                <w:szCs w:val="18"/>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8"/>
                <w:szCs w:val="18"/>
                <w:color w:val="auto"/>
                <w:w w:val="91"/>
              </w:rPr>
              <w:t>Vehicle</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Lending</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3"/>
              </w:rPr>
              <w:t>Lending</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8"/>
              </w:rPr>
              <w:t>Other</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280" w:type="dxa"/>
            <w:vAlign w:val="bottom"/>
            <w:vMerge w:val="restart"/>
          </w:tcPr>
          <w:p>
            <w:pPr>
              <w:spacing w:after="0"/>
              <w:rPr>
                <w:sz w:val="20"/>
                <w:szCs w:val="20"/>
                <w:color w:val="auto"/>
              </w:rPr>
            </w:pPr>
            <w:r>
              <w:rPr>
                <w:rFonts w:ascii="Arial" w:cs="Arial" w:eastAsia="Arial" w:hAnsi="Arial"/>
                <w:sz w:val="18"/>
                <w:szCs w:val="18"/>
                <w:color w:val="auto"/>
              </w:rPr>
              <w:t>December 31, 2020</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20" w:type="dxa"/>
            <w:vAlign w:val="bottom"/>
            <w:gridSpan w:val="5"/>
          </w:tcPr>
          <w:p>
            <w:pPr>
              <w:jc w:val="right"/>
              <w:ind w:right="940"/>
              <w:spacing w:after="0"/>
              <w:rPr>
                <w:sz w:val="20"/>
                <w:szCs w:val="20"/>
                <w:color w:val="auto"/>
              </w:rPr>
            </w:pPr>
            <w:r>
              <w:rPr>
                <w:rFonts w:ascii="Arial" w:cs="Arial" w:eastAsia="Arial" w:hAnsi="Arial"/>
                <w:sz w:val="18"/>
                <w:szCs w:val="18"/>
                <w:color w:val="auto"/>
              </w:rPr>
              <w:t>(In thousands)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2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800 and above</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ind w:right="44"/>
              <w:spacing w:after="0"/>
              <w:rPr>
                <w:sz w:val="20"/>
                <w:szCs w:val="20"/>
                <w:color w:val="auto"/>
              </w:rPr>
            </w:pPr>
            <w:r>
              <w:rPr>
                <w:rFonts w:ascii="Arial" w:cs="Arial" w:eastAsia="Arial" w:hAnsi="Arial"/>
                <w:sz w:val="4"/>
                <w:szCs w:val="4"/>
                <w:color w:val="auto"/>
                <w:w w:val="87"/>
              </w:rPr>
              <w:t>$</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32,231</w:t>
            </w: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29,223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9,154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70,608</w:t>
            </w: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Arial" w:cs="Arial" w:eastAsia="Arial" w:hAnsi="Arial"/>
                <w:sz w:val="18"/>
                <w:szCs w:val="18"/>
                <w:color w:val="auto"/>
              </w:rPr>
              <w:t>750-799</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123,689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95,890</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37,512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257,091</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700-749</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38,223</w:t>
            </w: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33,476</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25,262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96,961</w:t>
            </w: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Arial" w:cs="Arial" w:eastAsia="Arial" w:hAnsi="Arial"/>
                <w:sz w:val="18"/>
                <w:szCs w:val="18"/>
                <w:color w:val="auto"/>
              </w:rPr>
              <w:t>650-699</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10,189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8,794</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21,138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40,121</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600-649</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2,083</w:t>
            </w: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1,305</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3,730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7,118</w:t>
            </w: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Arial" w:cs="Arial" w:eastAsia="Arial" w:hAnsi="Arial"/>
                <w:sz w:val="18"/>
                <w:szCs w:val="18"/>
                <w:color w:val="auto"/>
              </w:rPr>
              <w:t>550-599</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661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551</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1,299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2,511</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500-549</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283</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1,392</w:t>
            </w: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Arial" w:cs="Arial" w:eastAsia="Arial" w:hAnsi="Arial"/>
                <w:sz w:val="18"/>
                <w:szCs w:val="18"/>
                <w:color w:val="auto"/>
              </w:rPr>
              <w:t>Under 500</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52</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63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Unknown</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7"/>
        </w:trPr>
        <w:tc>
          <w:tcPr>
            <w:tcW w:w="3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240" w:type="dxa"/>
            <w:vAlign w:val="bottom"/>
            <w:tcBorders>
              <w:right w:val="single" w:sz="8" w:color="auto"/>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tcBorders>
              <w:right w:val="single" w:sz="8" w:color="CCEEFF"/>
            </w:tcBorders>
            <w:shd w:val="clear" w:color="auto" w:fill="000000"/>
          </w:tcPr>
          <w:p>
            <w:pPr>
              <w:spacing w:after="0"/>
              <w:rPr>
                <w:sz w:val="2"/>
                <w:szCs w:val="2"/>
                <w:color w:val="auto"/>
              </w:rPr>
            </w:pPr>
          </w:p>
        </w:tc>
        <w:tc>
          <w:tcPr>
            <w:tcW w:w="22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80" w:type="dxa"/>
            <w:vAlign w:val="bottom"/>
          </w:tcPr>
          <w:p>
            <w:pPr>
              <w:ind w:left="34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jc w:val="right"/>
              <w:ind w:right="44"/>
              <w:spacing w:after="0"/>
              <w:rPr>
                <w:sz w:val="20"/>
                <w:szCs w:val="20"/>
                <w:color w:val="auto"/>
              </w:rPr>
            </w:pPr>
            <w:r>
              <w:rPr>
                <w:rFonts w:ascii="Arial" w:cs="Arial" w:eastAsia="Arial" w:hAnsi="Arial"/>
                <w:sz w:val="4"/>
                <w:szCs w:val="4"/>
                <w:color w:val="auto"/>
                <w:w w:val="87"/>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207,513</w:t>
            </w:r>
          </w:p>
        </w:tc>
        <w:tc>
          <w:tcPr>
            <w:tcW w:w="2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169,574</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99,435</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476,522</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3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interest included in total</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right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4"/>
                <w:szCs w:val="4"/>
                <w:color w:val="auto"/>
                <w:w w:val="87"/>
              </w:rPr>
              <w:t>$</w:t>
            </w:r>
          </w:p>
        </w:tc>
        <w:tc>
          <w:tcPr>
            <w:tcW w:w="10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572</w:t>
            </w:r>
          </w:p>
        </w:tc>
        <w:tc>
          <w:tcPr>
            <w:tcW w:w="220" w:type="dxa"/>
            <w:vAlign w:val="bottom"/>
            <w:tcBorders>
              <w:bottom w:val="single" w:sz="8" w:color="CCEEFF"/>
              <w:right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1,185</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Foreclosed residential real estate properties included in other real estate and repossessed assets on our Condensed Consolidated Statements of Financial Condition totaled $0.3 million and $0.7 million at June 30, 2021 and December 31, 2020, respectively. Retail mortgage loans secured by residential real estate properties for which formal foreclosure proceedings are in process according to local requirements totaled $0.3 million at both June 30, 2021 and December 31, 2020.</w:t>
      </w:r>
    </w:p>
    <w:p>
      <w:pPr>
        <w:spacing w:after="0" w:line="21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During the first quarter of 2020, we securitized $26.3 million of portfolio residential fixed rate mortgage loans servicing retained with Freddie Mac and recognized a gain on sale of $0.72 million. We also sold $2.4 million of portfolio residential fixed rate mortgage loans servicing retained into the secondary market and recognized a gain on sale of $0.07 million. These transactions were done primarily for asset/liability management purposes.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13"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Shareholders’ Equity and Earnings Per Common Share</w:t>
      </w:r>
    </w:p>
    <w:p>
      <w:pPr>
        <w:spacing w:after="0" w:line="25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December 18, 2020, our Board of Directors authorized a share repurchase plan (the “Repurchase Plan”) to buy back up to 1,100,000 shares of our outstanding common stock through December 31, 2021. Shares would be repurchased through open market transactions, though we could execute repurchases through other means, such as privately negotiated transactions. The timing and amount of any share repurchases will depend on a variety of factors, including, among others, securities law restrictions, the trading price of our common stock, regulatory requirements, potential alternative uses for capital, and our financial performance. During the six month periods ended June 30, 2021 and 2020 repurchases were made totaling 344,005 shares and 678,929 shares of common stock, respectively, for an aggregate purchase price of $7.3 million and $13.8 million, respectively.</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A reconciliation of basic and diluted net income per common share follows: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5"/>
        </w:trPr>
        <w:tc>
          <w:tcPr>
            <w:tcW w:w="5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80" w:type="dxa"/>
            <w:vAlign w:val="bottom"/>
            <w:gridSpan w:val="6"/>
          </w:tcPr>
          <w:p>
            <w:pPr>
              <w:jc w:val="right"/>
              <w:ind w:right="700"/>
              <w:spacing w:after="0"/>
              <w:rPr>
                <w:sz w:val="20"/>
                <w:szCs w:val="20"/>
                <w:color w:val="auto"/>
              </w:rPr>
            </w:pPr>
            <w:r>
              <w:rPr>
                <w:rFonts w:ascii="Arial" w:cs="Arial" w:eastAsia="Arial" w:hAnsi="Arial"/>
                <w:sz w:val="18"/>
                <w:szCs w:val="18"/>
                <w:color w:val="auto"/>
              </w:rPr>
              <w:t>Three Months Ended</w:t>
            </w:r>
          </w:p>
        </w:tc>
        <w:tc>
          <w:tcPr>
            <w:tcW w:w="240" w:type="dxa"/>
            <w:vAlign w:val="bottom"/>
          </w:tcPr>
          <w:p>
            <w:pPr>
              <w:spacing w:after="0"/>
              <w:rPr>
                <w:sz w:val="24"/>
                <w:szCs w:val="24"/>
                <w:color w:val="auto"/>
              </w:rPr>
            </w:pPr>
          </w:p>
        </w:tc>
        <w:tc>
          <w:tcPr>
            <w:tcW w:w="2300" w:type="dxa"/>
            <w:vAlign w:val="bottom"/>
            <w:gridSpan w:val="5"/>
          </w:tcPr>
          <w:p>
            <w:pPr>
              <w:ind w:left="300"/>
              <w:spacing w:after="0"/>
              <w:rPr>
                <w:sz w:val="20"/>
                <w:szCs w:val="20"/>
                <w:color w:val="auto"/>
              </w:rPr>
            </w:pPr>
            <w:r>
              <w:rPr>
                <w:rFonts w:ascii="Arial" w:cs="Arial" w:eastAsia="Arial" w:hAnsi="Arial"/>
                <w:sz w:val="18"/>
                <w:szCs w:val="18"/>
                <w:color w:val="auto"/>
              </w:rPr>
              <w:t>Six Months Ended</w:t>
            </w:r>
          </w:p>
        </w:tc>
      </w:tr>
      <w:tr>
        <w:trPr>
          <w:trHeight w:val="237"/>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tcPr>
          <w:p>
            <w:pPr>
              <w:jc w:val="right"/>
              <w:ind w:right="27"/>
              <w:spacing w:after="0"/>
              <w:rPr>
                <w:sz w:val="20"/>
                <w:szCs w:val="20"/>
                <w:color w:val="auto"/>
              </w:rPr>
            </w:pPr>
            <w:r>
              <w:rPr>
                <w:rFonts w:ascii="Arial" w:cs="Arial" w:eastAsia="Arial" w:hAnsi="Arial"/>
                <w:sz w:val="18"/>
                <w:szCs w:val="18"/>
                <w:color w:val="auto"/>
              </w:rPr>
              <w:t>June 30,</w:t>
            </w:r>
          </w:p>
        </w:tc>
        <w:tc>
          <w:tcPr>
            <w:tcW w:w="8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June 30,</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9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2021</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9"/>
                <w:szCs w:val="19"/>
                <w:color w:val="auto"/>
              </w:rPr>
            </w:pPr>
          </w:p>
        </w:tc>
      </w:t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900" w:type="dxa"/>
            <w:vAlign w:val="bottom"/>
            <w:gridSpan w:val="7"/>
          </w:tcPr>
          <w:p>
            <w:pPr>
              <w:jc w:val="right"/>
              <w:ind w:right="140"/>
              <w:spacing w:after="0"/>
              <w:rPr>
                <w:sz w:val="20"/>
                <w:szCs w:val="20"/>
                <w:color w:val="auto"/>
              </w:rPr>
            </w:pPr>
            <w:r>
              <w:rPr>
                <w:rFonts w:ascii="Arial" w:cs="Arial" w:eastAsia="Arial" w:hAnsi="Arial"/>
                <w:sz w:val="18"/>
                <w:szCs w:val="18"/>
                <w:color w:val="auto"/>
                <w:w w:val="91"/>
              </w:rPr>
              <w:t>(In thousands, except per share data)</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12,388</w:t>
            </w:r>
          </w:p>
        </w:tc>
        <w:tc>
          <w:tcPr>
            <w:tcW w:w="20" w:type="dxa"/>
            <w:vAlign w:val="bottom"/>
            <w:shd w:val="clear" w:color="auto" w:fill="CCEEFF"/>
          </w:tcPr>
          <w:p>
            <w:pPr>
              <w:spacing w:after="0"/>
              <w:rPr>
                <w:sz w:val="22"/>
                <w:szCs w:val="22"/>
                <w:color w:val="auto"/>
              </w:rPr>
            </w:pPr>
          </w:p>
        </w:tc>
        <w:tc>
          <w:tcPr>
            <w:tcW w:w="52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14,772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34,425</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19,582</w:t>
            </w:r>
          </w:p>
        </w:tc>
      </w:tr>
      <w:tr>
        <w:trPr>
          <w:trHeight w:val="210"/>
        </w:trPr>
        <w:tc>
          <w:tcPr>
            <w:tcW w:w="59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 (1)</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21,750</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21,891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21,788</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22,081</w:t>
            </w:r>
          </w:p>
        </w:tc>
      </w:tr>
      <w:tr>
        <w:trPr>
          <w:trHeight w:val="216"/>
        </w:trPr>
        <w:tc>
          <w:tcPr>
            <w:tcW w:w="5980" w:type="dxa"/>
            <w:vAlign w:val="bottom"/>
          </w:tcPr>
          <w:p>
            <w:pPr>
              <w:ind w:left="140"/>
              <w:spacing w:after="0"/>
              <w:rPr>
                <w:sz w:val="20"/>
                <w:szCs w:val="20"/>
                <w:color w:val="auto"/>
              </w:rPr>
            </w:pPr>
            <w:r>
              <w:rPr>
                <w:rFonts w:ascii="Arial" w:cs="Arial" w:eastAsia="Arial" w:hAnsi="Arial"/>
                <w:sz w:val="18"/>
                <w:szCs w:val="18"/>
                <w:color w:val="auto"/>
              </w:rPr>
              <w:t>Stock units for deferred compensation plan for non-employee directors</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113</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109</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118</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119</w:t>
            </w:r>
          </w:p>
        </w:tc>
      </w:tr>
      <w:tr>
        <w:trPr>
          <w:trHeight w:val="216"/>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Effect of stock options</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w:t>
            </w:r>
          </w:p>
        </w:tc>
      </w:tr>
      <w:tr>
        <w:trPr>
          <w:trHeight w:val="223"/>
        </w:trPr>
        <w:tc>
          <w:tcPr>
            <w:tcW w:w="5980" w:type="dxa"/>
            <w:vAlign w:val="bottom"/>
          </w:tcPr>
          <w:p>
            <w:pPr>
              <w:ind w:left="140"/>
              <w:spacing w:after="0"/>
              <w:rPr>
                <w:sz w:val="20"/>
                <w:szCs w:val="20"/>
                <w:color w:val="auto"/>
              </w:rPr>
            </w:pPr>
            <w:r>
              <w:rPr>
                <w:rFonts w:ascii="Arial" w:cs="Arial" w:eastAsia="Arial" w:hAnsi="Arial"/>
                <w:sz w:val="18"/>
                <w:szCs w:val="18"/>
                <w:color w:val="auto"/>
              </w:rPr>
              <w:t>Performance share units</w:t>
            </w:r>
          </w:p>
        </w:tc>
        <w:tc>
          <w:tcPr>
            <w:tcW w:w="24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29</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32</w:t>
            </w:r>
          </w:p>
        </w:tc>
        <w:tc>
          <w:tcPr>
            <w:tcW w:w="28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33</w:t>
            </w:r>
          </w:p>
        </w:tc>
      </w:tr>
      <w:tr>
        <w:trPr>
          <w:trHeight w:val="202"/>
        </w:trPr>
        <w:tc>
          <w:tcPr>
            <w:tcW w:w="59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3"/>
              </w:rPr>
              <w:t>Weighted average shares outstanding for calculation of diluted earnings per</w:t>
            </w: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71"/>
        </w:trPr>
        <w:tc>
          <w:tcPr>
            <w:tcW w:w="59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share</w:t>
            </w:r>
          </w:p>
        </w:tc>
        <w:tc>
          <w:tcPr>
            <w:tcW w:w="24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21,967</w:t>
            </w:r>
          </w:p>
        </w:tc>
        <w:tc>
          <w:tcPr>
            <w:tcW w:w="2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22,113</w:t>
            </w:r>
          </w:p>
        </w:tc>
        <w:tc>
          <w:tcPr>
            <w:tcW w:w="24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22,014</w:t>
            </w:r>
          </w:p>
        </w:tc>
        <w:tc>
          <w:tcPr>
            <w:tcW w:w="28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22,325</w:t>
            </w:r>
          </w:p>
        </w:tc>
      </w:tr>
      <w:tr>
        <w:trPr>
          <w:trHeight w:val="209"/>
        </w:trPr>
        <w:tc>
          <w:tcPr>
            <w:tcW w:w="59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common share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140"/>
              <w:spacing w:after="0"/>
              <w:rPr>
                <w:sz w:val="20"/>
                <w:szCs w:val="20"/>
                <w:color w:val="auto"/>
              </w:rPr>
            </w:pPr>
            <w:r>
              <w:rPr>
                <w:rFonts w:ascii="Arial" w:cs="Arial" w:eastAsia="Arial" w:hAnsi="Arial"/>
                <w:sz w:val="18"/>
                <w:szCs w:val="18"/>
                <w:color w:val="auto"/>
              </w:rPr>
              <w:t>Basic (1)</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0.57</w:t>
            </w:r>
          </w:p>
        </w:tc>
        <w:tc>
          <w:tcPr>
            <w:tcW w:w="52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0.67</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1.58</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0.89</w:t>
            </w: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59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0.56</w:t>
            </w: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0.67</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0.88</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(1) Basic net income per common share includes weighted average common shares outstanding during the period and participating share awards.</w:t>
      </w:r>
    </w:p>
    <w:p>
      <w:pPr>
        <w:spacing w:after="0" w:line="26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Weighted average stock options outstanding that were not considered in computing diluted net income per common share because they were anti-dilutive were zero for the three and six month periods ended June 30, 2021 and 2020.</w:t>
      </w:r>
    </w:p>
    <w:p>
      <w:pPr>
        <w:spacing w:after="0" w:line="197"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Derivative Financial Instruments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required to record derivatives on our Condensed Consolidated Statements of Financial Condition as assets and liabilities measured at their fair value. The accounting for increases and decreases in the value of derivatives depends upon the use of derivatives and whether the derivatives qualify for hedge accounting.</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Our derivative financial instruments according to the type of hedge in which they are designated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2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8"/>
                <w:szCs w:val="18"/>
                <w:color w:val="auto"/>
                <w:w w:val="89"/>
              </w:rPr>
              <w:t>June 30, 2021</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26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gridSpan w:val="2"/>
          </w:tcPr>
          <w:p>
            <w:pPr>
              <w:jc w:val="center"/>
              <w:ind w:right="200"/>
              <w:spacing w:after="0" w:line="201" w:lineRule="exact"/>
              <w:rPr>
                <w:sz w:val="20"/>
                <w:szCs w:val="20"/>
                <w:color w:val="auto"/>
              </w:rPr>
            </w:pPr>
            <w:r>
              <w:rPr>
                <w:rFonts w:ascii="Arial" w:cs="Arial" w:eastAsia="Arial" w:hAnsi="Arial"/>
                <w:sz w:val="18"/>
                <w:szCs w:val="18"/>
                <w:color w:val="auto"/>
                <w:w w:val="89"/>
              </w:rPr>
              <w:t>Average</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Arial" w:cs="Arial" w:eastAsia="Arial" w:hAnsi="Arial"/>
                <w:sz w:val="18"/>
                <w:szCs w:val="18"/>
                <w:color w:val="auto"/>
              </w:rPr>
              <w:t>Notional</w:t>
            </w: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Maturity</w:t>
            </w:r>
          </w:p>
        </w:tc>
        <w:tc>
          <w:tcPr>
            <w:tcW w:w="220" w:type="dxa"/>
            <w:vAlign w:val="bottom"/>
          </w:tcPr>
          <w:p>
            <w:pPr>
              <w:spacing w:after="0"/>
              <w:rPr>
                <w:sz w:val="18"/>
                <w:szCs w:val="18"/>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Fair</w:t>
            </w:r>
          </w:p>
        </w:tc>
        <w:tc>
          <w:tcPr>
            <w:tcW w:w="0" w:type="dxa"/>
            <w:vAlign w:val="bottom"/>
          </w:tcPr>
          <w:p>
            <w:pPr>
              <w:spacing w:after="0"/>
              <w:rPr>
                <w:sz w:val="1"/>
                <w:szCs w:val="1"/>
                <w:color w:val="auto"/>
              </w:rPr>
            </w:pPr>
          </w:p>
        </w:tc>
      </w:tr>
      <w:tr>
        <w:trPr>
          <w:trHeight w:val="237"/>
        </w:trPr>
        <w:tc>
          <w:tcPr>
            <w:tcW w:w="52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Amount</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(years)</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6"/>
              </w:rPr>
              <w:t>Value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780" w:type="dxa"/>
            <w:vAlign w:val="bottom"/>
            <w:gridSpan w:val="5"/>
          </w:tcPr>
          <w:p>
            <w:pPr>
              <w:jc w:val="center"/>
              <w:ind w:right="130"/>
              <w:spacing w:after="0"/>
              <w:rPr>
                <w:sz w:val="20"/>
                <w:szCs w:val="20"/>
                <w:color w:val="auto"/>
              </w:rPr>
            </w:pPr>
            <w:r>
              <w:rPr>
                <w:rFonts w:ascii="Arial" w:cs="Arial" w:eastAsia="Arial" w:hAnsi="Arial"/>
                <w:sz w:val="18"/>
                <w:szCs w:val="18"/>
                <w:color w:val="auto"/>
                <w:w w:val="89"/>
              </w:rPr>
              <w:t>(Dollars in thousands)</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5260" w:type="dxa"/>
            <w:vAlign w:val="bottom"/>
          </w:tcPr>
          <w:p>
            <w:pPr>
              <w:spacing w:after="0"/>
              <w:rPr>
                <w:sz w:val="20"/>
                <w:szCs w:val="20"/>
                <w:color w:val="auto"/>
              </w:rPr>
            </w:pPr>
            <w:r>
              <w:rPr>
                <w:rFonts w:ascii="Arial" w:cs="Arial" w:eastAsia="Arial" w:hAnsi="Arial"/>
                <w:sz w:val="18"/>
                <w:szCs w:val="18"/>
                <w:color w:val="auto"/>
              </w:rPr>
              <w:t>Fair value hedge designation</w:t>
            </w:r>
          </w:p>
        </w:tc>
        <w:tc>
          <w:tcPr>
            <w:tcW w:w="2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Pay-fixed interest rate swap agreements - commercial</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6,923</w:t>
            </w:r>
          </w:p>
        </w:tc>
        <w:tc>
          <w:tcPr>
            <w:tcW w:w="2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7.9</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223"/>
        </w:trPr>
        <w:tc>
          <w:tcPr>
            <w:tcW w:w="5260" w:type="dxa"/>
            <w:vAlign w:val="bottom"/>
          </w:tcPr>
          <w:p>
            <w:pPr>
              <w:spacing w:after="0"/>
              <w:rPr>
                <w:sz w:val="20"/>
                <w:szCs w:val="20"/>
                <w:color w:val="auto"/>
              </w:rPr>
            </w:pPr>
            <w:r>
              <w:rPr>
                <w:rFonts w:ascii="Arial" w:cs="Arial" w:eastAsia="Arial" w:hAnsi="Arial"/>
                <w:sz w:val="18"/>
                <w:szCs w:val="18"/>
                <w:color w:val="auto"/>
                <w:w w:val="94"/>
              </w:rPr>
              <w:t>Pay-fixed interest rate swap agreements - securities available for sale</w:t>
            </w:r>
          </w:p>
        </w:tc>
        <w:tc>
          <w:tcPr>
            <w:tcW w:w="2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148,895</w:t>
            </w:r>
          </w:p>
        </w:tc>
        <w:tc>
          <w:tcPr>
            <w:tcW w:w="20" w:type="dxa"/>
            <w:vAlign w:val="bottom"/>
          </w:tcPr>
          <w:p>
            <w:pPr>
              <w:spacing w:after="0"/>
              <w:rPr>
                <w:sz w:val="19"/>
                <w:szCs w:val="19"/>
                <w:color w:val="auto"/>
              </w:rPr>
            </w:pPr>
          </w:p>
        </w:tc>
        <w:tc>
          <w:tcPr>
            <w:tcW w:w="1540" w:type="dxa"/>
            <w:vAlign w:val="bottom"/>
            <w:gridSpan w:val="3"/>
          </w:tcPr>
          <w:p>
            <w:pPr>
              <w:jc w:val="right"/>
              <w:ind w:right="220"/>
              <w:spacing w:after="0"/>
              <w:rPr>
                <w:sz w:val="20"/>
                <w:szCs w:val="20"/>
                <w:color w:val="auto"/>
              </w:rPr>
            </w:pPr>
            <w:r>
              <w:rPr>
                <w:rFonts w:ascii="Arial" w:cs="Arial" w:eastAsia="Arial" w:hAnsi="Arial"/>
                <w:sz w:val="18"/>
                <w:szCs w:val="18"/>
                <w:color w:val="auto"/>
              </w:rPr>
              <w:t>6.3</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2,654</w:t>
            </w:r>
          </w:p>
        </w:tc>
        <w:tc>
          <w:tcPr>
            <w:tcW w:w="0" w:type="dxa"/>
            <w:vAlign w:val="bottom"/>
          </w:tcPr>
          <w:p>
            <w:pPr>
              <w:spacing w:after="0"/>
              <w:rPr>
                <w:sz w:val="1"/>
                <w:szCs w:val="1"/>
                <w:color w:val="auto"/>
              </w:rPr>
            </w:pPr>
          </w:p>
        </w:tc>
      </w:tr>
      <w:tr>
        <w:trPr>
          <w:trHeight w:val="257"/>
        </w:trPr>
        <w:tc>
          <w:tcPr>
            <w:tcW w:w="5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0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155,818</w:t>
            </w:r>
          </w:p>
        </w:tc>
        <w:tc>
          <w:tcPr>
            <w:tcW w:w="20" w:type="dxa"/>
            <w:vAlign w:val="bottom"/>
            <w:tcBorders>
              <w:top w:val="single" w:sz="8" w:color="auto"/>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6.4</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2,138</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52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No hedge designation</w:t>
            </w:r>
          </w:p>
        </w:tc>
        <w:tc>
          <w:tcPr>
            <w:tcW w:w="2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ind w:left="140"/>
              <w:spacing w:after="0"/>
              <w:rPr>
                <w:sz w:val="20"/>
                <w:szCs w:val="20"/>
                <w:color w:val="auto"/>
              </w:rPr>
            </w:pPr>
            <w:r>
              <w:rPr>
                <w:rFonts w:ascii="Arial" w:cs="Arial" w:eastAsia="Arial" w:hAnsi="Arial"/>
                <w:sz w:val="18"/>
                <w:szCs w:val="18"/>
                <w:color w:val="auto"/>
              </w:rPr>
              <w:t>Rate-lock mortgage loan commitments</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165,181</w:t>
            </w:r>
          </w:p>
        </w:tc>
        <w:tc>
          <w:tcPr>
            <w:tcW w:w="20" w:type="dxa"/>
            <w:vAlign w:val="bottom"/>
          </w:tcPr>
          <w:p>
            <w:pPr>
              <w:spacing w:after="0"/>
              <w:rPr>
                <w:sz w:val="18"/>
                <w:szCs w:val="18"/>
                <w:color w:val="auto"/>
              </w:rPr>
            </w:pPr>
          </w:p>
        </w:tc>
        <w:tc>
          <w:tcPr>
            <w:tcW w:w="1540" w:type="dxa"/>
            <w:vAlign w:val="bottom"/>
            <w:gridSpan w:val="3"/>
          </w:tcPr>
          <w:p>
            <w:pPr>
              <w:jc w:val="right"/>
              <w:ind w:right="220"/>
              <w:spacing w:after="0"/>
              <w:rPr>
                <w:sz w:val="20"/>
                <w:szCs w:val="20"/>
                <w:color w:val="auto"/>
              </w:rPr>
            </w:pPr>
            <w:r>
              <w:rPr>
                <w:rFonts w:ascii="Arial" w:cs="Arial" w:eastAsia="Arial" w:hAnsi="Arial"/>
                <w:sz w:val="18"/>
                <w:szCs w:val="18"/>
                <w:color w:val="auto"/>
              </w:rPr>
              <w:t>0.1</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4,356</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Mandatory commitments to sell mortgage loans</w:t>
            </w:r>
          </w:p>
        </w:tc>
        <w:tc>
          <w:tcPr>
            <w:tcW w:w="2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124,141</w:t>
            </w:r>
          </w:p>
        </w:tc>
        <w:tc>
          <w:tcPr>
            <w:tcW w:w="2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0.1</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6"/>
        </w:trPr>
        <w:tc>
          <w:tcPr>
            <w:tcW w:w="5260" w:type="dxa"/>
            <w:vAlign w:val="bottom"/>
          </w:tcPr>
          <w:p>
            <w:pPr>
              <w:ind w:left="140"/>
              <w:spacing w:after="0"/>
              <w:rPr>
                <w:sz w:val="20"/>
                <w:szCs w:val="20"/>
                <w:color w:val="auto"/>
              </w:rPr>
            </w:pPr>
            <w:r>
              <w:rPr>
                <w:rFonts w:ascii="Arial" w:cs="Arial" w:eastAsia="Arial" w:hAnsi="Arial"/>
                <w:sz w:val="18"/>
                <w:szCs w:val="18"/>
                <w:color w:val="auto"/>
              </w:rPr>
              <w:t>Interest rate swaption agreement</w:t>
            </w:r>
          </w:p>
        </w:tc>
        <w:tc>
          <w:tcPr>
            <w:tcW w:w="2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10,000</w:t>
            </w:r>
          </w:p>
        </w:tc>
        <w:tc>
          <w:tcPr>
            <w:tcW w:w="1540" w:type="dxa"/>
            <w:vAlign w:val="bottom"/>
            <w:gridSpan w:val="3"/>
          </w:tcPr>
          <w:p>
            <w:pPr>
              <w:jc w:val="right"/>
              <w:ind w:right="220"/>
              <w:spacing w:after="0"/>
              <w:rPr>
                <w:sz w:val="20"/>
                <w:szCs w:val="20"/>
                <w:color w:val="auto"/>
              </w:rPr>
            </w:pPr>
            <w:r>
              <w:rPr>
                <w:rFonts w:ascii="Arial" w:cs="Arial" w:eastAsia="Arial" w:hAnsi="Arial"/>
                <w:sz w:val="18"/>
                <w:szCs w:val="18"/>
                <w:color w:val="auto"/>
              </w:rPr>
              <w:t>0.7</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Pay-fixed interest rate swap agreements - commercial</w:t>
            </w:r>
          </w:p>
        </w:tc>
        <w:tc>
          <w:tcPr>
            <w:tcW w:w="2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154,934</w:t>
            </w:r>
          </w:p>
        </w:tc>
        <w:tc>
          <w:tcPr>
            <w:tcW w:w="2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4.6</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(6,873)</w:t>
            </w:r>
          </w:p>
        </w:tc>
        <w:tc>
          <w:tcPr>
            <w:tcW w:w="0" w:type="dxa"/>
            <w:vAlign w:val="bottom"/>
          </w:tcPr>
          <w:p>
            <w:pPr>
              <w:spacing w:after="0"/>
              <w:rPr>
                <w:sz w:val="1"/>
                <w:szCs w:val="1"/>
                <w:color w:val="auto"/>
              </w:rPr>
            </w:pPr>
          </w:p>
        </w:tc>
      </w:tr>
      <w:tr>
        <w:trPr>
          <w:trHeight w:val="216"/>
        </w:trPr>
        <w:tc>
          <w:tcPr>
            <w:tcW w:w="5260" w:type="dxa"/>
            <w:vAlign w:val="bottom"/>
          </w:tcPr>
          <w:p>
            <w:pPr>
              <w:ind w:left="140"/>
              <w:spacing w:after="0"/>
              <w:rPr>
                <w:sz w:val="20"/>
                <w:szCs w:val="20"/>
                <w:color w:val="auto"/>
              </w:rPr>
            </w:pPr>
            <w:r>
              <w:rPr>
                <w:rFonts w:ascii="Arial" w:cs="Arial" w:eastAsia="Arial" w:hAnsi="Arial"/>
                <w:sz w:val="18"/>
                <w:szCs w:val="18"/>
                <w:color w:val="auto"/>
              </w:rPr>
              <w:t>Pay-variable interest rate swap agreements - commercial</w:t>
            </w:r>
          </w:p>
        </w:tc>
        <w:tc>
          <w:tcPr>
            <w:tcW w:w="2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154,934</w:t>
            </w:r>
          </w:p>
        </w:tc>
        <w:tc>
          <w:tcPr>
            <w:tcW w:w="20" w:type="dxa"/>
            <w:vAlign w:val="bottom"/>
          </w:tcPr>
          <w:p>
            <w:pPr>
              <w:spacing w:after="0"/>
              <w:rPr>
                <w:sz w:val="18"/>
                <w:szCs w:val="18"/>
                <w:color w:val="auto"/>
              </w:rPr>
            </w:pPr>
          </w:p>
        </w:tc>
        <w:tc>
          <w:tcPr>
            <w:tcW w:w="1540" w:type="dxa"/>
            <w:vAlign w:val="bottom"/>
            <w:gridSpan w:val="3"/>
          </w:tcPr>
          <w:p>
            <w:pPr>
              <w:jc w:val="right"/>
              <w:ind w:right="220"/>
              <w:spacing w:after="0"/>
              <w:rPr>
                <w:sz w:val="20"/>
                <w:szCs w:val="20"/>
                <w:color w:val="auto"/>
              </w:rPr>
            </w:pPr>
            <w:r>
              <w:rPr>
                <w:rFonts w:ascii="Arial" w:cs="Arial" w:eastAsia="Arial" w:hAnsi="Arial"/>
                <w:sz w:val="18"/>
                <w:szCs w:val="18"/>
                <w:color w:val="auto"/>
              </w:rPr>
              <w:t>4.6</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6,873</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Pay-fixed interest rate swap agreements</w:t>
            </w:r>
          </w:p>
        </w:tc>
        <w:tc>
          <w:tcPr>
            <w:tcW w:w="2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15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0.2</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5260" w:type="dxa"/>
            <w:vAlign w:val="bottom"/>
          </w:tcPr>
          <w:p>
            <w:pPr>
              <w:ind w:left="140"/>
              <w:spacing w:after="0"/>
              <w:rPr>
                <w:sz w:val="20"/>
                <w:szCs w:val="20"/>
                <w:color w:val="auto"/>
              </w:rPr>
            </w:pPr>
            <w:r>
              <w:rPr>
                <w:rFonts w:ascii="Arial" w:cs="Arial" w:eastAsia="Arial" w:hAnsi="Arial"/>
                <w:sz w:val="18"/>
                <w:szCs w:val="18"/>
                <w:color w:val="auto"/>
              </w:rPr>
              <w:t>Interest rate cap agreements</w:t>
            </w:r>
          </w:p>
        </w:tc>
        <w:tc>
          <w:tcPr>
            <w:tcW w:w="2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120,000</w:t>
            </w:r>
          </w:p>
        </w:tc>
        <w:tc>
          <w:tcPr>
            <w:tcW w:w="20" w:type="dxa"/>
            <w:vAlign w:val="bottom"/>
          </w:tcPr>
          <w:p>
            <w:pPr>
              <w:spacing w:after="0"/>
              <w:rPr>
                <w:sz w:val="18"/>
                <w:szCs w:val="18"/>
                <w:color w:val="auto"/>
              </w:rPr>
            </w:pPr>
          </w:p>
        </w:tc>
        <w:tc>
          <w:tcPr>
            <w:tcW w:w="1540" w:type="dxa"/>
            <w:vAlign w:val="bottom"/>
            <w:gridSpan w:val="3"/>
          </w:tcPr>
          <w:p>
            <w:pPr>
              <w:jc w:val="right"/>
              <w:ind w:right="220"/>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Purchased options</w:t>
            </w:r>
          </w:p>
        </w:tc>
        <w:tc>
          <w:tcPr>
            <w:tcW w:w="2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1,777</w:t>
            </w:r>
          </w:p>
        </w:tc>
        <w:tc>
          <w:tcPr>
            <w:tcW w:w="2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0.2</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23"/>
        </w:trPr>
        <w:tc>
          <w:tcPr>
            <w:tcW w:w="5260" w:type="dxa"/>
            <w:vAlign w:val="bottom"/>
          </w:tcPr>
          <w:p>
            <w:pPr>
              <w:ind w:left="140"/>
              <w:spacing w:after="0"/>
              <w:rPr>
                <w:sz w:val="20"/>
                <w:szCs w:val="20"/>
                <w:color w:val="auto"/>
              </w:rPr>
            </w:pPr>
            <w:r>
              <w:rPr>
                <w:rFonts w:ascii="Arial" w:cs="Arial" w:eastAsia="Arial" w:hAnsi="Arial"/>
                <w:sz w:val="18"/>
                <w:szCs w:val="18"/>
                <w:color w:val="auto"/>
              </w:rPr>
              <w:t>Written options</w:t>
            </w:r>
          </w:p>
        </w:tc>
        <w:tc>
          <w:tcPr>
            <w:tcW w:w="2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1,777</w:t>
            </w:r>
          </w:p>
        </w:tc>
        <w:tc>
          <w:tcPr>
            <w:tcW w:w="20" w:type="dxa"/>
            <w:vAlign w:val="bottom"/>
          </w:tcPr>
          <w:p>
            <w:pPr>
              <w:spacing w:after="0"/>
              <w:rPr>
                <w:sz w:val="19"/>
                <w:szCs w:val="19"/>
                <w:color w:val="auto"/>
              </w:rPr>
            </w:pPr>
          </w:p>
        </w:tc>
        <w:tc>
          <w:tcPr>
            <w:tcW w:w="1540" w:type="dxa"/>
            <w:vAlign w:val="bottom"/>
            <w:gridSpan w:val="3"/>
          </w:tcPr>
          <w:p>
            <w:pPr>
              <w:jc w:val="right"/>
              <w:ind w:right="220"/>
              <w:spacing w:after="0"/>
              <w:rPr>
                <w:sz w:val="20"/>
                <w:szCs w:val="20"/>
                <w:color w:val="auto"/>
              </w:rPr>
            </w:pPr>
            <w:r>
              <w:rPr>
                <w:rFonts w:ascii="Arial" w:cs="Arial" w:eastAsia="Arial" w:hAnsi="Arial"/>
                <w:sz w:val="18"/>
                <w:szCs w:val="18"/>
                <w:color w:val="auto"/>
              </w:rPr>
              <w:t>0.2</w:t>
            </w:r>
          </w:p>
        </w:tc>
        <w:tc>
          <w:tcPr>
            <w:tcW w:w="2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57"/>
        </w:trPr>
        <w:tc>
          <w:tcPr>
            <w:tcW w:w="52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20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747,744</w:t>
            </w:r>
          </w:p>
        </w:tc>
        <w:tc>
          <w:tcPr>
            <w:tcW w:w="20" w:type="dxa"/>
            <w:vAlign w:val="bottom"/>
            <w:tcBorders>
              <w:top w:val="single" w:sz="8" w:color="auto"/>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2.2</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4,346</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60"/>
        </w:trPr>
        <w:tc>
          <w:tcPr>
            <w:tcW w:w="52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8"/>
                <w:szCs w:val="18"/>
                <w:color w:val="auto"/>
                <w:w w:val="89"/>
              </w:rPr>
              <w:t>December 31, 2020</w:t>
            </w: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526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gridSpan w:val="2"/>
          </w:tcPr>
          <w:p>
            <w:pPr>
              <w:jc w:val="center"/>
              <w:ind w:right="200"/>
              <w:spacing w:after="0" w:line="201" w:lineRule="exact"/>
              <w:rPr>
                <w:sz w:val="20"/>
                <w:szCs w:val="20"/>
                <w:color w:val="auto"/>
              </w:rPr>
            </w:pPr>
            <w:r>
              <w:rPr>
                <w:rFonts w:ascii="Arial" w:cs="Arial" w:eastAsia="Arial" w:hAnsi="Arial"/>
                <w:sz w:val="18"/>
                <w:szCs w:val="18"/>
                <w:color w:val="auto"/>
                <w:w w:val="89"/>
              </w:rPr>
              <w:t>Average</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Arial" w:cs="Arial" w:eastAsia="Arial" w:hAnsi="Arial"/>
                <w:sz w:val="18"/>
                <w:szCs w:val="18"/>
                <w:color w:val="auto"/>
              </w:rPr>
              <w:t>Notional</w:t>
            </w: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Maturity</w:t>
            </w:r>
          </w:p>
        </w:tc>
        <w:tc>
          <w:tcPr>
            <w:tcW w:w="220" w:type="dxa"/>
            <w:vAlign w:val="bottom"/>
          </w:tcPr>
          <w:p>
            <w:pPr>
              <w:spacing w:after="0"/>
              <w:rPr>
                <w:sz w:val="18"/>
                <w:szCs w:val="18"/>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Fair</w:t>
            </w:r>
          </w:p>
        </w:tc>
        <w:tc>
          <w:tcPr>
            <w:tcW w:w="0" w:type="dxa"/>
            <w:vAlign w:val="bottom"/>
          </w:tcPr>
          <w:p>
            <w:pPr>
              <w:spacing w:after="0"/>
              <w:rPr>
                <w:sz w:val="1"/>
                <w:szCs w:val="1"/>
                <w:color w:val="auto"/>
              </w:rPr>
            </w:pPr>
          </w:p>
        </w:tc>
      </w:tr>
      <w:tr>
        <w:trPr>
          <w:trHeight w:val="237"/>
        </w:trPr>
        <w:tc>
          <w:tcPr>
            <w:tcW w:w="52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Amount</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(years)</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6"/>
              </w:rPr>
              <w:t>Value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60" w:type="dxa"/>
            <w:vAlign w:val="bottom"/>
            <w:vMerge w:val="restart"/>
          </w:tcPr>
          <w:p>
            <w:pPr>
              <w:spacing w:after="0"/>
              <w:rPr>
                <w:sz w:val="20"/>
                <w:szCs w:val="20"/>
                <w:color w:val="auto"/>
              </w:rPr>
            </w:pPr>
            <w:r>
              <w:rPr>
                <w:rFonts w:ascii="Arial" w:cs="Arial" w:eastAsia="Arial" w:hAnsi="Arial"/>
                <w:sz w:val="18"/>
                <w:szCs w:val="18"/>
                <w:color w:val="auto"/>
              </w:rPr>
              <w:t>Fair value hedge designation</w:t>
            </w:r>
          </w:p>
        </w:tc>
        <w:tc>
          <w:tcPr>
            <w:tcW w:w="2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780" w:type="dxa"/>
            <w:vAlign w:val="bottom"/>
            <w:gridSpan w:val="5"/>
          </w:tcPr>
          <w:p>
            <w:pPr>
              <w:jc w:val="center"/>
              <w:ind w:right="130"/>
              <w:spacing w:after="0"/>
              <w:rPr>
                <w:sz w:val="20"/>
                <w:szCs w:val="20"/>
                <w:color w:val="auto"/>
              </w:rPr>
            </w:pPr>
            <w:r>
              <w:rPr>
                <w:rFonts w:ascii="Arial" w:cs="Arial" w:eastAsia="Arial" w:hAnsi="Arial"/>
                <w:sz w:val="18"/>
                <w:szCs w:val="18"/>
                <w:color w:val="auto"/>
                <w:w w:val="89"/>
              </w:rPr>
              <w:t>(Dollars in thousands)</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260" w:type="dxa"/>
            <w:vAlign w:val="bottom"/>
            <w:vMerge w:val="continue"/>
          </w:tcPr>
          <w:p>
            <w:pPr>
              <w:spacing w:after="0"/>
              <w:rPr>
                <w:sz w:val="17"/>
                <w:szCs w:val="17"/>
                <w:color w:val="auto"/>
              </w:rPr>
            </w:pPr>
          </w:p>
        </w:tc>
        <w:tc>
          <w:tcPr>
            <w:tcW w:w="2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Pay-fixed interest rate swap agreements - commercial</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7,088</w:t>
            </w:r>
          </w:p>
        </w:tc>
        <w:tc>
          <w:tcPr>
            <w:tcW w:w="2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8.4</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(776)</w:t>
            </w:r>
          </w:p>
        </w:tc>
        <w:tc>
          <w:tcPr>
            <w:tcW w:w="0" w:type="dxa"/>
            <w:vAlign w:val="bottom"/>
          </w:tcPr>
          <w:p>
            <w:pPr>
              <w:spacing w:after="0"/>
              <w:rPr>
                <w:sz w:val="1"/>
                <w:szCs w:val="1"/>
                <w:color w:val="auto"/>
              </w:rPr>
            </w:pPr>
          </w:p>
        </w:tc>
      </w:tr>
      <w:tr>
        <w:trPr>
          <w:trHeight w:val="223"/>
        </w:trPr>
        <w:tc>
          <w:tcPr>
            <w:tcW w:w="5260" w:type="dxa"/>
            <w:vAlign w:val="bottom"/>
          </w:tcPr>
          <w:p>
            <w:pPr>
              <w:spacing w:after="0"/>
              <w:rPr>
                <w:sz w:val="20"/>
                <w:szCs w:val="20"/>
                <w:color w:val="auto"/>
              </w:rPr>
            </w:pPr>
            <w:r>
              <w:rPr>
                <w:rFonts w:ascii="Arial" w:cs="Arial" w:eastAsia="Arial" w:hAnsi="Arial"/>
                <w:sz w:val="18"/>
                <w:szCs w:val="18"/>
                <w:color w:val="auto"/>
                <w:w w:val="94"/>
              </w:rPr>
              <w:t>Pay-fixed interest rate swap agreements - securities available for sale</w:t>
            </w:r>
          </w:p>
        </w:tc>
        <w:tc>
          <w:tcPr>
            <w:tcW w:w="2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41,950</w:t>
            </w:r>
          </w:p>
        </w:tc>
        <w:tc>
          <w:tcPr>
            <w:tcW w:w="1540" w:type="dxa"/>
            <w:vAlign w:val="bottom"/>
            <w:gridSpan w:val="3"/>
          </w:tcPr>
          <w:p>
            <w:pPr>
              <w:jc w:val="right"/>
              <w:ind w:right="220"/>
              <w:spacing w:after="0"/>
              <w:rPr>
                <w:sz w:val="20"/>
                <w:szCs w:val="20"/>
                <w:color w:val="auto"/>
              </w:rPr>
            </w:pPr>
            <w:r>
              <w:rPr>
                <w:rFonts w:ascii="Arial" w:cs="Arial" w:eastAsia="Arial" w:hAnsi="Arial"/>
                <w:sz w:val="18"/>
                <w:szCs w:val="18"/>
                <w:color w:val="auto"/>
              </w:rPr>
              <w:t>7.1</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57"/>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060" w:type="dxa"/>
            <w:vAlign w:val="bottom"/>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49,038</w:t>
            </w:r>
          </w:p>
        </w:tc>
        <w:tc>
          <w:tcPr>
            <w:tcW w:w="15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7.3</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(761)</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5260" w:type="dxa"/>
            <w:vAlign w:val="bottom"/>
            <w:tcBorders>
              <w:top w:val="single" w:sz="8" w:color="CCEEFF"/>
            </w:tcBorders>
          </w:tcPr>
          <w:p>
            <w:pPr>
              <w:spacing w:after="0"/>
              <w:rPr>
                <w:sz w:val="18"/>
                <w:szCs w:val="18"/>
                <w:color w:val="auto"/>
              </w:rPr>
            </w:pPr>
          </w:p>
        </w:tc>
        <w:tc>
          <w:tcPr>
            <w:tcW w:w="20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No hedge designation</w:t>
            </w:r>
          </w:p>
        </w:tc>
        <w:tc>
          <w:tcPr>
            <w:tcW w:w="2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ind w:left="140"/>
              <w:spacing w:after="0"/>
              <w:rPr>
                <w:sz w:val="20"/>
                <w:szCs w:val="20"/>
                <w:color w:val="auto"/>
              </w:rPr>
            </w:pPr>
            <w:r>
              <w:rPr>
                <w:rFonts w:ascii="Arial" w:cs="Arial" w:eastAsia="Arial" w:hAnsi="Arial"/>
                <w:sz w:val="18"/>
                <w:szCs w:val="18"/>
                <w:color w:val="auto"/>
              </w:rPr>
              <w:t>Rate-lock mortgage loan commitments</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168,816</w:t>
            </w:r>
          </w:p>
        </w:tc>
        <w:tc>
          <w:tcPr>
            <w:tcW w:w="20" w:type="dxa"/>
            <w:vAlign w:val="bottom"/>
          </w:tcPr>
          <w:p>
            <w:pPr>
              <w:spacing w:after="0"/>
              <w:rPr>
                <w:sz w:val="18"/>
                <w:szCs w:val="18"/>
                <w:color w:val="auto"/>
              </w:rPr>
            </w:pPr>
          </w:p>
        </w:tc>
        <w:tc>
          <w:tcPr>
            <w:tcW w:w="1540" w:type="dxa"/>
            <w:vAlign w:val="bottom"/>
            <w:gridSpan w:val="3"/>
          </w:tcPr>
          <w:p>
            <w:pPr>
              <w:jc w:val="right"/>
              <w:ind w:right="220"/>
              <w:spacing w:after="0"/>
              <w:rPr>
                <w:sz w:val="20"/>
                <w:szCs w:val="20"/>
                <w:color w:val="auto"/>
              </w:rPr>
            </w:pPr>
            <w:r>
              <w:rPr>
                <w:rFonts w:ascii="Arial" w:cs="Arial" w:eastAsia="Arial" w:hAnsi="Arial"/>
                <w:sz w:val="18"/>
                <w:szCs w:val="18"/>
                <w:color w:val="auto"/>
              </w:rPr>
              <w:t>0.1</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7,020</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Mandatory commitments to sell mortgage loans</w:t>
            </w:r>
          </w:p>
        </w:tc>
        <w:tc>
          <w:tcPr>
            <w:tcW w:w="2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186,092</w:t>
            </w:r>
          </w:p>
        </w:tc>
        <w:tc>
          <w:tcPr>
            <w:tcW w:w="2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0.1</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(941)</w:t>
            </w:r>
          </w:p>
        </w:tc>
        <w:tc>
          <w:tcPr>
            <w:tcW w:w="0" w:type="dxa"/>
            <w:vAlign w:val="bottom"/>
          </w:tcPr>
          <w:p>
            <w:pPr>
              <w:spacing w:after="0"/>
              <w:rPr>
                <w:sz w:val="1"/>
                <w:szCs w:val="1"/>
                <w:color w:val="auto"/>
              </w:rPr>
            </w:pPr>
          </w:p>
        </w:tc>
      </w:tr>
      <w:tr>
        <w:trPr>
          <w:trHeight w:val="216"/>
        </w:trPr>
        <w:tc>
          <w:tcPr>
            <w:tcW w:w="5260" w:type="dxa"/>
            <w:vAlign w:val="bottom"/>
          </w:tcPr>
          <w:p>
            <w:pPr>
              <w:ind w:left="140"/>
              <w:spacing w:after="0"/>
              <w:rPr>
                <w:sz w:val="20"/>
                <w:szCs w:val="20"/>
                <w:color w:val="auto"/>
              </w:rPr>
            </w:pPr>
            <w:r>
              <w:rPr>
                <w:rFonts w:ascii="Arial" w:cs="Arial" w:eastAsia="Arial" w:hAnsi="Arial"/>
                <w:sz w:val="18"/>
                <w:szCs w:val="18"/>
                <w:color w:val="auto"/>
              </w:rPr>
              <w:t>Pay-fixed interest rate swap agreements - commercial</w:t>
            </w:r>
          </w:p>
        </w:tc>
        <w:tc>
          <w:tcPr>
            <w:tcW w:w="2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147,456</w:t>
            </w:r>
          </w:p>
        </w:tc>
        <w:tc>
          <w:tcPr>
            <w:tcW w:w="20" w:type="dxa"/>
            <w:vAlign w:val="bottom"/>
          </w:tcPr>
          <w:p>
            <w:pPr>
              <w:spacing w:after="0"/>
              <w:rPr>
                <w:sz w:val="18"/>
                <w:szCs w:val="18"/>
                <w:color w:val="auto"/>
              </w:rPr>
            </w:pPr>
          </w:p>
        </w:tc>
        <w:tc>
          <w:tcPr>
            <w:tcW w:w="1540" w:type="dxa"/>
            <w:vAlign w:val="bottom"/>
            <w:gridSpan w:val="3"/>
          </w:tcPr>
          <w:p>
            <w:pPr>
              <w:jc w:val="right"/>
              <w:ind w:right="220"/>
              <w:spacing w:after="0"/>
              <w:rPr>
                <w:sz w:val="20"/>
                <w:szCs w:val="20"/>
                <w:color w:val="auto"/>
              </w:rPr>
            </w:pPr>
            <w:r>
              <w:rPr>
                <w:rFonts w:ascii="Arial" w:cs="Arial" w:eastAsia="Arial" w:hAnsi="Arial"/>
                <w:sz w:val="18"/>
                <w:szCs w:val="18"/>
                <w:color w:val="auto"/>
              </w:rPr>
              <w:t>4.5</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(9,700)</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Pay-variable interest rate swap agreements - commercial</w:t>
            </w:r>
          </w:p>
        </w:tc>
        <w:tc>
          <w:tcPr>
            <w:tcW w:w="2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147,456</w:t>
            </w:r>
          </w:p>
        </w:tc>
        <w:tc>
          <w:tcPr>
            <w:tcW w:w="2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4.5</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9,700</w:t>
            </w:r>
          </w:p>
        </w:tc>
        <w:tc>
          <w:tcPr>
            <w:tcW w:w="0" w:type="dxa"/>
            <w:vAlign w:val="bottom"/>
          </w:tcPr>
          <w:p>
            <w:pPr>
              <w:spacing w:after="0"/>
              <w:rPr>
                <w:sz w:val="1"/>
                <w:szCs w:val="1"/>
                <w:color w:val="auto"/>
              </w:rPr>
            </w:pPr>
          </w:p>
        </w:tc>
      </w:tr>
      <w:tr>
        <w:trPr>
          <w:trHeight w:val="216"/>
        </w:trPr>
        <w:tc>
          <w:tcPr>
            <w:tcW w:w="5260" w:type="dxa"/>
            <w:vAlign w:val="bottom"/>
          </w:tcPr>
          <w:p>
            <w:pPr>
              <w:ind w:left="140"/>
              <w:spacing w:after="0"/>
              <w:rPr>
                <w:sz w:val="20"/>
                <w:szCs w:val="20"/>
                <w:color w:val="auto"/>
              </w:rPr>
            </w:pPr>
            <w:r>
              <w:rPr>
                <w:rFonts w:ascii="Arial" w:cs="Arial" w:eastAsia="Arial" w:hAnsi="Arial"/>
                <w:sz w:val="18"/>
                <w:szCs w:val="18"/>
                <w:color w:val="auto"/>
              </w:rPr>
              <w:t>Pay-fixed interest rate swap agreements</w:t>
            </w:r>
          </w:p>
        </w:tc>
        <w:tc>
          <w:tcPr>
            <w:tcW w:w="2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25,000</w:t>
            </w:r>
          </w:p>
        </w:tc>
        <w:tc>
          <w:tcPr>
            <w:tcW w:w="1540" w:type="dxa"/>
            <w:vAlign w:val="bottom"/>
            <w:gridSpan w:val="3"/>
          </w:tcPr>
          <w:p>
            <w:pPr>
              <w:jc w:val="right"/>
              <w:ind w:right="220"/>
              <w:spacing w:after="0"/>
              <w:rPr>
                <w:sz w:val="20"/>
                <w:szCs w:val="20"/>
                <w:color w:val="auto"/>
              </w:rPr>
            </w:pPr>
            <w:r>
              <w:rPr>
                <w:rFonts w:ascii="Arial" w:cs="Arial" w:eastAsia="Arial" w:hAnsi="Arial"/>
                <w:sz w:val="18"/>
                <w:szCs w:val="18"/>
                <w:color w:val="auto"/>
              </w:rPr>
              <w:t>0.6</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rate cap agreements</w:t>
            </w:r>
          </w:p>
        </w:tc>
        <w:tc>
          <w:tcPr>
            <w:tcW w:w="2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135,000</w:t>
            </w:r>
          </w:p>
        </w:tc>
        <w:tc>
          <w:tcPr>
            <w:tcW w:w="2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1.8</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5260" w:type="dxa"/>
            <w:vAlign w:val="bottom"/>
          </w:tcPr>
          <w:p>
            <w:pPr>
              <w:ind w:left="140"/>
              <w:spacing w:after="0"/>
              <w:rPr>
                <w:sz w:val="20"/>
                <w:szCs w:val="20"/>
                <w:color w:val="auto"/>
              </w:rPr>
            </w:pPr>
            <w:r>
              <w:rPr>
                <w:rFonts w:ascii="Arial" w:cs="Arial" w:eastAsia="Arial" w:hAnsi="Arial"/>
                <w:sz w:val="18"/>
                <w:szCs w:val="18"/>
                <w:color w:val="auto"/>
              </w:rPr>
              <w:t>Purchased options</w:t>
            </w:r>
          </w:p>
        </w:tc>
        <w:tc>
          <w:tcPr>
            <w:tcW w:w="2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2,908</w:t>
            </w:r>
          </w:p>
        </w:tc>
        <w:tc>
          <w:tcPr>
            <w:tcW w:w="20" w:type="dxa"/>
            <w:vAlign w:val="bottom"/>
          </w:tcPr>
          <w:p>
            <w:pPr>
              <w:spacing w:after="0"/>
              <w:rPr>
                <w:sz w:val="18"/>
                <w:szCs w:val="18"/>
                <w:color w:val="auto"/>
              </w:rPr>
            </w:pPr>
          </w:p>
        </w:tc>
        <w:tc>
          <w:tcPr>
            <w:tcW w:w="1540" w:type="dxa"/>
            <w:vAlign w:val="bottom"/>
            <w:gridSpan w:val="3"/>
          </w:tcPr>
          <w:p>
            <w:pPr>
              <w:jc w:val="right"/>
              <w:ind w:right="220"/>
              <w:spacing w:after="0"/>
              <w:rPr>
                <w:sz w:val="20"/>
                <w:szCs w:val="20"/>
                <w:color w:val="auto"/>
              </w:rPr>
            </w:pPr>
            <w:r>
              <w:rPr>
                <w:rFonts w:ascii="Arial" w:cs="Arial" w:eastAsia="Arial" w:hAnsi="Arial"/>
                <w:sz w:val="18"/>
                <w:szCs w:val="18"/>
                <w:color w:val="auto"/>
              </w:rPr>
              <w:t>0.5</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3"/>
        </w:trPr>
        <w:tc>
          <w:tcPr>
            <w:tcW w:w="5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Written options</w:t>
            </w:r>
          </w:p>
        </w:tc>
        <w:tc>
          <w:tcPr>
            <w:tcW w:w="20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2,848</w:t>
            </w:r>
          </w:p>
        </w:tc>
        <w:tc>
          <w:tcPr>
            <w:tcW w:w="20" w:type="dxa"/>
            <w:vAlign w:val="bottom"/>
            <w:shd w:val="clear" w:color="auto" w:fill="CCEEFF"/>
          </w:tcPr>
          <w:p>
            <w:pPr>
              <w:spacing w:after="0"/>
              <w:rPr>
                <w:sz w:val="19"/>
                <w:szCs w:val="19"/>
                <w:color w:val="auto"/>
              </w:rPr>
            </w:pPr>
          </w:p>
        </w:tc>
        <w:tc>
          <w:tcPr>
            <w:tcW w:w="15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0.5</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5260" w:type="dxa"/>
            <w:vAlign w:val="bottom"/>
            <w:tcBorders>
              <w:top w:val="single" w:sz="8" w:color="CCEEFF"/>
            </w:tcBorders>
          </w:tcPr>
          <w:p>
            <w:pPr>
              <w:ind w:left="340"/>
              <w:spacing w:after="0"/>
              <w:rPr>
                <w:sz w:val="20"/>
                <w:szCs w:val="20"/>
                <w:color w:val="auto"/>
              </w:rPr>
            </w:pPr>
            <w:r>
              <w:rPr>
                <w:rFonts w:ascii="Arial" w:cs="Arial" w:eastAsia="Arial" w:hAnsi="Arial"/>
                <w:sz w:val="18"/>
                <w:szCs w:val="18"/>
                <w:color w:val="auto"/>
              </w:rPr>
              <w:t>Total</w:t>
            </w:r>
          </w:p>
        </w:tc>
        <w:tc>
          <w:tcPr>
            <w:tcW w:w="206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815,576</w:t>
            </w:r>
          </w:p>
        </w:tc>
        <w:tc>
          <w:tcPr>
            <w:tcW w:w="2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gridSpan w:val="3"/>
          </w:tcPr>
          <w:p>
            <w:pPr>
              <w:jc w:val="right"/>
              <w:ind w:right="220"/>
              <w:spacing w:after="0"/>
              <w:rPr>
                <w:sz w:val="20"/>
                <w:szCs w:val="20"/>
                <w:color w:val="auto"/>
              </w:rPr>
            </w:pPr>
            <w:r>
              <w:rPr>
                <w:rFonts w:ascii="Arial" w:cs="Arial" w:eastAsia="Arial" w:hAnsi="Arial"/>
                <w:sz w:val="18"/>
                <w:szCs w:val="18"/>
                <w:color w:val="auto"/>
              </w:rPr>
              <w:t>2.0</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5,789</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2060" w:type="dxa"/>
            <w:vAlign w:val="bottom"/>
            <w:vMerge w:val="restart"/>
          </w:tcPr>
          <w:p>
            <w:pPr>
              <w:jc w:val="right"/>
              <w:ind w:right="1510"/>
              <w:spacing w:after="0"/>
              <w:rPr>
                <w:sz w:val="20"/>
                <w:szCs w:val="20"/>
                <w:color w:val="auto"/>
              </w:rPr>
            </w:pPr>
            <w:r>
              <w:rPr>
                <w:rFonts w:ascii="Arial" w:cs="Arial" w:eastAsia="Arial" w:hAnsi="Arial"/>
                <w:sz w:val="18"/>
                <w:szCs w:val="18"/>
                <w:color w:val="auto"/>
              </w:rPr>
              <w:t>37</w:t>
            </w: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41"/>
        </w:trPr>
        <w:tc>
          <w:tcPr>
            <w:tcW w:w="5260" w:type="dxa"/>
            <w:vAlign w:val="bottom"/>
          </w:tcPr>
          <w:p>
            <w:pPr>
              <w:spacing w:after="0"/>
              <w:rPr>
                <w:sz w:val="24"/>
                <w:szCs w:val="24"/>
                <w:color w:val="auto"/>
              </w:rPr>
            </w:pPr>
          </w:p>
        </w:tc>
        <w:tc>
          <w:tcPr>
            <w:tcW w:w="20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5260" w:type="dxa"/>
            <w:vAlign w:val="bottom"/>
            <w:tcBorders>
              <w:bottom w:val="single" w:sz="8" w:color="auto"/>
            </w:tcBorders>
          </w:tcPr>
          <w:p>
            <w:pPr>
              <w:spacing w:after="0"/>
              <w:rPr>
                <w:sz w:val="5"/>
                <w:szCs w:val="5"/>
                <w:color w:val="auto"/>
              </w:rPr>
            </w:pPr>
          </w:p>
        </w:tc>
        <w:tc>
          <w:tcPr>
            <w:tcW w:w="206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38" w:name="page39"/>
    <w:bookmarkEnd w:id="3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We have used variable-rate and short-term fixed-rate (less than 12 months) debt obligations to fund a portion of our Condensed Consolidated Statements of Financial Condition, which exposed us to variability in interest rates. To meet our asset/liability management objectives, we may periodically enter into derivative financial instruments to mitigate exposure to fluctuations in cash flows resulting from changes in interest rates (“Cash Flow Hedges”). </w:t>
      </w:r>
      <w:r>
        <w:rPr>
          <w:rFonts w:ascii="Arial" w:cs="Arial" w:eastAsia="Arial" w:hAnsi="Arial"/>
          <w:sz w:val="16"/>
          <w:szCs w:val="16"/>
          <w:color w:val="231F20"/>
        </w:rPr>
        <w:t>Cash</w:t>
      </w:r>
      <w:r>
        <w:rPr>
          <w:rFonts w:ascii="Arial" w:cs="Arial" w:eastAsia="Arial" w:hAnsi="Arial"/>
          <w:sz w:val="16"/>
          <w:szCs w:val="16"/>
          <w:color w:val="auto"/>
        </w:rPr>
        <w:t xml:space="preserve"> </w:t>
      </w:r>
      <w:r>
        <w:rPr>
          <w:rFonts w:ascii="Arial" w:cs="Arial" w:eastAsia="Arial" w:hAnsi="Arial"/>
          <w:sz w:val="16"/>
          <w:szCs w:val="16"/>
          <w:color w:val="231F20"/>
        </w:rPr>
        <w:t xml:space="preserve">Flow Hedges had included certain pay-fixed interest rate swap and interest rate cap agreements. Pay-fixed interest rate swap agreements convert the variable-rate cash flows on debt obligations to fixed-rates. </w:t>
      </w:r>
      <w:r>
        <w:rPr>
          <w:rFonts w:ascii="Arial" w:cs="Arial" w:eastAsia="Arial" w:hAnsi="Arial"/>
          <w:sz w:val="16"/>
          <w:szCs w:val="16"/>
          <w:color w:val="000000"/>
        </w:rPr>
        <w:t>Under interest-rate cap agreements, we will receive cash if interest rates rise above a</w:t>
      </w:r>
      <w:r>
        <w:rPr>
          <w:rFonts w:ascii="Arial" w:cs="Arial" w:eastAsia="Arial" w:hAnsi="Arial"/>
          <w:sz w:val="16"/>
          <w:szCs w:val="16"/>
          <w:color w:val="231F20"/>
        </w:rPr>
        <w:t xml:space="preserve"> </w:t>
      </w:r>
      <w:r>
        <w:rPr>
          <w:rFonts w:ascii="Arial" w:cs="Arial" w:eastAsia="Arial" w:hAnsi="Arial"/>
          <w:sz w:val="16"/>
          <w:szCs w:val="16"/>
          <w:color w:val="000000"/>
        </w:rPr>
        <w:t>predetermined level. As a result, we effectively have variable-rate debt with an established maximum rate. We paid an upfront premium on interest rate caps which was recognized in earnings in the same period in which the hedged item affected earnings. During the first and third quarters of 2020 we transferred all of our Cash Flow Hedge interest rate cap and pay-fixed interest rate swap agreements, respectively to a no hedge designation. The $2.0 million and $0.5 million unrealized loss on our Cash Flow Hedge interest rate cap and pay-fixed interest rate swap agreements, respectively, which were included as a component of accumulated other comprehensive income at the time of the transfers, were being reclassified into earnings over the remaining life of the interest rate cap agreements and pay-fixed interest rate swap agreements. In the fourth quarter of 2020 it became probable that the forecasted transactions being hedged by these interest rate cap and pay-fixed interest rate swap agreements would not occur by the end of the originally specified time period. As a result, all remaining unrealized losses included as a component of accumulated other comprehensive income were reclassified into earnings at that time. The interest rate cap and pay-fixed interest rate swap agreements are now classified as a no hedge designation at June 30, 2021 and any changes in fair value since the transfers to the no hedge designation are recorded in earnings.</w:t>
      </w:r>
    </w:p>
    <w:p>
      <w:pPr>
        <w:spacing w:after="0" w:line="19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entered into a pay-fixed interest rate swap to protect a portion of the fair value of a certain fixed rate commercial loan (‘‘Fair Value Hedge – Commercial Loan’’). As a result, changes in the fair value of the pay-fixed interest rate swap is expected to offset changes in the fair value of the fixed rate commercial loan due to fluctuations in interest rates. We record the fair value of Fair Value Hedge – Commercial Loan in accrued income and other assets and accrued expenses and other liabilities on our Condensed Consolidated Statements of Financial Condition. The hedged item (fixed rate commercial loan) is also recorded at fair value which offsets the adjustment to the Fair Value Hedge – Commercial Loan. On an ongoing basis, we adjust our Condensed Consolidated Statements of Financial Condition to reflect the then current fair value of both the Fair Value Hedge – Commercial Loan and the hedged item. The related gains or losses are reported in interest income – interest and fees on loans in our Condensed Consolidated Statements of Operations.</w:t>
      </w:r>
    </w:p>
    <w:p>
      <w:pPr>
        <w:spacing w:after="0" w:line="21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have entered into pay-fixed interest rate swaps to protect a portion of the fair value of certain securities available for sale (‘‘Fair Value Hedge – AFS Securities’’). As a result, the change in the fair value of the pay-fixed interest rate swaps is expected to offset a portion of the change in the fair value of the fixed rate securities available for sale due to fluctuations in interest rates. We record the fair value of Fair Value Hedge – AFS Securities in accrued income and other assets and accrued expenses and other liabilities on our Condensed Consolidated Statements of Financial Condition. The hedged items (fixed rate securities available for sale) are also recorded at fair value which offsets the adjustment to the Fair Value Hedge – AFS Securities. On an ongoing basis, we adjust our Condensed Consolidated Statements of Financial Condition to reflect the then current fair value of both the Fair Value Hedge – AFS Securities and the hedged item. The related gains or losses are reported in interest income – interest on securities available for sale – tax-exempt in our Condensed Consolidated Statements of Operations.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9" w:name="page40"/>
    <w:bookmarkEnd w:id="3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1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Certain financial derivative instruments have not been designated as hedges. The fair value of these derivative financial instruments has been recorded on our Condensed Consolidated Statements of Financial Condition and is adjusted on an ongoing basis to reflect their then current fair value. The changes in fair value of derivative financial instruments not designated as hedges are recognized in our Condensed Consolidated Statements of Operations.</w:t>
      </w:r>
    </w:p>
    <w:p>
      <w:pPr>
        <w:spacing w:after="0" w:line="17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the ordinary course of business, we enter into rate-lock mortgage loan commitments with customers (“Rate-Lock Commitments”). These commitments expose us to interest rate risk. We also enter into mandatory commitments to sell mortgage loans (“Mandatory Commitments”) to reduce the impact of price fluctuations of mortgage loans held for sale and Rate-Lock Commitments. Mandatory Commitments help protect our loan sale profit margin from fluctuations in interest rates. The changes in the fair value of Rate-Lock Commitments and Mandatory Commitments are recognized currently as part of net gains on mortgage loans in our Condensed Consolidated Statements of Operations. We obtain market prices on Mandatory Commitments and Rate-Lock Commitments. Net gains on mortgage loans, as well as net income may be more volatile as a result of these derivative instruments, which are not designated as hedges.</w:t>
      </w:r>
    </w:p>
    <w:p>
      <w:pPr>
        <w:spacing w:after="0" w:line="222"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We have purchased a swaption agreement, whereby the bank has the right but not the obligation to pay fixed on an interest rate swap at a future date, in an attempt to reduce the impact of price fluctuations of certain mortgage construction loans held for sale. The changes in the fair value of the swaption agreement is recognized currently as part of net gains on mortgage loans in our Condensed Consolidated Statements of Operations.</w:t>
      </w:r>
    </w:p>
    <w:p>
      <w:pPr>
        <w:spacing w:after="0" w:line="192"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In prior periods we offered to our deposit customers an equity linked time deposit product (“Altitude CD”). The Altitude CD was a time deposit that provides the customer a guaranteed return of principal at maturity plus a potential equity return (a written option), while we receive a like stream of funds based on the equity return (a purchased option). The written and purchased options will generally move in opposite directions resulting in little or no net impact on our Condensed Consolidated Statements of Operations. All of the written and purchased options in the table above relate to this Altitude CD product.</w:t>
      </w: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 program that allows commercial loan customers to lock in a fixed rate for a longer period of time than we would normally offer for interest rate risk reasons. We will enter into a variable rate commercial loan and an interest rate swap agreement with a customer and then enter into an offsetting interest rate swap agreement with an unrelated party. The interest rate swap agreement fair values will generally move in opposite directions resulting in little or no net impact on our Condensed Consolidated Statements of Operations. All of the interest rate swap agreements noted as commercial in the table above with no hedge designation relate to this program.</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0" w:name="page41"/>
    <w:bookmarkEnd w:id="4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tables illustrate the impact that the derivative financial instruments discussed above have on individual line items in the Condensed Consolidated Statements of Financial Condition for the periods presented: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00" w:type="dxa"/>
            <w:vAlign w:val="bottom"/>
            <w:gridSpan w:val="3"/>
          </w:tcPr>
          <w:p>
            <w:pPr>
              <w:spacing w:after="0"/>
              <w:rPr>
                <w:sz w:val="20"/>
                <w:szCs w:val="20"/>
                <w:color w:val="auto"/>
              </w:rPr>
            </w:pPr>
            <w:r>
              <w:rPr>
                <w:rFonts w:ascii="Arial" w:cs="Arial" w:eastAsia="Arial" w:hAnsi="Arial"/>
                <w:sz w:val="18"/>
                <w:szCs w:val="18"/>
                <w:color w:val="auto"/>
              </w:rPr>
              <w:t>Fair Values of Derivative Instruments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4"/>
          </w:tcPr>
          <w:p>
            <w:pPr>
              <w:ind w:left="160"/>
              <w:spacing w:after="0"/>
              <w:rPr>
                <w:sz w:val="20"/>
                <w:szCs w:val="20"/>
                <w:color w:val="auto"/>
              </w:rPr>
            </w:pPr>
            <w:r>
              <w:rPr>
                <w:rFonts w:ascii="Arial" w:cs="Arial" w:eastAsia="Arial" w:hAnsi="Arial"/>
                <w:sz w:val="18"/>
                <w:szCs w:val="18"/>
                <w:color w:val="auto"/>
              </w:rPr>
              <w:t>Asset Derivatives</w:t>
            </w: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4"/>
          </w:tcPr>
          <w:p>
            <w:pPr>
              <w:ind w:left="60"/>
              <w:spacing w:after="0"/>
              <w:rPr>
                <w:sz w:val="20"/>
                <w:szCs w:val="20"/>
                <w:color w:val="auto"/>
              </w:rPr>
            </w:pPr>
            <w:r>
              <w:rPr>
                <w:rFonts w:ascii="Arial" w:cs="Arial" w:eastAsia="Arial" w:hAnsi="Arial"/>
                <w:sz w:val="18"/>
                <w:szCs w:val="18"/>
                <w:color w:val="auto"/>
              </w:rPr>
              <w:t>Liability Derivatives</w:t>
            </w: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4"/>
          </w:tcPr>
          <w:p>
            <w:pPr>
              <w:jc w:val="right"/>
              <w:spacing w:after="0" w:line="201" w:lineRule="exact"/>
              <w:rPr>
                <w:sz w:val="20"/>
                <w:szCs w:val="20"/>
                <w:color w:val="auto"/>
              </w:rPr>
            </w:pPr>
            <w:r>
              <w:rPr>
                <w:rFonts w:ascii="Arial" w:cs="Arial" w:eastAsia="Arial" w:hAnsi="Arial"/>
                <w:sz w:val="18"/>
                <w:szCs w:val="18"/>
                <w:color w:val="auto"/>
              </w:rPr>
              <w:t>June 30,</w:t>
            </w: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0" w:type="dxa"/>
            <w:vAlign w:val="bottom"/>
            <w:gridSpan w:val="5"/>
          </w:tcPr>
          <w:p>
            <w:pPr>
              <w:jc w:val="right"/>
              <w:ind w:right="410"/>
              <w:spacing w:after="0" w:line="201" w:lineRule="exact"/>
              <w:rPr>
                <w:sz w:val="20"/>
                <w:szCs w:val="20"/>
                <w:color w:val="auto"/>
              </w:rPr>
            </w:pPr>
            <w:r>
              <w:rPr>
                <w:rFonts w:ascii="Arial" w:cs="Arial" w:eastAsia="Arial" w:hAnsi="Arial"/>
                <w:sz w:val="18"/>
                <w:szCs w:val="18"/>
                <w:color w:val="auto"/>
              </w:rPr>
              <w:t>December 31,</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4"/>
          </w:tcPr>
          <w:p>
            <w:pPr>
              <w:ind w:left="740"/>
              <w:spacing w:after="0" w:line="201" w:lineRule="exact"/>
              <w:rPr>
                <w:sz w:val="20"/>
                <w:szCs w:val="20"/>
                <w:color w:val="auto"/>
              </w:rPr>
            </w:pPr>
            <w:r>
              <w:rPr>
                <w:rFonts w:ascii="Arial" w:cs="Arial" w:eastAsia="Arial" w:hAnsi="Arial"/>
                <w:sz w:val="18"/>
                <w:szCs w:val="18"/>
                <w:color w:val="auto"/>
                <w:w w:val="89"/>
              </w:rPr>
              <w:t>June 30,</w:t>
            </w: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00" w:type="dxa"/>
            <w:vAlign w:val="bottom"/>
            <w:gridSpan w:val="5"/>
          </w:tcPr>
          <w:p>
            <w:pPr>
              <w:jc w:val="right"/>
              <w:ind w:right="450"/>
              <w:spacing w:after="0" w:line="201" w:lineRule="exact"/>
              <w:rPr>
                <w:sz w:val="20"/>
                <w:szCs w:val="20"/>
                <w:color w:val="auto"/>
              </w:rPr>
            </w:pPr>
            <w:r>
              <w:rPr>
                <w:rFonts w:ascii="Arial" w:cs="Arial" w:eastAsia="Arial" w:hAnsi="Arial"/>
                <w:sz w:val="18"/>
                <w:szCs w:val="18"/>
                <w:color w:val="auto"/>
              </w:rPr>
              <w:t>December 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color w:val="auto"/>
                <w:w w:val="89"/>
              </w:rPr>
              <w:t>2021</w:t>
            </w:r>
          </w:p>
        </w:tc>
        <w:tc>
          <w:tcPr>
            <w:tcW w:w="68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w w:val="94"/>
              </w:rPr>
              <w:t>2020</w:t>
            </w:r>
          </w:p>
        </w:tc>
        <w:tc>
          <w:tcPr>
            <w:tcW w:w="74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8"/>
                <w:szCs w:val="18"/>
                <w:color w:val="auto"/>
                <w:w w:val="89"/>
              </w:rPr>
              <w:t>2021</w:t>
            </w:r>
          </w:p>
        </w:tc>
        <w:tc>
          <w:tcPr>
            <w:tcW w:w="70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8"/>
                <w:szCs w:val="18"/>
                <w:color w:val="auto"/>
                <w:w w:val="89"/>
              </w:rPr>
              <w:t>2020</w:t>
            </w:r>
          </w:p>
        </w:tc>
        <w:tc>
          <w:tcPr>
            <w:tcW w:w="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center"/>
              <w:ind w:left="10"/>
              <w:spacing w:after="0" w:line="201" w:lineRule="exact"/>
              <w:rPr>
                <w:sz w:val="20"/>
                <w:szCs w:val="20"/>
                <w:color w:val="auto"/>
              </w:rPr>
            </w:pPr>
            <w:r>
              <w:rPr>
                <w:rFonts w:ascii="Arial" w:cs="Arial" w:eastAsia="Arial" w:hAnsi="Arial"/>
                <w:sz w:val="18"/>
                <w:szCs w:val="18"/>
                <w:color w:val="auto"/>
                <w:w w:val="89"/>
              </w:rPr>
              <w:t>Balance</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center"/>
              <w:ind w:left="30"/>
              <w:spacing w:after="0" w:line="201" w:lineRule="exact"/>
              <w:rPr>
                <w:sz w:val="20"/>
                <w:szCs w:val="20"/>
                <w:color w:val="auto"/>
              </w:rPr>
            </w:pPr>
            <w:r>
              <w:rPr>
                <w:rFonts w:ascii="Arial" w:cs="Arial" w:eastAsia="Arial" w:hAnsi="Arial"/>
                <w:sz w:val="18"/>
                <w:szCs w:val="18"/>
                <w:color w:val="auto"/>
                <w:w w:val="89"/>
              </w:rPr>
              <w:t>Balance</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center"/>
              <w:ind w:left="50"/>
              <w:spacing w:after="0" w:line="201" w:lineRule="exact"/>
              <w:rPr>
                <w:sz w:val="20"/>
                <w:szCs w:val="20"/>
                <w:color w:val="auto"/>
              </w:rPr>
            </w:pPr>
            <w:r>
              <w:rPr>
                <w:rFonts w:ascii="Arial" w:cs="Arial" w:eastAsia="Arial" w:hAnsi="Arial"/>
                <w:sz w:val="18"/>
                <w:szCs w:val="18"/>
                <w:color w:val="auto"/>
                <w:w w:val="89"/>
              </w:rPr>
              <w:t>Balance</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center"/>
              <w:ind w:left="50"/>
              <w:spacing w:after="0" w:line="201" w:lineRule="exact"/>
              <w:rPr>
                <w:sz w:val="20"/>
                <w:szCs w:val="20"/>
                <w:color w:val="auto"/>
              </w:rPr>
            </w:pPr>
            <w:r>
              <w:rPr>
                <w:rFonts w:ascii="Arial" w:cs="Arial" w:eastAsia="Arial" w:hAnsi="Arial"/>
                <w:sz w:val="18"/>
                <w:szCs w:val="18"/>
                <w:color w:val="auto"/>
                <w:w w:val="89"/>
              </w:rPr>
              <w:t>Balance</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4"/>
              </w:rPr>
              <w:t>Sheet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8"/>
                <w:szCs w:val="18"/>
                <w:color w:val="auto"/>
              </w:rPr>
              <w:t>Fair</w:t>
            </w:r>
          </w:p>
        </w:tc>
        <w:tc>
          <w:tcPr>
            <w:tcW w:w="180" w:type="dxa"/>
            <w:vAlign w:val="bottom"/>
          </w:tcPr>
          <w:p>
            <w:pPr>
              <w:spacing w:after="0"/>
              <w:rPr>
                <w:sz w:val="18"/>
                <w:szCs w:val="18"/>
                <w:color w:val="auto"/>
              </w:rPr>
            </w:pPr>
          </w:p>
        </w:tc>
        <w:tc>
          <w:tcPr>
            <w:tcW w:w="780" w:type="dxa"/>
            <w:vAlign w:val="bottom"/>
          </w:tcPr>
          <w:p>
            <w:pPr>
              <w:jc w:val="center"/>
              <w:ind w:left="10"/>
              <w:spacing w:after="0"/>
              <w:rPr>
                <w:sz w:val="20"/>
                <w:szCs w:val="20"/>
                <w:color w:val="auto"/>
              </w:rPr>
            </w:pPr>
            <w:r>
              <w:rPr>
                <w:rFonts w:ascii="Arial" w:cs="Arial" w:eastAsia="Arial" w:hAnsi="Arial"/>
                <w:sz w:val="18"/>
                <w:szCs w:val="18"/>
                <w:color w:val="auto"/>
                <w:w w:val="84"/>
              </w:rPr>
              <w:t>Sheet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ind w:left="140"/>
              <w:spacing w:after="0"/>
              <w:rPr>
                <w:sz w:val="20"/>
                <w:szCs w:val="20"/>
                <w:color w:val="auto"/>
              </w:rPr>
            </w:pPr>
            <w:r>
              <w:rPr>
                <w:rFonts w:ascii="Arial" w:cs="Arial" w:eastAsia="Arial" w:hAnsi="Arial"/>
                <w:sz w:val="18"/>
                <w:szCs w:val="18"/>
                <w:color w:val="auto"/>
              </w:rPr>
              <w:t>Fair</w:t>
            </w:r>
          </w:p>
        </w:tc>
        <w:tc>
          <w:tcPr>
            <w:tcW w:w="180" w:type="dxa"/>
            <w:vAlign w:val="bottom"/>
          </w:tcPr>
          <w:p>
            <w:pPr>
              <w:spacing w:after="0"/>
              <w:rPr>
                <w:sz w:val="18"/>
                <w:szCs w:val="18"/>
                <w:color w:val="auto"/>
              </w:rPr>
            </w:pPr>
          </w:p>
        </w:tc>
        <w:tc>
          <w:tcPr>
            <w:tcW w:w="840" w:type="dxa"/>
            <w:vAlign w:val="bottom"/>
          </w:tcPr>
          <w:p>
            <w:pPr>
              <w:jc w:val="center"/>
              <w:ind w:left="30"/>
              <w:spacing w:after="0"/>
              <w:rPr>
                <w:sz w:val="20"/>
                <w:szCs w:val="20"/>
                <w:color w:val="auto"/>
              </w:rPr>
            </w:pPr>
            <w:r>
              <w:rPr>
                <w:rFonts w:ascii="Arial" w:cs="Arial" w:eastAsia="Arial" w:hAnsi="Arial"/>
                <w:sz w:val="18"/>
                <w:szCs w:val="18"/>
                <w:color w:val="auto"/>
                <w:w w:val="84"/>
              </w:rPr>
              <w:t>Sheet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Fair</w:t>
            </w:r>
          </w:p>
        </w:tc>
        <w:tc>
          <w:tcPr>
            <w:tcW w:w="180" w:type="dxa"/>
            <w:vAlign w:val="bottom"/>
          </w:tcPr>
          <w:p>
            <w:pPr>
              <w:spacing w:after="0"/>
              <w:rPr>
                <w:sz w:val="18"/>
                <w:szCs w:val="18"/>
                <w:color w:val="auto"/>
              </w:rPr>
            </w:pPr>
          </w:p>
        </w:tc>
        <w:tc>
          <w:tcPr>
            <w:tcW w:w="840" w:type="dxa"/>
            <w:vAlign w:val="bottom"/>
          </w:tcPr>
          <w:p>
            <w:pPr>
              <w:jc w:val="center"/>
              <w:ind w:left="70"/>
              <w:spacing w:after="0"/>
              <w:rPr>
                <w:sz w:val="20"/>
                <w:szCs w:val="20"/>
                <w:color w:val="auto"/>
              </w:rPr>
            </w:pPr>
            <w:r>
              <w:rPr>
                <w:rFonts w:ascii="Arial" w:cs="Arial" w:eastAsia="Arial" w:hAnsi="Arial"/>
                <w:sz w:val="18"/>
                <w:szCs w:val="18"/>
                <w:color w:val="auto"/>
                <w:w w:val="84"/>
              </w:rPr>
              <w:t>Sheet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ind w:left="140"/>
              <w:spacing w:after="0"/>
              <w:rPr>
                <w:sz w:val="20"/>
                <w:szCs w:val="20"/>
                <w:color w:val="auto"/>
              </w:rPr>
            </w:pPr>
            <w:r>
              <w:rPr>
                <w:rFonts w:ascii="Arial" w:cs="Arial" w:eastAsia="Arial" w:hAnsi="Arial"/>
                <w:sz w:val="18"/>
                <w:szCs w:val="18"/>
                <w:color w:val="auto"/>
              </w:rPr>
              <w:t>Fair</w:t>
            </w:r>
          </w:p>
        </w:tc>
        <w:tc>
          <w:tcPr>
            <w:tcW w:w="0" w:type="dxa"/>
            <w:vAlign w:val="bottom"/>
          </w:tcPr>
          <w:p>
            <w:pPr>
              <w:spacing w:after="0"/>
              <w:rPr>
                <w:sz w:val="1"/>
                <w:szCs w:val="1"/>
                <w:color w:val="auto"/>
              </w:rPr>
            </w:pPr>
          </w:p>
        </w:tc>
      </w:tr>
      <w:tr>
        <w:trPr>
          <w:trHeight w:val="237"/>
        </w:trPr>
        <w:tc>
          <w:tcPr>
            <w:tcW w:w="2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Location</w:t>
            </w:r>
          </w:p>
        </w:tc>
        <w:tc>
          <w:tcPr>
            <w:tcW w:w="1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1"/>
              </w:rPr>
              <w:t>Value</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color w:val="auto"/>
                <w:w w:val="93"/>
              </w:rPr>
              <w:t>Location</w:t>
            </w:r>
          </w:p>
        </w:tc>
        <w:tc>
          <w:tcPr>
            <w:tcW w:w="1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Value</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93"/>
              </w:rPr>
              <w:t>Location</w:t>
            </w:r>
          </w:p>
        </w:tc>
        <w:tc>
          <w:tcPr>
            <w:tcW w:w="1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5"/>
              </w:rPr>
              <w:t>Value</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color w:val="auto"/>
                <w:w w:val="93"/>
              </w:rPr>
              <w:t>Location</w:t>
            </w:r>
          </w:p>
        </w:tc>
        <w:tc>
          <w:tcPr>
            <w:tcW w:w="1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Value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160" w:type="dxa"/>
            <w:vAlign w:val="bottom"/>
            <w:vMerge w:val="restart"/>
          </w:tcPr>
          <w:p>
            <w:pPr>
              <w:spacing w:after="0"/>
              <w:rPr>
                <w:sz w:val="20"/>
                <w:szCs w:val="20"/>
                <w:color w:val="auto"/>
              </w:rPr>
            </w:pPr>
            <w:r>
              <w:rPr>
                <w:rFonts w:ascii="Arial" w:cs="Arial" w:eastAsia="Arial" w:hAnsi="Arial"/>
                <w:sz w:val="18"/>
                <w:szCs w:val="18"/>
                <w:color w:val="auto"/>
              </w:rPr>
              <w:t>Derivatives designated as</w:t>
            </w: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(In</w:t>
            </w:r>
          </w:p>
        </w:tc>
        <w:tc>
          <w:tcPr>
            <w:tcW w:w="1060" w:type="dxa"/>
            <w:vAlign w:val="bottom"/>
            <w:gridSpan w:val="3"/>
          </w:tcPr>
          <w:p>
            <w:pPr>
              <w:spacing w:after="0"/>
              <w:rPr>
                <w:sz w:val="20"/>
                <w:szCs w:val="20"/>
                <w:color w:val="auto"/>
              </w:rPr>
            </w:pPr>
            <w:r>
              <w:rPr>
                <w:rFonts w:ascii="Arial" w:cs="Arial" w:eastAsia="Arial" w:hAnsi="Arial"/>
                <w:sz w:val="18"/>
                <w:szCs w:val="18"/>
                <w:color w:val="auto"/>
              </w:rPr>
              <w:t>thousands)</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21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160" w:type="dxa"/>
            <w:vAlign w:val="bottom"/>
          </w:tcPr>
          <w:p>
            <w:pPr>
              <w:ind w:left="140"/>
              <w:spacing w:after="0"/>
              <w:rPr>
                <w:sz w:val="20"/>
                <w:szCs w:val="20"/>
                <w:color w:val="auto"/>
              </w:rPr>
            </w:pPr>
            <w:r>
              <w:rPr>
                <w:rFonts w:ascii="Arial" w:cs="Arial" w:eastAsia="Arial" w:hAnsi="Arial"/>
                <w:sz w:val="18"/>
                <w:szCs w:val="18"/>
                <w:color w:val="auto"/>
              </w:rPr>
              <w:t>hedging instruments</w:t>
            </w: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16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w w:val="90"/>
              </w:rPr>
              <w:t>Pay-fixed interest rate swap</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40"/>
              <w:spacing w:after="0" w:line="201" w:lineRule="exact"/>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60"/>
              <w:spacing w:after="0" w:line="201" w:lineRule="exact"/>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1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agreements</w:t>
            </w:r>
          </w:p>
        </w:tc>
        <w:tc>
          <w:tcPr>
            <w:tcW w:w="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88"/>
              </w:rPr>
              <w:t>Other assets</w:t>
            </w:r>
          </w:p>
        </w:tc>
        <w:tc>
          <w:tcPr>
            <w:tcW w:w="52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2,654</w:t>
            </w:r>
          </w:p>
        </w:tc>
        <w:tc>
          <w:tcPr>
            <w:tcW w:w="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86"/>
              </w:rPr>
              <w:t>Other assets</w:t>
            </w:r>
          </w:p>
        </w:tc>
        <w:tc>
          <w:tcPr>
            <w:tcW w:w="4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5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516</w:t>
            </w:r>
          </w:p>
        </w:tc>
        <w:tc>
          <w:tcPr>
            <w:tcW w:w="1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liabilities</w:t>
            </w:r>
          </w:p>
        </w:tc>
        <w:tc>
          <w:tcPr>
            <w:tcW w:w="5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776</w:t>
            </w:r>
          </w:p>
        </w:tc>
        <w:tc>
          <w:tcPr>
            <w:tcW w:w="0" w:type="dxa"/>
            <w:vAlign w:val="bottom"/>
          </w:tcPr>
          <w:p>
            <w:pPr>
              <w:spacing w:after="0"/>
              <w:rPr>
                <w:sz w:val="1"/>
                <w:szCs w:val="1"/>
                <w:color w:val="auto"/>
              </w:rPr>
            </w:pPr>
          </w:p>
        </w:tc>
      </w:tr>
      <w:tr>
        <w:trPr>
          <w:trHeight w:val="216"/>
        </w:trPr>
        <w:tc>
          <w:tcPr>
            <w:tcW w:w="21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0"/>
              </w:rPr>
              <w:t>Derivatives not designated as</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hedging instruments</w:t>
            </w:r>
          </w:p>
        </w:tc>
        <w:tc>
          <w:tcPr>
            <w:tcW w:w="1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160" w:type="dxa"/>
            <w:vAlign w:val="bottom"/>
          </w:tcPr>
          <w:p>
            <w:pPr>
              <w:ind w:left="140"/>
              <w:spacing w:after="0" w:line="201" w:lineRule="exact"/>
              <w:rPr>
                <w:sz w:val="20"/>
                <w:szCs w:val="20"/>
                <w:color w:val="auto"/>
              </w:rPr>
            </w:pPr>
            <w:r>
              <w:rPr>
                <w:rFonts w:ascii="Arial" w:cs="Arial" w:eastAsia="Arial" w:hAnsi="Arial"/>
                <w:sz w:val="18"/>
                <w:szCs w:val="18"/>
                <w:color w:val="auto"/>
              </w:rPr>
              <w:t>Rate-lock mortgage loan</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20" w:type="dxa"/>
            <w:vAlign w:val="bottom"/>
            <w:gridSpan w:val="2"/>
          </w:tcPr>
          <w:p>
            <w:pPr>
              <w:ind w:left="40"/>
              <w:spacing w:after="0" w:line="201" w:lineRule="exact"/>
              <w:rPr>
                <w:sz w:val="20"/>
                <w:szCs w:val="20"/>
                <w:color w:val="auto"/>
              </w:rPr>
            </w:pPr>
            <w:r>
              <w:rPr>
                <w:rFonts w:ascii="Arial" w:cs="Arial" w:eastAsia="Arial" w:hAnsi="Arial"/>
                <w:sz w:val="18"/>
                <w:szCs w:val="18"/>
                <w:color w:val="auto"/>
              </w:rPr>
              <w:t>Other</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20" w:type="dxa"/>
            <w:vAlign w:val="bottom"/>
            <w:gridSpan w:val="2"/>
          </w:tcPr>
          <w:p>
            <w:pPr>
              <w:ind w:left="60"/>
              <w:spacing w:after="0" w:line="201" w:lineRule="exact"/>
              <w:rPr>
                <w:sz w:val="20"/>
                <w:szCs w:val="20"/>
                <w:color w:val="auto"/>
              </w:rPr>
            </w:pPr>
            <w:r>
              <w:rPr>
                <w:rFonts w:ascii="Arial" w:cs="Arial" w:eastAsia="Arial" w:hAnsi="Arial"/>
                <w:sz w:val="18"/>
                <w:szCs w:val="18"/>
                <w:color w:val="auto"/>
              </w:rPr>
              <w:t>Other</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60" w:type="dxa"/>
            <w:vAlign w:val="bottom"/>
          </w:tcPr>
          <w:p>
            <w:pPr>
              <w:ind w:left="260"/>
              <w:spacing w:after="0"/>
              <w:rPr>
                <w:sz w:val="20"/>
                <w:szCs w:val="20"/>
                <w:color w:val="auto"/>
              </w:rPr>
            </w:pPr>
            <w:r>
              <w:rPr>
                <w:rFonts w:ascii="Arial" w:cs="Arial" w:eastAsia="Arial" w:hAnsi="Arial"/>
                <w:sz w:val="18"/>
                <w:szCs w:val="18"/>
                <w:color w:val="auto"/>
              </w:rPr>
              <w:t>commitments</w:t>
            </w:r>
          </w:p>
        </w:tc>
        <w:tc>
          <w:tcPr>
            <w:tcW w:w="940" w:type="dxa"/>
            <w:vAlign w:val="bottom"/>
            <w:gridSpan w:val="2"/>
          </w:tcPr>
          <w:p>
            <w:pPr>
              <w:ind w:left="20"/>
              <w:spacing w:after="0"/>
              <w:rPr>
                <w:sz w:val="20"/>
                <w:szCs w:val="20"/>
                <w:color w:val="auto"/>
              </w:rPr>
            </w:pPr>
            <w:r>
              <w:rPr>
                <w:rFonts w:ascii="Arial" w:cs="Arial" w:eastAsia="Arial" w:hAnsi="Arial"/>
                <w:sz w:val="18"/>
                <w:szCs w:val="18"/>
                <w:color w:val="auto"/>
                <w:w w:val="88"/>
              </w:rPr>
              <w:t>Other assets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4,356</w:t>
            </w:r>
          </w:p>
        </w:tc>
        <w:tc>
          <w:tcPr>
            <w:tcW w:w="40" w:type="dxa"/>
            <w:vAlign w:val="bottom"/>
          </w:tcPr>
          <w:p>
            <w:pPr>
              <w:spacing w:after="0"/>
              <w:rPr>
                <w:sz w:val="20"/>
                <w:szCs w:val="20"/>
                <w:color w:val="auto"/>
              </w:rPr>
            </w:pPr>
          </w:p>
        </w:tc>
        <w:tc>
          <w:tcPr>
            <w:tcW w:w="960" w:type="dxa"/>
            <w:vAlign w:val="bottom"/>
            <w:gridSpan w:val="2"/>
          </w:tcPr>
          <w:p>
            <w:pPr>
              <w:ind w:left="60"/>
              <w:spacing w:after="0"/>
              <w:rPr>
                <w:sz w:val="20"/>
                <w:szCs w:val="20"/>
                <w:color w:val="auto"/>
              </w:rPr>
            </w:pPr>
            <w:r>
              <w:rPr>
                <w:rFonts w:ascii="Arial" w:cs="Arial" w:eastAsia="Arial" w:hAnsi="Arial"/>
                <w:sz w:val="18"/>
                <w:szCs w:val="18"/>
                <w:color w:val="auto"/>
                <w:w w:val="86"/>
              </w:rPr>
              <w:t>Other assets</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7,020</w:t>
            </w: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liabilities</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180"/>
              <w:spacing w:after="0"/>
              <w:rPr>
                <w:sz w:val="20"/>
                <w:szCs w:val="20"/>
                <w:color w:val="auto"/>
              </w:rPr>
            </w:pPr>
            <w:r>
              <w:rPr>
                <w:rFonts w:ascii="Arial" w:cs="Arial" w:eastAsia="Arial" w:hAnsi="Arial"/>
                <w:sz w:val="18"/>
                <w:szCs w:val="18"/>
                <w:color w:val="auto"/>
              </w:rPr>
              <w:t>liabilities</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16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w w:val="92"/>
              </w:rPr>
              <w:t>Mandatory commitments to</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40"/>
              <w:spacing w:after="0" w:line="201" w:lineRule="exact"/>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60"/>
              <w:spacing w:after="0" w:line="201" w:lineRule="exact"/>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sell mortgage loans</w:t>
            </w:r>
          </w:p>
        </w:tc>
        <w:tc>
          <w:tcPr>
            <w:tcW w:w="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88"/>
              </w:rPr>
              <w:t>Other assets</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86"/>
              </w:rPr>
              <w:t>Other assets</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131</w:t>
            </w:r>
          </w:p>
        </w:tc>
        <w:tc>
          <w:tcPr>
            <w:tcW w:w="1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liabilities</w:t>
            </w: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941</w:t>
            </w:r>
          </w:p>
        </w:tc>
        <w:tc>
          <w:tcPr>
            <w:tcW w:w="0" w:type="dxa"/>
            <w:vAlign w:val="bottom"/>
          </w:tcPr>
          <w:p>
            <w:pPr>
              <w:spacing w:after="0"/>
              <w:rPr>
                <w:sz w:val="1"/>
                <w:szCs w:val="1"/>
                <w:color w:val="auto"/>
              </w:rPr>
            </w:pPr>
          </w:p>
        </w:tc>
      </w:tr>
      <w:tr>
        <w:trPr>
          <w:trHeight w:val="202"/>
        </w:trPr>
        <w:tc>
          <w:tcPr>
            <w:tcW w:w="2160" w:type="dxa"/>
            <w:vAlign w:val="bottom"/>
          </w:tcPr>
          <w:p>
            <w:pPr>
              <w:ind w:left="140"/>
              <w:spacing w:after="0" w:line="201" w:lineRule="exact"/>
              <w:rPr>
                <w:sz w:val="20"/>
                <w:szCs w:val="20"/>
                <w:color w:val="auto"/>
              </w:rPr>
            </w:pPr>
            <w:r>
              <w:rPr>
                <w:rFonts w:ascii="Arial" w:cs="Arial" w:eastAsia="Arial" w:hAnsi="Arial"/>
                <w:sz w:val="18"/>
                <w:szCs w:val="18"/>
                <w:color w:val="auto"/>
              </w:rPr>
              <w:t>Interest rate swaption</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60" w:type="dxa"/>
            <w:vAlign w:val="bottom"/>
          </w:tcPr>
          <w:p>
            <w:pPr>
              <w:ind w:left="260"/>
              <w:spacing w:after="0"/>
              <w:rPr>
                <w:sz w:val="20"/>
                <w:szCs w:val="20"/>
                <w:color w:val="auto"/>
              </w:rPr>
            </w:pPr>
            <w:r>
              <w:rPr>
                <w:rFonts w:ascii="Arial" w:cs="Arial" w:eastAsia="Arial" w:hAnsi="Arial"/>
                <w:sz w:val="18"/>
                <w:szCs w:val="18"/>
                <w:color w:val="auto"/>
              </w:rPr>
              <w:t>agreement</w:t>
            </w:r>
          </w:p>
        </w:tc>
        <w:tc>
          <w:tcPr>
            <w:tcW w:w="940" w:type="dxa"/>
            <w:vAlign w:val="bottom"/>
            <w:gridSpan w:val="2"/>
          </w:tcPr>
          <w:p>
            <w:pPr>
              <w:ind w:left="20"/>
              <w:spacing w:after="0"/>
              <w:rPr>
                <w:sz w:val="20"/>
                <w:szCs w:val="20"/>
                <w:color w:val="auto"/>
              </w:rPr>
            </w:pPr>
            <w:r>
              <w:rPr>
                <w:rFonts w:ascii="Arial" w:cs="Arial" w:eastAsia="Arial" w:hAnsi="Arial"/>
                <w:sz w:val="18"/>
                <w:szCs w:val="18"/>
                <w:color w:val="auto"/>
                <w:w w:val="88"/>
              </w:rPr>
              <w:t>Other assets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162</w:t>
            </w:r>
          </w:p>
        </w:tc>
        <w:tc>
          <w:tcPr>
            <w:tcW w:w="960" w:type="dxa"/>
            <w:vAlign w:val="bottom"/>
            <w:gridSpan w:val="2"/>
          </w:tcPr>
          <w:p>
            <w:pPr>
              <w:ind w:left="60"/>
              <w:spacing w:after="0"/>
              <w:rPr>
                <w:sz w:val="20"/>
                <w:szCs w:val="20"/>
                <w:color w:val="auto"/>
              </w:rPr>
            </w:pPr>
            <w:r>
              <w:rPr>
                <w:rFonts w:ascii="Arial" w:cs="Arial" w:eastAsia="Arial" w:hAnsi="Arial"/>
                <w:sz w:val="18"/>
                <w:szCs w:val="18"/>
                <w:color w:val="auto"/>
                <w:w w:val="86"/>
              </w:rPr>
              <w:t>Other assets</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5"/>
          </w:tcPr>
          <w:p>
            <w:pPr>
              <w:ind w:left="40"/>
              <w:spacing w:after="0"/>
              <w:rPr>
                <w:sz w:val="20"/>
                <w:szCs w:val="20"/>
                <w:color w:val="auto"/>
              </w:rPr>
            </w:pPr>
            <w:r>
              <w:rPr>
                <w:rFonts w:ascii="Arial" w:cs="Arial" w:eastAsia="Arial" w:hAnsi="Arial"/>
                <w:sz w:val="18"/>
                <w:szCs w:val="18"/>
                <w:color w:val="auto"/>
              </w:rPr>
              <w:t>Other liabilities</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540" w:type="dxa"/>
            <w:vAlign w:val="bottom"/>
            <w:gridSpan w:val="5"/>
          </w:tcPr>
          <w:p>
            <w:pPr>
              <w:ind w:left="60"/>
              <w:spacing w:after="0"/>
              <w:rPr>
                <w:sz w:val="20"/>
                <w:szCs w:val="20"/>
                <w:color w:val="auto"/>
              </w:rPr>
            </w:pPr>
            <w:r>
              <w:rPr>
                <w:rFonts w:ascii="Arial" w:cs="Arial" w:eastAsia="Arial" w:hAnsi="Arial"/>
                <w:sz w:val="18"/>
                <w:szCs w:val="18"/>
                <w:color w:val="auto"/>
              </w:rPr>
              <w:t>Other liabilities</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16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w w:val="90"/>
              </w:rPr>
              <w:t>Pay-fixed interest rate swap</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40"/>
              <w:spacing w:after="0" w:line="201" w:lineRule="exact"/>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60"/>
              <w:spacing w:after="0" w:line="201" w:lineRule="exact"/>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6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2"/>
              </w:rPr>
              <w:t>agreements - commercial</w:t>
            </w:r>
          </w:p>
        </w:tc>
        <w:tc>
          <w:tcPr>
            <w:tcW w:w="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88"/>
              </w:rPr>
              <w:t>Other assets</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86"/>
              </w:rPr>
              <w:t>Other assets</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6,918</w:t>
            </w:r>
          </w:p>
        </w:tc>
        <w:tc>
          <w:tcPr>
            <w:tcW w:w="1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liabilities</w:t>
            </w: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9,700</w:t>
            </w:r>
          </w:p>
        </w:tc>
        <w:tc>
          <w:tcPr>
            <w:tcW w:w="0" w:type="dxa"/>
            <w:vAlign w:val="bottom"/>
          </w:tcPr>
          <w:p>
            <w:pPr>
              <w:spacing w:after="0"/>
              <w:rPr>
                <w:sz w:val="1"/>
                <w:szCs w:val="1"/>
                <w:color w:val="auto"/>
              </w:rPr>
            </w:pPr>
          </w:p>
        </w:tc>
      </w:tr>
      <w:tr>
        <w:trPr>
          <w:trHeight w:val="202"/>
        </w:trPr>
        <w:tc>
          <w:tcPr>
            <w:tcW w:w="2160" w:type="dxa"/>
            <w:vAlign w:val="bottom"/>
          </w:tcPr>
          <w:p>
            <w:pPr>
              <w:ind w:left="140"/>
              <w:spacing w:after="0" w:line="201" w:lineRule="exact"/>
              <w:rPr>
                <w:sz w:val="20"/>
                <w:szCs w:val="20"/>
                <w:color w:val="auto"/>
              </w:rPr>
            </w:pPr>
            <w:r>
              <w:rPr>
                <w:rFonts w:ascii="Arial" w:cs="Arial" w:eastAsia="Arial" w:hAnsi="Arial"/>
                <w:sz w:val="18"/>
                <w:szCs w:val="18"/>
                <w:color w:val="auto"/>
                <w:w w:val="99"/>
              </w:rPr>
              <w:t>Pay-variable interest rate</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60" w:type="dxa"/>
            <w:vAlign w:val="bottom"/>
          </w:tcPr>
          <w:p>
            <w:pPr>
              <w:ind w:left="260"/>
              <w:spacing w:after="0"/>
              <w:rPr>
                <w:sz w:val="20"/>
                <w:szCs w:val="20"/>
                <w:color w:val="auto"/>
              </w:rPr>
            </w:pPr>
            <w:r>
              <w:rPr>
                <w:rFonts w:ascii="Arial" w:cs="Arial" w:eastAsia="Arial" w:hAnsi="Arial"/>
                <w:sz w:val="18"/>
                <w:szCs w:val="18"/>
                <w:color w:val="auto"/>
              </w:rPr>
              <w:t>swap agreements -</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gridSpan w:val="2"/>
          </w:tcPr>
          <w:p>
            <w:pPr>
              <w:ind w:left="6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60" w:type="dxa"/>
            <w:vAlign w:val="bottom"/>
          </w:tcPr>
          <w:p>
            <w:pPr>
              <w:ind w:left="260"/>
              <w:spacing w:after="0"/>
              <w:rPr>
                <w:sz w:val="20"/>
                <w:szCs w:val="20"/>
                <w:color w:val="auto"/>
              </w:rPr>
            </w:pPr>
            <w:r>
              <w:rPr>
                <w:rFonts w:ascii="Arial" w:cs="Arial" w:eastAsia="Arial" w:hAnsi="Arial"/>
                <w:sz w:val="18"/>
                <w:szCs w:val="18"/>
                <w:color w:val="auto"/>
              </w:rPr>
              <w:t>commercial</w:t>
            </w:r>
          </w:p>
        </w:tc>
        <w:tc>
          <w:tcPr>
            <w:tcW w:w="940" w:type="dxa"/>
            <w:vAlign w:val="bottom"/>
            <w:gridSpan w:val="2"/>
          </w:tcPr>
          <w:p>
            <w:pPr>
              <w:ind w:left="20"/>
              <w:spacing w:after="0"/>
              <w:rPr>
                <w:sz w:val="20"/>
                <w:szCs w:val="20"/>
                <w:color w:val="auto"/>
              </w:rPr>
            </w:pPr>
            <w:r>
              <w:rPr>
                <w:rFonts w:ascii="Arial" w:cs="Arial" w:eastAsia="Arial" w:hAnsi="Arial"/>
                <w:sz w:val="18"/>
                <w:szCs w:val="18"/>
                <w:color w:val="auto"/>
                <w:w w:val="88"/>
              </w:rPr>
              <w:t>Other assets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6,918</w:t>
            </w:r>
          </w:p>
        </w:tc>
        <w:tc>
          <w:tcPr>
            <w:tcW w:w="40" w:type="dxa"/>
            <w:vAlign w:val="bottom"/>
          </w:tcPr>
          <w:p>
            <w:pPr>
              <w:spacing w:after="0"/>
              <w:rPr>
                <w:sz w:val="20"/>
                <w:szCs w:val="20"/>
                <w:color w:val="auto"/>
              </w:rPr>
            </w:pPr>
          </w:p>
        </w:tc>
        <w:tc>
          <w:tcPr>
            <w:tcW w:w="960" w:type="dxa"/>
            <w:vAlign w:val="bottom"/>
            <w:gridSpan w:val="2"/>
          </w:tcPr>
          <w:p>
            <w:pPr>
              <w:ind w:left="60"/>
              <w:spacing w:after="0"/>
              <w:rPr>
                <w:sz w:val="20"/>
                <w:szCs w:val="20"/>
                <w:color w:val="auto"/>
              </w:rPr>
            </w:pPr>
            <w:r>
              <w:rPr>
                <w:rFonts w:ascii="Arial" w:cs="Arial" w:eastAsia="Arial" w:hAnsi="Arial"/>
                <w:sz w:val="18"/>
                <w:szCs w:val="18"/>
                <w:color w:val="auto"/>
                <w:w w:val="86"/>
              </w:rPr>
              <w:t>Other assets</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9,700</w:t>
            </w: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liabilities</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45</w:t>
            </w:r>
          </w:p>
        </w:tc>
        <w:tc>
          <w:tcPr>
            <w:tcW w:w="1020" w:type="dxa"/>
            <w:vAlign w:val="bottom"/>
            <w:gridSpan w:val="2"/>
          </w:tcPr>
          <w:p>
            <w:pPr>
              <w:ind w:left="180"/>
              <w:spacing w:after="0"/>
              <w:rPr>
                <w:sz w:val="20"/>
                <w:szCs w:val="20"/>
                <w:color w:val="auto"/>
              </w:rPr>
            </w:pPr>
            <w:r>
              <w:rPr>
                <w:rFonts w:ascii="Arial" w:cs="Arial" w:eastAsia="Arial" w:hAnsi="Arial"/>
                <w:sz w:val="18"/>
                <w:szCs w:val="18"/>
                <w:color w:val="auto"/>
              </w:rPr>
              <w:t>liabilities</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16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w w:val="90"/>
              </w:rPr>
              <w:t>Pay-fixed interest rate swap</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40"/>
              <w:spacing w:after="0" w:line="201" w:lineRule="exact"/>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60"/>
              <w:spacing w:after="0" w:line="201" w:lineRule="exact"/>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agreements</w:t>
            </w:r>
          </w:p>
        </w:tc>
        <w:tc>
          <w:tcPr>
            <w:tcW w:w="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88"/>
              </w:rPr>
              <w:t>Other assets</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86"/>
              </w:rPr>
              <w:t>Other assets</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w:t>
            </w:r>
          </w:p>
        </w:tc>
        <w:tc>
          <w:tcPr>
            <w:tcW w:w="1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liabilities</w:t>
            </w: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02"/>
        </w:trPr>
        <w:tc>
          <w:tcPr>
            <w:tcW w:w="2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20" w:type="dxa"/>
            <w:vAlign w:val="bottom"/>
            <w:gridSpan w:val="2"/>
          </w:tcPr>
          <w:p>
            <w:pPr>
              <w:ind w:left="40"/>
              <w:spacing w:after="0" w:line="201" w:lineRule="exact"/>
              <w:rPr>
                <w:sz w:val="20"/>
                <w:szCs w:val="20"/>
                <w:color w:val="auto"/>
              </w:rPr>
            </w:pPr>
            <w:r>
              <w:rPr>
                <w:rFonts w:ascii="Arial" w:cs="Arial" w:eastAsia="Arial" w:hAnsi="Arial"/>
                <w:sz w:val="18"/>
                <w:szCs w:val="18"/>
                <w:color w:val="auto"/>
              </w:rPr>
              <w:t>Other</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20" w:type="dxa"/>
            <w:vAlign w:val="bottom"/>
            <w:gridSpan w:val="2"/>
          </w:tcPr>
          <w:p>
            <w:pPr>
              <w:ind w:left="60"/>
              <w:spacing w:after="0" w:line="201" w:lineRule="exact"/>
              <w:rPr>
                <w:sz w:val="20"/>
                <w:szCs w:val="20"/>
                <w:color w:val="auto"/>
              </w:rPr>
            </w:pPr>
            <w:r>
              <w:rPr>
                <w:rFonts w:ascii="Arial" w:cs="Arial" w:eastAsia="Arial" w:hAnsi="Arial"/>
                <w:sz w:val="18"/>
                <w:szCs w:val="18"/>
                <w:color w:val="auto"/>
              </w:rPr>
              <w:t>Other</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00" w:type="dxa"/>
            <w:vAlign w:val="bottom"/>
            <w:gridSpan w:val="3"/>
          </w:tcPr>
          <w:p>
            <w:pPr>
              <w:ind w:left="140"/>
              <w:spacing w:after="0"/>
              <w:rPr>
                <w:sz w:val="20"/>
                <w:szCs w:val="20"/>
                <w:color w:val="auto"/>
              </w:rPr>
            </w:pPr>
            <w:r>
              <w:rPr>
                <w:rFonts w:ascii="Arial" w:cs="Arial" w:eastAsia="Arial" w:hAnsi="Arial"/>
                <w:sz w:val="18"/>
                <w:szCs w:val="18"/>
                <w:color w:val="auto"/>
                <w:w w:val="87"/>
              </w:rPr>
              <w:t>Interest rate cap agreements Other assets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w:t>
            </w:r>
          </w:p>
        </w:tc>
        <w:tc>
          <w:tcPr>
            <w:tcW w:w="40" w:type="dxa"/>
            <w:vAlign w:val="bottom"/>
          </w:tcPr>
          <w:p>
            <w:pPr>
              <w:spacing w:after="0"/>
              <w:rPr>
                <w:sz w:val="20"/>
                <w:szCs w:val="20"/>
                <w:color w:val="auto"/>
              </w:rPr>
            </w:pPr>
          </w:p>
        </w:tc>
        <w:tc>
          <w:tcPr>
            <w:tcW w:w="960" w:type="dxa"/>
            <w:vAlign w:val="bottom"/>
            <w:gridSpan w:val="2"/>
          </w:tcPr>
          <w:p>
            <w:pPr>
              <w:ind w:left="60"/>
              <w:spacing w:after="0"/>
              <w:rPr>
                <w:sz w:val="20"/>
                <w:szCs w:val="20"/>
                <w:color w:val="auto"/>
              </w:rPr>
            </w:pPr>
            <w:r>
              <w:rPr>
                <w:rFonts w:ascii="Arial" w:cs="Arial" w:eastAsia="Arial" w:hAnsi="Arial"/>
                <w:sz w:val="18"/>
                <w:szCs w:val="18"/>
                <w:color w:val="auto"/>
                <w:w w:val="86"/>
              </w:rPr>
              <w:t>Other assets</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liabilities</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180"/>
              <w:spacing w:after="0"/>
              <w:rPr>
                <w:sz w:val="20"/>
                <w:szCs w:val="20"/>
                <w:color w:val="auto"/>
              </w:rPr>
            </w:pPr>
            <w:r>
              <w:rPr>
                <w:rFonts w:ascii="Arial" w:cs="Arial" w:eastAsia="Arial" w:hAnsi="Arial"/>
                <w:sz w:val="18"/>
                <w:szCs w:val="18"/>
                <w:color w:val="auto"/>
              </w:rPr>
              <w:t>liabilities</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40"/>
              <w:spacing w:after="0" w:line="201" w:lineRule="exact"/>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60"/>
              <w:spacing w:after="0" w:line="201" w:lineRule="exact"/>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Purchased options</w:t>
            </w:r>
          </w:p>
        </w:tc>
        <w:tc>
          <w:tcPr>
            <w:tcW w:w="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88"/>
              </w:rPr>
              <w:t>Other assets</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86"/>
              </w:rPr>
              <w:t>Other assets</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liabilities</w:t>
            </w: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160" w:type="dxa"/>
            <w:vAlign w:val="bottom"/>
            <w:vMerge w:val="restart"/>
          </w:tcPr>
          <w:p>
            <w:pPr>
              <w:ind w:left="140"/>
              <w:spacing w:after="0"/>
              <w:rPr>
                <w:sz w:val="20"/>
                <w:szCs w:val="20"/>
                <w:color w:val="auto"/>
              </w:rPr>
            </w:pPr>
            <w:r>
              <w:rPr>
                <w:rFonts w:ascii="Arial" w:cs="Arial" w:eastAsia="Arial" w:hAnsi="Arial"/>
                <w:sz w:val="18"/>
                <w:szCs w:val="18"/>
                <w:color w:val="auto"/>
              </w:rPr>
              <w:t>Written options</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40"/>
              <w:spacing w:after="0" w:line="201" w:lineRule="exact"/>
              <w:rPr>
                <w:sz w:val="20"/>
                <w:szCs w:val="20"/>
                <w:color w:val="auto"/>
              </w:rPr>
            </w:pPr>
            <w:r>
              <w:rPr>
                <w:rFonts w:ascii="Arial" w:cs="Arial" w:eastAsia="Arial" w:hAnsi="Arial"/>
                <w:sz w:val="18"/>
                <w:szCs w:val="18"/>
                <w:color w:val="auto"/>
              </w:rPr>
              <w:t>Other</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71</w:t>
            </w:r>
          </w:p>
        </w:tc>
        <w:tc>
          <w:tcPr>
            <w:tcW w:w="1020" w:type="dxa"/>
            <w:vAlign w:val="bottom"/>
            <w:gridSpan w:val="2"/>
          </w:tcPr>
          <w:p>
            <w:pPr>
              <w:ind w:left="60"/>
              <w:spacing w:after="0" w:line="201" w:lineRule="exact"/>
              <w:rPr>
                <w:sz w:val="20"/>
                <w:szCs w:val="20"/>
                <w:color w:val="auto"/>
              </w:rPr>
            </w:pPr>
            <w:r>
              <w:rPr>
                <w:rFonts w:ascii="Arial" w:cs="Arial" w:eastAsia="Arial" w:hAnsi="Arial"/>
                <w:sz w:val="18"/>
                <w:szCs w:val="18"/>
                <w:color w:val="auto"/>
              </w:rPr>
              <w:t>Other</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0"/>
        </w:trPr>
        <w:tc>
          <w:tcPr>
            <w:tcW w:w="2160" w:type="dxa"/>
            <w:vAlign w:val="bottom"/>
            <w:vMerge w:val="continue"/>
          </w:tcPr>
          <w:p>
            <w:pPr>
              <w:spacing w:after="0"/>
              <w:rPr>
                <w:sz w:val="18"/>
                <w:szCs w:val="18"/>
                <w:color w:val="auto"/>
              </w:rPr>
            </w:pPr>
          </w:p>
        </w:tc>
        <w:tc>
          <w:tcPr>
            <w:tcW w:w="940" w:type="dxa"/>
            <w:vAlign w:val="bottom"/>
            <w:gridSpan w:val="2"/>
          </w:tcPr>
          <w:p>
            <w:pPr>
              <w:ind w:left="20"/>
              <w:spacing w:after="0" w:line="203" w:lineRule="exact"/>
              <w:rPr>
                <w:sz w:val="20"/>
                <w:szCs w:val="20"/>
                <w:color w:val="auto"/>
              </w:rPr>
            </w:pPr>
            <w:r>
              <w:rPr>
                <w:rFonts w:ascii="Arial" w:cs="Arial" w:eastAsia="Arial" w:hAnsi="Arial"/>
                <w:sz w:val="18"/>
                <w:szCs w:val="18"/>
                <w:color w:val="auto"/>
                <w:w w:val="88"/>
              </w:rPr>
              <w:t>Other assets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gridSpan w:val="2"/>
          </w:tcPr>
          <w:p>
            <w:pPr>
              <w:ind w:left="60"/>
              <w:spacing w:after="0" w:line="203" w:lineRule="exact"/>
              <w:rPr>
                <w:sz w:val="20"/>
                <w:szCs w:val="20"/>
                <w:color w:val="auto"/>
              </w:rPr>
            </w:pPr>
            <w:r>
              <w:rPr>
                <w:rFonts w:ascii="Arial" w:cs="Arial" w:eastAsia="Arial" w:hAnsi="Arial"/>
                <w:sz w:val="18"/>
                <w:szCs w:val="18"/>
                <w:color w:val="auto"/>
                <w:w w:val="86"/>
              </w:rPr>
              <w:t>Other assets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line="203" w:lineRule="exact"/>
              <w:rPr>
                <w:sz w:val="20"/>
                <w:szCs w:val="20"/>
                <w:color w:val="auto"/>
              </w:rPr>
            </w:pPr>
            <w:r>
              <w:rPr>
                <w:rFonts w:ascii="Arial" w:cs="Arial" w:eastAsia="Arial" w:hAnsi="Arial"/>
                <w:sz w:val="18"/>
                <w:szCs w:val="18"/>
                <w:color w:val="auto"/>
              </w:rPr>
              <w:t>liabilities</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1020" w:type="dxa"/>
            <w:vAlign w:val="bottom"/>
            <w:gridSpan w:val="2"/>
          </w:tcPr>
          <w:p>
            <w:pPr>
              <w:ind w:left="180"/>
              <w:spacing w:after="0" w:line="203" w:lineRule="exact"/>
              <w:rPr>
                <w:sz w:val="20"/>
                <w:szCs w:val="20"/>
                <w:color w:val="auto"/>
              </w:rPr>
            </w:pPr>
            <w:r>
              <w:rPr>
                <w:rFonts w:ascii="Arial" w:cs="Arial" w:eastAsia="Arial" w:hAnsi="Arial"/>
                <w:sz w:val="18"/>
                <w:szCs w:val="18"/>
                <w:color w:val="auto"/>
              </w:rPr>
              <w:t>liabilities</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1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11,568</w:t>
            </w:r>
          </w:p>
        </w:tc>
        <w:tc>
          <w:tcPr>
            <w:tcW w:w="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16,767</w:t>
            </w:r>
          </w:p>
        </w:tc>
        <w:tc>
          <w:tcPr>
            <w:tcW w:w="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7,222</w:t>
            </w:r>
          </w:p>
        </w:tc>
        <w:tc>
          <w:tcPr>
            <w:tcW w:w="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10,978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160" w:type="dxa"/>
            <w:vAlign w:val="bottom"/>
          </w:tcPr>
          <w:p>
            <w:pPr>
              <w:ind w:left="340"/>
              <w:spacing w:after="0"/>
              <w:rPr>
                <w:sz w:val="20"/>
                <w:szCs w:val="20"/>
                <w:color w:val="auto"/>
              </w:rPr>
            </w:pPr>
            <w:r>
              <w:rPr>
                <w:rFonts w:ascii="Arial" w:cs="Arial" w:eastAsia="Arial" w:hAnsi="Arial"/>
                <w:sz w:val="18"/>
                <w:szCs w:val="18"/>
                <w:color w:val="auto"/>
              </w:rPr>
              <w:t>Total derivatives</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gridSpan w:val="2"/>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14,222</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16,782</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7,738</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11,754</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42"/>
        </w:trPr>
        <w:tc>
          <w:tcPr>
            <w:tcW w:w="2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gridSpan w:val="3"/>
          </w:tcPr>
          <w:p>
            <w:pPr>
              <w:jc w:val="right"/>
              <w:ind w:right="60"/>
              <w:spacing w:after="0"/>
              <w:rPr>
                <w:sz w:val="20"/>
                <w:szCs w:val="20"/>
                <w:color w:val="auto"/>
              </w:rPr>
            </w:pPr>
            <w:r>
              <w:rPr>
                <w:rFonts w:ascii="Arial" w:cs="Arial" w:eastAsia="Arial" w:hAnsi="Arial"/>
                <w:sz w:val="18"/>
                <w:szCs w:val="18"/>
                <w:color w:val="auto"/>
              </w:rPr>
              <w:t>40</w:t>
            </w: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216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2" w:right="339" w:bottom="1440" w:gutter="0" w:footer="0" w:header="0"/>
        </w:sectPr>
      </w:pPr>
    </w:p>
    <w:bookmarkStart w:id="41" w:name="page42"/>
    <w:bookmarkEnd w:id="4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effect of derivative financial instruments on the Condensed Consolidated Statements of Operations follows:</w:t>
      </w:r>
    </w:p>
    <w:p>
      <w:pPr>
        <w:spacing w:after="0" w:line="252"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Three Month Periods Ended June 30,</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1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Location of</w:t>
            </w:r>
          </w:p>
        </w:tc>
        <w:tc>
          <w:tcPr>
            <w:tcW w:w="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Loss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Reclassified</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4"/>
              </w:rPr>
              <w:t>from</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4"/>
          </w:tcPr>
          <w:p>
            <w:pPr>
              <w:jc w:val="center"/>
              <w:ind w:left="370"/>
              <w:spacing w:after="0"/>
              <w:rPr>
                <w:sz w:val="20"/>
                <w:szCs w:val="20"/>
                <w:color w:val="auto"/>
              </w:rPr>
            </w:pPr>
            <w:r>
              <w:rPr>
                <w:rFonts w:ascii="Arial" w:cs="Arial" w:eastAsia="Arial" w:hAnsi="Arial"/>
                <w:sz w:val="18"/>
                <w:szCs w:val="18"/>
                <w:color w:val="auto"/>
                <w:w w:val="89"/>
              </w:rPr>
              <w:t>Loss</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6"/>
          </w:tcPr>
          <w:p>
            <w:pPr>
              <w:jc w:val="center"/>
              <w:ind w:right="180"/>
              <w:spacing w:after="0"/>
              <w:rPr>
                <w:sz w:val="20"/>
                <w:szCs w:val="20"/>
                <w:color w:val="auto"/>
              </w:rPr>
            </w:pPr>
            <w:r>
              <w:rPr>
                <w:rFonts w:ascii="Arial" w:cs="Arial" w:eastAsia="Arial" w:hAnsi="Arial"/>
                <w:sz w:val="18"/>
                <w:szCs w:val="18"/>
                <w:color w:val="auto"/>
                <w:w w:val="90"/>
              </w:rPr>
              <w:t>Gain (Loss)</w:t>
            </w: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Accumulated</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6"/>
          </w:tcPr>
          <w:p>
            <w:pPr>
              <w:jc w:val="center"/>
              <w:ind w:right="101"/>
              <w:spacing w:after="0"/>
              <w:rPr>
                <w:sz w:val="20"/>
                <w:szCs w:val="20"/>
                <w:color w:val="auto"/>
              </w:rPr>
            </w:pPr>
            <w:r>
              <w:rPr>
                <w:rFonts w:ascii="Arial" w:cs="Arial" w:eastAsia="Arial" w:hAnsi="Arial"/>
                <w:sz w:val="18"/>
                <w:szCs w:val="18"/>
                <w:color w:val="auto"/>
                <w:w w:val="91"/>
              </w:rPr>
              <w:t>Reclassified from</w:t>
            </w: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6"/>
          </w:tcPr>
          <w:p>
            <w:pPr>
              <w:jc w:val="center"/>
              <w:ind w:right="180"/>
              <w:spacing w:after="0"/>
              <w:rPr>
                <w:sz w:val="20"/>
                <w:szCs w:val="20"/>
                <w:color w:val="auto"/>
              </w:rPr>
            </w:pPr>
            <w:r>
              <w:rPr>
                <w:rFonts w:ascii="Arial" w:cs="Arial" w:eastAsia="Arial" w:hAnsi="Arial"/>
                <w:sz w:val="18"/>
                <w:szCs w:val="18"/>
                <w:color w:val="auto"/>
                <w:w w:val="91"/>
              </w:rPr>
              <w:t>Recognized in</w:t>
            </w:r>
          </w:p>
        </w:tc>
        <w:tc>
          <w:tcPr>
            <w:tcW w:w="1140" w:type="dxa"/>
            <w:vAlign w:val="bottom"/>
          </w:tcPr>
          <w:p>
            <w:pPr>
              <w:jc w:val="center"/>
              <w:spacing w:after="0"/>
              <w:rPr>
                <w:sz w:val="20"/>
                <w:szCs w:val="20"/>
                <w:color w:val="auto"/>
              </w:rPr>
            </w:pPr>
            <w:r>
              <w:rPr>
                <w:rFonts w:ascii="Arial" w:cs="Arial" w:eastAsia="Arial" w:hAnsi="Arial"/>
                <w:sz w:val="18"/>
                <w:szCs w:val="18"/>
                <w:color w:val="auto"/>
                <w:w w:val="93"/>
              </w:rPr>
              <w:t>Other</w:t>
            </w:r>
          </w:p>
        </w:tc>
        <w:tc>
          <w:tcPr>
            <w:tcW w:w="60" w:type="dxa"/>
            <w:vAlign w:val="bottom"/>
          </w:tcPr>
          <w:p>
            <w:pPr>
              <w:spacing w:after="0"/>
              <w:rPr>
                <w:sz w:val="18"/>
                <w:szCs w:val="18"/>
                <w:color w:val="auto"/>
              </w:rPr>
            </w:pPr>
          </w:p>
        </w:tc>
        <w:tc>
          <w:tcPr>
            <w:tcW w:w="1580" w:type="dxa"/>
            <w:vAlign w:val="bottom"/>
            <w:gridSpan w:val="7"/>
          </w:tcPr>
          <w:p>
            <w:pPr>
              <w:jc w:val="center"/>
              <w:ind w:right="1"/>
              <w:spacing w:after="0"/>
              <w:rPr>
                <w:sz w:val="20"/>
                <w:szCs w:val="20"/>
                <w:color w:val="auto"/>
              </w:rPr>
            </w:pPr>
            <w:r>
              <w:rPr>
                <w:rFonts w:ascii="Arial" w:cs="Arial" w:eastAsia="Arial" w:hAnsi="Arial"/>
                <w:sz w:val="18"/>
                <w:szCs w:val="18"/>
                <w:color w:val="auto"/>
                <w:w w:val="92"/>
              </w:rPr>
              <w:t>Accumulated Other</w:t>
            </w: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4"/>
          </w:tcPr>
          <w:p>
            <w:pPr>
              <w:jc w:val="center"/>
              <w:ind w:left="330"/>
              <w:spacing w:after="0"/>
              <w:rPr>
                <w:sz w:val="20"/>
                <w:szCs w:val="20"/>
                <w:color w:val="auto"/>
              </w:rPr>
            </w:pPr>
            <w:r>
              <w:rPr>
                <w:rFonts w:ascii="Arial" w:cs="Arial" w:eastAsia="Arial" w:hAnsi="Arial"/>
                <w:sz w:val="18"/>
                <w:szCs w:val="18"/>
                <w:color w:val="auto"/>
                <w:w w:val="88"/>
              </w:rPr>
              <w:t>Other</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Comprehensive</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6"/>
          </w:tcPr>
          <w:p>
            <w:pPr>
              <w:jc w:val="center"/>
              <w:ind w:right="101"/>
              <w:spacing w:after="0"/>
              <w:rPr>
                <w:sz w:val="20"/>
                <w:szCs w:val="20"/>
                <w:color w:val="auto"/>
              </w:rPr>
            </w:pPr>
            <w:r>
              <w:rPr>
                <w:rFonts w:ascii="Arial" w:cs="Arial" w:eastAsia="Arial" w:hAnsi="Arial"/>
                <w:sz w:val="18"/>
                <w:szCs w:val="18"/>
                <w:color w:val="auto"/>
                <w:w w:val="90"/>
              </w:rPr>
              <w:t>Comprehensive</w:t>
            </w: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6"/>
          </w:tcPr>
          <w:p>
            <w:pPr>
              <w:jc w:val="center"/>
              <w:ind w:right="180"/>
              <w:spacing w:after="0"/>
              <w:rPr>
                <w:sz w:val="20"/>
                <w:szCs w:val="20"/>
                <w:color w:val="auto"/>
              </w:rPr>
            </w:pPr>
            <w:r>
              <w:rPr>
                <w:rFonts w:ascii="Arial" w:cs="Arial" w:eastAsia="Arial" w:hAnsi="Arial"/>
                <w:sz w:val="18"/>
                <w:szCs w:val="18"/>
                <w:color w:val="auto"/>
                <w:w w:val="88"/>
              </w:rPr>
              <w:t>Comprehensive</w:t>
            </w:r>
          </w:p>
        </w:tc>
        <w:tc>
          <w:tcPr>
            <w:tcW w:w="1140" w:type="dxa"/>
            <w:vAlign w:val="bottom"/>
          </w:tcPr>
          <w:p>
            <w:pPr>
              <w:ind w:left="320"/>
              <w:spacing w:after="0"/>
              <w:rPr>
                <w:sz w:val="20"/>
                <w:szCs w:val="20"/>
                <w:color w:val="auto"/>
              </w:rPr>
            </w:pPr>
            <w:r>
              <w:rPr>
                <w:rFonts w:ascii="Arial" w:cs="Arial" w:eastAsia="Arial" w:hAnsi="Arial"/>
                <w:sz w:val="18"/>
                <w:szCs w:val="18"/>
                <w:color w:val="auto"/>
              </w:rPr>
              <w:t>Income</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6"/>
          </w:tcPr>
          <w:p>
            <w:pPr>
              <w:jc w:val="center"/>
              <w:ind w:right="101"/>
              <w:spacing w:after="0"/>
              <w:rPr>
                <w:sz w:val="20"/>
                <w:szCs w:val="20"/>
                <w:color w:val="auto"/>
              </w:rPr>
            </w:pPr>
            <w:r>
              <w:rPr>
                <w:rFonts w:ascii="Arial" w:cs="Arial" w:eastAsia="Arial" w:hAnsi="Arial"/>
                <w:sz w:val="18"/>
                <w:szCs w:val="18"/>
                <w:color w:val="auto"/>
                <w:w w:val="91"/>
              </w:rPr>
              <w:t>Income</w:t>
            </w:r>
          </w:p>
        </w:tc>
        <w:tc>
          <w:tcPr>
            <w:tcW w:w="900" w:type="dxa"/>
            <w:vAlign w:val="bottom"/>
          </w:tcPr>
          <w:p>
            <w:pPr>
              <w:ind w:left="40"/>
              <w:spacing w:after="0"/>
              <w:rPr>
                <w:sz w:val="20"/>
                <w:szCs w:val="20"/>
                <w:color w:val="auto"/>
              </w:rPr>
            </w:pPr>
            <w:r>
              <w:rPr>
                <w:rFonts w:ascii="Arial" w:cs="Arial" w:eastAsia="Arial" w:hAnsi="Arial"/>
                <w:sz w:val="18"/>
                <w:szCs w:val="18"/>
                <w:color w:val="auto"/>
                <w:w w:val="95"/>
              </w:rPr>
              <w:t>Location of</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5"/>
          </w:tcPr>
          <w:p>
            <w:pPr>
              <w:jc w:val="center"/>
              <w:ind w:right="141"/>
              <w:spacing w:after="0"/>
              <w:rPr>
                <w:sz w:val="20"/>
                <w:szCs w:val="20"/>
                <w:color w:val="auto"/>
              </w:rPr>
            </w:pPr>
            <w:r>
              <w:rPr>
                <w:rFonts w:ascii="Arial" w:cs="Arial" w:eastAsia="Arial" w:hAnsi="Arial"/>
                <w:sz w:val="18"/>
                <w:szCs w:val="18"/>
                <w:color w:val="auto"/>
                <w:w w:val="92"/>
              </w:rPr>
              <w:t>Gain (Loss)</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6"/>
          </w:tcPr>
          <w:p>
            <w:pPr>
              <w:jc w:val="center"/>
              <w:ind w:right="180"/>
              <w:spacing w:after="0"/>
              <w:rPr>
                <w:sz w:val="20"/>
                <w:szCs w:val="20"/>
                <w:color w:val="auto"/>
              </w:rPr>
            </w:pPr>
            <w:r>
              <w:rPr>
                <w:rFonts w:ascii="Arial" w:cs="Arial" w:eastAsia="Arial" w:hAnsi="Arial"/>
                <w:sz w:val="18"/>
                <w:szCs w:val="18"/>
                <w:color w:val="auto"/>
                <w:w w:val="91"/>
              </w:rPr>
              <w:t>Income (Loss)</w:t>
            </w: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into Income</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6"/>
          </w:tcPr>
          <w:p>
            <w:pPr>
              <w:jc w:val="center"/>
              <w:ind w:right="101"/>
              <w:spacing w:after="0"/>
              <w:rPr>
                <w:sz w:val="20"/>
                <w:szCs w:val="20"/>
                <w:color w:val="auto"/>
              </w:rPr>
            </w:pPr>
            <w:r>
              <w:rPr>
                <w:rFonts w:ascii="Arial" w:cs="Arial" w:eastAsia="Arial" w:hAnsi="Arial"/>
                <w:sz w:val="18"/>
                <w:szCs w:val="18"/>
                <w:color w:val="auto"/>
                <w:w w:val="92"/>
              </w:rPr>
              <w:t>into Income</w:t>
            </w:r>
          </w:p>
        </w:tc>
        <w:tc>
          <w:tcPr>
            <w:tcW w:w="900" w:type="dxa"/>
            <w:vAlign w:val="bottom"/>
          </w:tcPr>
          <w:p>
            <w:pPr>
              <w:ind w:left="20"/>
              <w:spacing w:after="0"/>
              <w:rPr>
                <w:sz w:val="20"/>
                <w:szCs w:val="20"/>
                <w:color w:val="auto"/>
              </w:rPr>
            </w:pPr>
            <w:r>
              <w:rPr>
                <w:rFonts w:ascii="Arial" w:cs="Arial" w:eastAsia="Arial" w:hAnsi="Arial"/>
                <w:sz w:val="18"/>
                <w:szCs w:val="18"/>
                <w:color w:val="auto"/>
                <w:w w:val="92"/>
              </w:rPr>
              <w:t>Gain (Loss)</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5"/>
          </w:tcPr>
          <w:p>
            <w:pPr>
              <w:jc w:val="center"/>
              <w:ind w:right="141"/>
              <w:spacing w:after="0"/>
              <w:rPr>
                <w:sz w:val="20"/>
                <w:szCs w:val="20"/>
                <w:color w:val="auto"/>
              </w:rPr>
            </w:pPr>
            <w:r>
              <w:rPr>
                <w:rFonts w:ascii="Arial" w:cs="Arial" w:eastAsia="Arial" w:hAnsi="Arial"/>
                <w:sz w:val="18"/>
                <w:szCs w:val="18"/>
                <w:color w:val="auto"/>
                <w:w w:val="90"/>
              </w:rPr>
              <w:t>Recognized</w:t>
            </w:r>
          </w:p>
        </w:tc>
        <w:tc>
          <w:tcPr>
            <w:tcW w:w="0" w:type="dxa"/>
            <w:vAlign w:val="bottom"/>
          </w:tcPr>
          <w:p>
            <w:pPr>
              <w:spacing w:after="0"/>
              <w:rPr>
                <w:sz w:val="1"/>
                <w:szCs w:val="1"/>
                <w:color w:val="auto"/>
              </w:rPr>
            </w:pPr>
          </w:p>
        </w:tc>
      </w:tr>
      <w:tr>
        <w:trPr>
          <w:trHeight w:val="237"/>
        </w:trPr>
        <w:tc>
          <w:tcPr>
            <w:tcW w:w="3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520" w:type="dxa"/>
            <w:vAlign w:val="bottom"/>
            <w:gridSpan w:val="7"/>
          </w:tcPr>
          <w:p>
            <w:pPr>
              <w:jc w:val="center"/>
              <w:ind w:right="80"/>
              <w:spacing w:after="0"/>
              <w:rPr>
                <w:sz w:val="20"/>
                <w:szCs w:val="20"/>
                <w:color w:val="auto"/>
              </w:rPr>
            </w:pPr>
            <w:r>
              <w:rPr>
                <w:rFonts w:ascii="Arial" w:cs="Arial" w:eastAsia="Arial" w:hAnsi="Arial"/>
                <w:sz w:val="18"/>
                <w:szCs w:val="18"/>
                <w:color w:val="auto"/>
                <w:w w:val="95"/>
              </w:rPr>
              <w:t>(Effective Portion)</w:t>
            </w:r>
          </w:p>
        </w:tc>
        <w:tc>
          <w:tcPr>
            <w:tcW w:w="1140" w:type="dxa"/>
            <w:vAlign w:val="bottom"/>
          </w:tcPr>
          <w:p>
            <w:pPr>
              <w:jc w:val="center"/>
              <w:spacing w:after="0"/>
              <w:rPr>
                <w:sz w:val="20"/>
                <w:szCs w:val="20"/>
                <w:color w:val="auto"/>
              </w:rPr>
            </w:pPr>
            <w:r>
              <w:rPr>
                <w:rFonts w:ascii="Arial" w:cs="Arial" w:eastAsia="Arial" w:hAnsi="Arial"/>
                <w:sz w:val="18"/>
                <w:szCs w:val="18"/>
                <w:color w:val="auto"/>
                <w:w w:val="93"/>
              </w:rPr>
              <w:t>(Effective</w:t>
            </w:r>
          </w:p>
        </w:tc>
        <w:tc>
          <w:tcPr>
            <w:tcW w:w="60" w:type="dxa"/>
            <w:vAlign w:val="bottom"/>
          </w:tcPr>
          <w:p>
            <w:pPr>
              <w:spacing w:after="0"/>
              <w:rPr>
                <w:sz w:val="20"/>
                <w:szCs w:val="20"/>
                <w:color w:val="auto"/>
              </w:rPr>
            </w:pPr>
          </w:p>
        </w:tc>
        <w:tc>
          <w:tcPr>
            <w:tcW w:w="1580" w:type="dxa"/>
            <w:vAlign w:val="bottom"/>
            <w:gridSpan w:val="7"/>
          </w:tcPr>
          <w:p>
            <w:pPr>
              <w:jc w:val="center"/>
              <w:ind w:right="1"/>
              <w:spacing w:after="0"/>
              <w:rPr>
                <w:sz w:val="20"/>
                <w:szCs w:val="20"/>
                <w:color w:val="auto"/>
              </w:rPr>
            </w:pPr>
            <w:r>
              <w:rPr>
                <w:rFonts w:ascii="Arial" w:cs="Arial" w:eastAsia="Arial" w:hAnsi="Arial"/>
                <w:sz w:val="18"/>
                <w:szCs w:val="18"/>
                <w:color w:val="auto"/>
                <w:w w:val="93"/>
              </w:rPr>
              <w:t>(Effective Portion)</w:t>
            </w:r>
          </w:p>
        </w:tc>
        <w:tc>
          <w:tcPr>
            <w:tcW w:w="900" w:type="dxa"/>
            <w:vAlign w:val="bottom"/>
          </w:tcPr>
          <w:p>
            <w:pPr>
              <w:ind w:left="20"/>
              <w:spacing w:after="0"/>
              <w:rPr>
                <w:sz w:val="20"/>
                <w:szCs w:val="20"/>
                <w:color w:val="auto"/>
              </w:rPr>
            </w:pPr>
            <w:r>
              <w:rPr>
                <w:rFonts w:ascii="Arial" w:cs="Arial" w:eastAsia="Arial" w:hAnsi="Arial"/>
                <w:sz w:val="18"/>
                <w:szCs w:val="18"/>
                <w:color w:val="auto"/>
                <w:w w:val="90"/>
              </w:rPr>
              <w:t>Recognized</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5"/>
          </w:tcPr>
          <w:p>
            <w:pPr>
              <w:jc w:val="center"/>
              <w:ind w:right="141"/>
              <w:spacing w:after="0"/>
              <w:rPr>
                <w:sz w:val="20"/>
                <w:szCs w:val="20"/>
                <w:color w:val="auto"/>
              </w:rPr>
            </w:pPr>
            <w:r>
              <w:rPr>
                <w:rFonts w:ascii="Arial" w:cs="Arial" w:eastAsia="Arial" w:hAnsi="Arial"/>
                <w:sz w:val="18"/>
                <w:szCs w:val="18"/>
                <w:color w:val="auto"/>
                <w:w w:val="94"/>
              </w:rPr>
              <w:t>in Income</w:t>
            </w:r>
          </w:p>
        </w:tc>
        <w:tc>
          <w:tcPr>
            <w:tcW w:w="0" w:type="dxa"/>
            <w:vAlign w:val="bottom"/>
          </w:tcPr>
          <w:p>
            <w:pPr>
              <w:spacing w:after="0"/>
              <w:rPr>
                <w:sz w:val="1"/>
                <w:szCs w:val="1"/>
                <w:color w:val="auto"/>
              </w:rPr>
            </w:pPr>
          </w:p>
        </w:tc>
      </w:tr>
      <w:tr>
        <w:trPr>
          <w:trHeight w:val="223"/>
        </w:trPr>
        <w:tc>
          <w:tcPr>
            <w:tcW w:w="3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4"/>
              </w:rPr>
              <w:t>2021</w:t>
            </w:r>
          </w:p>
        </w:tc>
        <w:tc>
          <w:tcPr>
            <w:tcW w:w="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84"/>
              </w:rPr>
              <w:t>2020</w:t>
            </w:r>
          </w:p>
        </w:tc>
        <w:tc>
          <w:tcPr>
            <w:tcW w:w="80" w:type="dxa"/>
            <w:vAlign w:val="bottom"/>
          </w:tcPr>
          <w:p>
            <w:pPr>
              <w:spacing w:after="0"/>
              <w:rPr>
                <w:sz w:val="19"/>
                <w:szCs w:val="19"/>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Portion)</w:t>
            </w: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2021</w:t>
            </w:r>
          </w:p>
        </w:tc>
        <w:tc>
          <w:tcPr>
            <w:tcW w:w="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4"/>
              </w:rPr>
              <w:t>2020</w:t>
            </w:r>
          </w:p>
        </w:tc>
        <w:tc>
          <w:tcPr>
            <w:tcW w:w="80" w:type="dxa"/>
            <w:vAlign w:val="bottom"/>
          </w:tcPr>
          <w:p>
            <w:pPr>
              <w:spacing w:after="0"/>
              <w:rPr>
                <w:sz w:val="19"/>
                <w:szCs w:val="19"/>
                <w:color w:val="auto"/>
              </w:rPr>
            </w:pPr>
          </w:p>
        </w:tc>
        <w:tc>
          <w:tcPr>
            <w:tcW w:w="9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99"/>
              </w:rPr>
              <w:t>in Income</w:t>
            </w:r>
          </w:p>
        </w:tc>
        <w:tc>
          <w:tcPr>
            <w:tcW w:w="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4"/>
              </w:rPr>
              <w:t>2021</w:t>
            </w:r>
          </w:p>
        </w:tc>
        <w:tc>
          <w:tcPr>
            <w:tcW w:w="160" w:type="dxa"/>
            <w:vAlign w:val="bottom"/>
            <w:tcBorders>
              <w:top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4"/>
              </w:rPr>
              <w:t>2020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vMerge w:val="restart"/>
          </w:tcPr>
          <w:p>
            <w:pPr>
              <w:spacing w:after="0"/>
              <w:rPr>
                <w:sz w:val="20"/>
                <w:szCs w:val="20"/>
                <w:color w:val="auto"/>
              </w:rPr>
            </w:pPr>
            <w:r>
              <w:rPr>
                <w:rFonts w:ascii="Arial" w:cs="Arial" w:eastAsia="Arial" w:hAnsi="Arial"/>
                <w:sz w:val="18"/>
                <w:szCs w:val="18"/>
                <w:color w:val="auto"/>
              </w:rPr>
              <w:t>Fair Value Hedges</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6"/>
          </w:tcPr>
          <w:p>
            <w:pPr>
              <w:jc w:val="center"/>
              <w:ind w:right="281"/>
              <w:spacing w:after="0"/>
              <w:rPr>
                <w:sz w:val="20"/>
                <w:szCs w:val="20"/>
                <w:color w:val="auto"/>
              </w:rPr>
            </w:pPr>
            <w:r>
              <w:rPr>
                <w:rFonts w:ascii="Arial" w:cs="Arial" w:eastAsia="Arial" w:hAnsi="Arial"/>
                <w:sz w:val="18"/>
                <w:szCs w:val="18"/>
                <w:color w:val="auto"/>
                <w:w w:val="90"/>
              </w:rPr>
              <w:t>(In thousands)</w:t>
            </w: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160" w:type="dxa"/>
            <w:vAlign w:val="bottom"/>
            <w:vMerge w:val="continue"/>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1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Interest and</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fees on</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w w:val="93"/>
              </w:rPr>
              <w:t>Pay-fixed interest rate swap agreement - Commercial loan</w:t>
            </w:r>
          </w:p>
        </w:tc>
        <w:tc>
          <w:tcPr>
            <w:tcW w:w="5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loans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2"/>
        </w:trPr>
        <w:tc>
          <w:tcPr>
            <w:tcW w:w="3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line="201" w:lineRule="exact"/>
              <w:rPr>
                <w:sz w:val="20"/>
                <w:szCs w:val="20"/>
                <w:color w:val="auto"/>
              </w:rPr>
            </w:pPr>
            <w:r>
              <w:rPr>
                <w:rFonts w:ascii="Arial" w:cs="Arial" w:eastAsia="Arial" w:hAnsi="Arial"/>
                <w:sz w:val="18"/>
                <w:szCs w:val="18"/>
                <w:color w:val="auto"/>
              </w:rPr>
              <w:t>Interest on</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ind w:left="140"/>
              <w:spacing w:after="0"/>
              <w:rPr>
                <w:sz w:val="20"/>
                <w:szCs w:val="20"/>
                <w:color w:val="auto"/>
              </w:rPr>
            </w:pPr>
            <w:r>
              <w:rPr>
                <w:rFonts w:ascii="Arial" w:cs="Arial" w:eastAsia="Arial" w:hAnsi="Arial"/>
                <w:sz w:val="18"/>
                <w:szCs w:val="18"/>
                <w:color w:val="auto"/>
                <w:w w:val="97"/>
              </w:rPr>
              <w:t>securities</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ind w:left="140"/>
              <w:spacing w:after="0"/>
              <w:rPr>
                <w:sz w:val="20"/>
                <w:szCs w:val="20"/>
                <w:color w:val="auto"/>
              </w:rPr>
            </w:pPr>
            <w:r>
              <w:rPr>
                <w:rFonts w:ascii="Arial" w:cs="Arial" w:eastAsia="Arial" w:hAnsi="Arial"/>
                <w:sz w:val="18"/>
                <w:szCs w:val="18"/>
                <w:color w:val="auto"/>
              </w:rPr>
              <w:t>available</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ind w:left="140"/>
              <w:spacing w:after="0"/>
              <w:rPr>
                <w:sz w:val="20"/>
                <w:szCs w:val="20"/>
                <w:color w:val="auto"/>
              </w:rPr>
            </w:pPr>
            <w:r>
              <w:rPr>
                <w:rFonts w:ascii="Arial" w:cs="Arial" w:eastAsia="Arial" w:hAnsi="Arial"/>
                <w:sz w:val="18"/>
                <w:szCs w:val="18"/>
                <w:color w:val="auto"/>
              </w:rPr>
              <w:t>for sale -</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gridSpan w:val="3"/>
          </w:tcPr>
          <w:p>
            <w:pPr>
              <w:ind w:left="140"/>
              <w:spacing w:after="0"/>
              <w:rPr>
                <w:sz w:val="20"/>
                <w:szCs w:val="20"/>
                <w:color w:val="auto"/>
              </w:rPr>
            </w:pPr>
            <w:r>
              <w:rPr>
                <w:rFonts w:ascii="Arial" w:cs="Arial" w:eastAsia="Arial" w:hAnsi="Arial"/>
                <w:sz w:val="18"/>
                <w:szCs w:val="18"/>
                <w:color w:val="auto"/>
              </w:rPr>
              <w:t>Pay-fixed interest rate swap agreement - Securities</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ind w:left="140"/>
              <w:spacing w:after="0"/>
              <w:rPr>
                <w:sz w:val="20"/>
                <w:szCs w:val="20"/>
                <w:color w:val="auto"/>
              </w:rPr>
            </w:pPr>
            <w:r>
              <w:rPr>
                <w:rFonts w:ascii="Arial" w:cs="Arial" w:eastAsia="Arial" w:hAnsi="Arial"/>
                <w:sz w:val="18"/>
                <w:szCs w:val="18"/>
                <w:color w:val="auto"/>
              </w:rPr>
              <w:t>tax -</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160" w:type="dxa"/>
            <w:vAlign w:val="bottom"/>
          </w:tcPr>
          <w:p>
            <w:pPr>
              <w:ind w:left="260"/>
              <w:spacing w:after="0"/>
              <w:rPr>
                <w:sz w:val="20"/>
                <w:szCs w:val="20"/>
                <w:color w:val="auto"/>
              </w:rPr>
            </w:pPr>
            <w:r>
              <w:rPr>
                <w:rFonts w:ascii="Arial" w:cs="Arial" w:eastAsia="Arial" w:hAnsi="Arial"/>
                <w:sz w:val="18"/>
                <w:szCs w:val="18"/>
                <w:color w:val="auto"/>
              </w:rPr>
              <w:t>available for sale</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ind w:left="140"/>
              <w:spacing w:after="0"/>
              <w:rPr>
                <w:sz w:val="20"/>
                <w:szCs w:val="20"/>
                <w:color w:val="auto"/>
              </w:rPr>
            </w:pPr>
            <w:r>
              <w:rPr>
                <w:rFonts w:ascii="Arial" w:cs="Arial" w:eastAsia="Arial" w:hAnsi="Arial"/>
                <w:sz w:val="18"/>
                <w:szCs w:val="18"/>
                <w:color w:val="auto"/>
              </w:rPr>
              <w:t>exempt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gridSpan w:val="2"/>
          </w:tcPr>
          <w:p>
            <w:pPr>
              <w:jc w:val="right"/>
              <w:ind w:right="10"/>
              <w:spacing w:after="0"/>
              <w:rPr>
                <w:sz w:val="20"/>
                <w:szCs w:val="20"/>
                <w:color w:val="auto"/>
              </w:rPr>
            </w:pPr>
            <w:r>
              <w:rPr>
                <w:rFonts w:ascii="Arial" w:cs="Arial" w:eastAsia="Arial" w:hAnsi="Arial"/>
                <w:sz w:val="18"/>
                <w:szCs w:val="18"/>
                <w:color w:val="auto"/>
              </w:rPr>
              <w:t>(2,234)</w:t>
            </w:r>
          </w:p>
        </w:tc>
        <w:tc>
          <w:tcPr>
            <w:tcW w:w="100" w:type="dxa"/>
            <w:vAlign w:val="bottom"/>
          </w:tcPr>
          <w:p>
            <w:pPr>
              <w:spacing w:after="0"/>
              <w:rPr>
                <w:sz w:val="20"/>
                <w:szCs w:val="20"/>
                <w:color w:val="auto"/>
              </w:rPr>
            </w:pPr>
          </w:p>
        </w:tc>
        <w:tc>
          <w:tcPr>
            <w:tcW w:w="620" w:type="dxa"/>
            <w:vAlign w:val="bottom"/>
            <w:gridSpan w:val="2"/>
          </w:tcPr>
          <w:p>
            <w:pPr>
              <w:jc w:val="right"/>
              <w:ind w:right="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3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(2,326</w:t>
            </w:r>
          </w:p>
        </w:tc>
        <w:tc>
          <w:tcPr>
            <w:tcW w:w="160" w:type="dxa"/>
            <w:vAlign w:val="bottom"/>
            <w:tcBorders>
              <w:bottom w:val="single" w:sz="8" w:color="CCEEFF"/>
            </w:tcBorders>
            <w:shd w:val="clear" w:color="auto" w:fill="CCEEFF"/>
          </w:tcPr>
          <w:p>
            <w:pPr>
              <w:jc w:val="center"/>
              <w:ind w:right="1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9"/>
        </w:trPr>
        <w:tc>
          <w:tcPr>
            <w:tcW w:w="3160" w:type="dxa"/>
            <w:vAlign w:val="bottom"/>
          </w:tcPr>
          <w:p>
            <w:pPr>
              <w:spacing w:after="0"/>
              <w:rPr>
                <w:sz w:val="20"/>
                <w:szCs w:val="20"/>
                <w:color w:val="auto"/>
              </w:rPr>
            </w:pPr>
            <w:r>
              <w:rPr>
                <w:rFonts w:ascii="Arial" w:cs="Arial" w:eastAsia="Arial" w:hAnsi="Arial"/>
                <w:sz w:val="18"/>
                <w:szCs w:val="18"/>
                <w:color w:val="auto"/>
              </w:rPr>
              <w:t>Cash Flow Hedges</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1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Interest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rate cap agreements</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140</w:t>
            </w:r>
          </w:p>
        </w:tc>
        <w:tc>
          <w:tcPr>
            <w:tcW w:w="1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expense</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center"/>
              <w:ind w:left="370"/>
              <w:spacing w:after="0"/>
              <w:rPr>
                <w:sz w:val="20"/>
                <w:szCs w:val="20"/>
                <w:color w:val="auto"/>
              </w:rPr>
            </w:pPr>
            <w:r>
              <w:rPr>
                <w:rFonts w:ascii="Arial" w:cs="Arial" w:eastAsia="Arial" w:hAnsi="Arial"/>
                <w:sz w:val="18"/>
                <w:szCs w:val="18"/>
                <w:color w:val="auto"/>
                <w:w w:val="99"/>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9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line="201" w:lineRule="exact"/>
              <w:rPr>
                <w:sz w:val="20"/>
                <w:szCs w:val="20"/>
                <w:color w:val="auto"/>
              </w:rPr>
            </w:pPr>
            <w:r>
              <w:rPr>
                <w:rFonts w:ascii="Arial" w:cs="Arial" w:eastAsia="Arial" w:hAnsi="Arial"/>
                <w:sz w:val="18"/>
                <w:szCs w:val="18"/>
                <w:color w:val="auto"/>
              </w:rPr>
              <w:t>Interest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160" w:type="dxa"/>
            <w:vAlign w:val="bottom"/>
          </w:tcPr>
          <w:p>
            <w:pPr>
              <w:ind w:left="140"/>
              <w:spacing w:after="0"/>
              <w:rPr>
                <w:sz w:val="20"/>
                <w:szCs w:val="20"/>
                <w:color w:val="auto"/>
              </w:rPr>
            </w:pPr>
            <w:r>
              <w:rPr>
                <w:rFonts w:ascii="Arial" w:cs="Arial" w:eastAsia="Arial" w:hAnsi="Arial"/>
                <w:sz w:val="18"/>
                <w:szCs w:val="18"/>
                <w:color w:val="auto"/>
                <w:w w:val="93"/>
              </w:rPr>
              <w:t>Pay-fixed interest rate swap agreements</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(62)</w:t>
            </w:r>
          </w:p>
        </w:tc>
        <w:tc>
          <w:tcPr>
            <w:tcW w:w="1140" w:type="dxa"/>
            <w:vAlign w:val="bottom"/>
          </w:tcPr>
          <w:p>
            <w:pPr>
              <w:ind w:left="160"/>
              <w:spacing w:after="0"/>
              <w:rPr>
                <w:sz w:val="20"/>
                <w:szCs w:val="20"/>
                <w:color w:val="auto"/>
              </w:rPr>
            </w:pPr>
            <w:r>
              <w:rPr>
                <w:rFonts w:ascii="Arial" w:cs="Arial" w:eastAsia="Arial" w:hAnsi="Arial"/>
                <w:sz w:val="18"/>
                <w:szCs w:val="18"/>
                <w:color w:val="auto"/>
              </w:rPr>
              <w:t>expense</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gridSpan w:val="2"/>
          </w:tcPr>
          <w:p>
            <w:pPr>
              <w:jc w:val="center"/>
              <w:ind w:left="37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(81)</w:t>
            </w: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1240" w:type="dxa"/>
            <w:vAlign w:val="bottom"/>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8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center"/>
              <w:ind w:left="430"/>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9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31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No hedge designation</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line="201" w:lineRule="exact"/>
              <w:rPr>
                <w:sz w:val="20"/>
                <w:szCs w:val="20"/>
                <w:color w:val="auto"/>
              </w:rPr>
            </w:pPr>
            <w:r>
              <w:rPr>
                <w:rFonts w:ascii="Arial" w:cs="Arial" w:eastAsia="Arial" w:hAnsi="Arial"/>
                <w:sz w:val="18"/>
                <w:szCs w:val="18"/>
                <w:color w:val="auto"/>
              </w:rPr>
              <w:t>Net gains</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ind w:left="140"/>
              <w:spacing w:after="0"/>
              <w:rPr>
                <w:sz w:val="20"/>
                <w:szCs w:val="20"/>
                <w:color w:val="auto"/>
              </w:rPr>
            </w:pPr>
            <w:r>
              <w:rPr>
                <w:rFonts w:ascii="Arial" w:cs="Arial" w:eastAsia="Arial" w:hAnsi="Arial"/>
                <w:sz w:val="18"/>
                <w:szCs w:val="18"/>
                <w:color w:val="auto"/>
              </w:rPr>
              <w:t>on</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ind w:left="140"/>
              <w:spacing w:after="0"/>
              <w:rPr>
                <w:sz w:val="20"/>
                <w:szCs w:val="20"/>
                <w:color w:val="auto"/>
              </w:rPr>
            </w:pPr>
            <w:r>
              <w:rPr>
                <w:rFonts w:ascii="Arial" w:cs="Arial" w:eastAsia="Arial" w:hAnsi="Arial"/>
                <w:sz w:val="18"/>
                <w:szCs w:val="18"/>
                <w:color w:val="auto"/>
                <w:w w:val="97"/>
              </w:rPr>
              <w:t>mortgage</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60" w:type="dxa"/>
            <w:vAlign w:val="bottom"/>
          </w:tcPr>
          <w:p>
            <w:pPr>
              <w:ind w:left="140"/>
              <w:spacing w:after="0"/>
              <w:rPr>
                <w:sz w:val="20"/>
                <w:szCs w:val="20"/>
                <w:color w:val="auto"/>
              </w:rPr>
            </w:pPr>
            <w:r>
              <w:rPr>
                <w:rFonts w:ascii="Arial" w:cs="Arial" w:eastAsia="Arial" w:hAnsi="Arial"/>
                <w:sz w:val="18"/>
                <w:szCs w:val="18"/>
                <w:color w:val="auto"/>
                <w:w w:val="97"/>
              </w:rPr>
              <w:t>Rate-lock mortgage loan commitments</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ind w:left="140"/>
              <w:spacing w:after="0"/>
              <w:rPr>
                <w:sz w:val="20"/>
                <w:szCs w:val="20"/>
                <w:color w:val="auto"/>
              </w:rPr>
            </w:pPr>
            <w:r>
              <w:rPr>
                <w:rFonts w:ascii="Arial" w:cs="Arial" w:eastAsia="Arial" w:hAnsi="Arial"/>
                <w:sz w:val="18"/>
                <w:szCs w:val="18"/>
                <w:color w:val="auto"/>
              </w:rPr>
              <w:t>loans</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1,158</w:t>
            </w:r>
          </w:p>
        </w:tc>
        <w:tc>
          <w:tcPr>
            <w:tcW w:w="1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1"/>
              <w:spacing w:after="0"/>
              <w:rPr>
                <w:sz w:val="20"/>
                <w:szCs w:val="20"/>
                <w:color w:val="auto"/>
              </w:rPr>
            </w:pPr>
            <w:r>
              <w:rPr>
                <w:rFonts w:ascii="Arial" w:cs="Arial" w:eastAsia="Arial" w:hAnsi="Arial"/>
                <w:sz w:val="18"/>
                <w:szCs w:val="18"/>
                <w:color w:val="auto"/>
              </w:rPr>
              <w:t>1,528</w:t>
            </w:r>
          </w:p>
        </w:tc>
        <w:tc>
          <w:tcPr>
            <w:tcW w:w="0" w:type="dxa"/>
            <w:vAlign w:val="bottom"/>
          </w:tcPr>
          <w:p>
            <w:pPr>
              <w:spacing w:after="0"/>
              <w:rPr>
                <w:sz w:val="1"/>
                <w:szCs w:val="1"/>
                <w:color w:val="auto"/>
              </w:rPr>
            </w:pPr>
          </w:p>
        </w:tc>
      </w:tr>
      <w:tr>
        <w:trPr>
          <w:trHeight w:val="202"/>
        </w:trPr>
        <w:tc>
          <w:tcPr>
            <w:tcW w:w="31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gains</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on</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7"/>
              </w:rPr>
              <w:t>mortgage</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Mandatory commitments to sell mortgage loans</w:t>
            </w:r>
          </w:p>
        </w:tc>
        <w:tc>
          <w:tcPr>
            <w:tcW w:w="5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loans</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(1,027)</w:t>
            </w:r>
          </w:p>
        </w:tc>
        <w:tc>
          <w:tcPr>
            <w:tcW w:w="1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1,472</w:t>
            </w:r>
          </w:p>
        </w:tc>
        <w:tc>
          <w:tcPr>
            <w:tcW w:w="0" w:type="dxa"/>
            <w:vAlign w:val="bottom"/>
          </w:tcPr>
          <w:p>
            <w:pPr>
              <w:spacing w:after="0"/>
              <w:rPr>
                <w:sz w:val="1"/>
                <w:szCs w:val="1"/>
                <w:color w:val="auto"/>
              </w:rPr>
            </w:pPr>
          </w:p>
        </w:tc>
      </w:tr>
      <w:tr>
        <w:trPr>
          <w:trHeight w:val="202"/>
        </w:trPr>
        <w:tc>
          <w:tcPr>
            <w:tcW w:w="3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line="201" w:lineRule="exact"/>
              <w:rPr>
                <w:sz w:val="20"/>
                <w:szCs w:val="20"/>
                <w:color w:val="auto"/>
              </w:rPr>
            </w:pPr>
            <w:r>
              <w:rPr>
                <w:rFonts w:ascii="Arial" w:cs="Arial" w:eastAsia="Arial" w:hAnsi="Arial"/>
                <w:sz w:val="18"/>
                <w:szCs w:val="18"/>
                <w:color w:val="auto"/>
              </w:rPr>
              <w:t>Net gains</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ind w:left="140"/>
              <w:spacing w:after="0"/>
              <w:rPr>
                <w:sz w:val="20"/>
                <w:szCs w:val="20"/>
                <w:color w:val="auto"/>
              </w:rPr>
            </w:pPr>
            <w:r>
              <w:rPr>
                <w:rFonts w:ascii="Arial" w:cs="Arial" w:eastAsia="Arial" w:hAnsi="Arial"/>
                <w:sz w:val="18"/>
                <w:szCs w:val="18"/>
                <w:color w:val="auto"/>
              </w:rPr>
              <w:t>on</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ind w:left="140"/>
              <w:spacing w:after="0"/>
              <w:rPr>
                <w:sz w:val="20"/>
                <w:szCs w:val="20"/>
                <w:color w:val="auto"/>
              </w:rPr>
            </w:pPr>
            <w:r>
              <w:rPr>
                <w:rFonts w:ascii="Arial" w:cs="Arial" w:eastAsia="Arial" w:hAnsi="Arial"/>
                <w:sz w:val="18"/>
                <w:szCs w:val="18"/>
                <w:color w:val="auto"/>
                <w:w w:val="97"/>
              </w:rPr>
              <w:t>mortgage</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60" w:type="dxa"/>
            <w:vAlign w:val="bottom"/>
          </w:tcPr>
          <w:p>
            <w:pPr>
              <w:ind w:left="140"/>
              <w:spacing w:after="0"/>
              <w:rPr>
                <w:sz w:val="20"/>
                <w:szCs w:val="20"/>
                <w:color w:val="auto"/>
              </w:rPr>
            </w:pPr>
            <w:r>
              <w:rPr>
                <w:rFonts w:ascii="Arial" w:cs="Arial" w:eastAsia="Arial" w:hAnsi="Arial"/>
                <w:sz w:val="18"/>
                <w:szCs w:val="18"/>
                <w:color w:val="auto"/>
              </w:rPr>
              <w:t>Interest rate swaption agreement</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ind w:left="140"/>
              <w:spacing w:after="0"/>
              <w:rPr>
                <w:sz w:val="20"/>
                <w:szCs w:val="20"/>
                <w:color w:val="auto"/>
              </w:rPr>
            </w:pPr>
            <w:r>
              <w:rPr>
                <w:rFonts w:ascii="Arial" w:cs="Arial" w:eastAsia="Arial" w:hAnsi="Arial"/>
                <w:sz w:val="18"/>
                <w:szCs w:val="18"/>
                <w:color w:val="auto"/>
              </w:rPr>
              <w:t>loans</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gridSpan w:val="2"/>
          </w:tcPr>
          <w:p>
            <w:pPr>
              <w:jc w:val="right"/>
              <w:ind w:right="1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0"/>
                <w:szCs w:val="20"/>
                <w:color w:val="auto"/>
              </w:rPr>
            </w:pPr>
          </w:p>
        </w:tc>
        <w:tc>
          <w:tcPr>
            <w:tcW w:w="620" w:type="dxa"/>
            <w:vAlign w:val="bottom"/>
            <w:gridSpan w:val="2"/>
          </w:tcPr>
          <w:p>
            <w:pPr>
              <w:jc w:val="right"/>
              <w:ind w:right="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1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Interest</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0"/>
              </w:rPr>
              <w:t>Pay-fixed interest rate swap agreements -</w:t>
            </w:r>
          </w:p>
        </w:tc>
        <w:tc>
          <w:tcPr>
            <w:tcW w:w="1340" w:type="dxa"/>
            <w:vAlign w:val="bottom"/>
            <w:gridSpan w:val="2"/>
            <w:shd w:val="clear" w:color="auto" w:fill="CCEEFF"/>
          </w:tcPr>
          <w:p>
            <w:pPr>
              <w:jc w:val="right"/>
              <w:ind w:right="378"/>
              <w:spacing w:after="0"/>
              <w:rPr>
                <w:sz w:val="20"/>
                <w:szCs w:val="20"/>
                <w:color w:val="auto"/>
              </w:rPr>
            </w:pPr>
            <w:r>
              <w:rPr>
                <w:rFonts w:ascii="Arial" w:cs="Arial" w:eastAsia="Arial" w:hAnsi="Arial"/>
                <w:sz w:val="18"/>
                <w:szCs w:val="18"/>
                <w:color w:val="auto"/>
                <w:w w:val="93"/>
              </w:rPr>
              <w:t>commercial</w:t>
            </w:r>
          </w:p>
        </w:tc>
        <w:tc>
          <w:tcPr>
            <w:tcW w:w="5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(448)</w:t>
            </w:r>
          </w:p>
        </w:tc>
        <w:tc>
          <w:tcPr>
            <w:tcW w:w="1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02"/>
        </w:trPr>
        <w:tc>
          <w:tcPr>
            <w:tcW w:w="3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line="201" w:lineRule="exact"/>
              <w:rPr>
                <w:sz w:val="20"/>
                <w:szCs w:val="20"/>
                <w:color w:val="auto"/>
              </w:rPr>
            </w:pPr>
            <w:r>
              <w:rPr>
                <w:rFonts w:ascii="Arial" w:cs="Arial" w:eastAsia="Arial" w:hAnsi="Arial"/>
                <w:sz w:val="18"/>
                <w:szCs w:val="18"/>
                <w:color w:val="auto"/>
              </w:rPr>
              <w:t>Interest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00" w:type="dxa"/>
            <w:vAlign w:val="bottom"/>
            <w:gridSpan w:val="3"/>
          </w:tcPr>
          <w:p>
            <w:pPr>
              <w:ind w:left="140"/>
              <w:spacing w:after="0"/>
              <w:rPr>
                <w:sz w:val="20"/>
                <w:szCs w:val="20"/>
                <w:color w:val="auto"/>
              </w:rPr>
            </w:pPr>
            <w:r>
              <w:rPr>
                <w:rFonts w:ascii="Arial" w:cs="Arial" w:eastAsia="Arial" w:hAnsi="Arial"/>
                <w:sz w:val="18"/>
                <w:szCs w:val="18"/>
                <w:color w:val="auto"/>
                <w:w w:val="95"/>
              </w:rPr>
              <w:t>Pay-variable interest rate swap agreements - commercial</w:t>
            </w: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ind w:left="140"/>
              <w:spacing w:after="0"/>
              <w:rPr>
                <w:sz w:val="20"/>
                <w:szCs w:val="20"/>
                <w:color w:val="auto"/>
              </w:rPr>
            </w:pPr>
            <w:r>
              <w:rPr>
                <w:rFonts w:ascii="Arial" w:cs="Arial" w:eastAsia="Arial" w:hAnsi="Arial"/>
                <w:sz w:val="18"/>
                <w:szCs w:val="18"/>
                <w:color w:val="auto"/>
              </w:rPr>
              <w:t>income</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448</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02"/>
        </w:trPr>
        <w:tc>
          <w:tcPr>
            <w:tcW w:w="31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Interest</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3"/>
              </w:rPr>
              <w:t>Pay-fixed interest rate swap agreements</w:t>
            </w: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expense</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line="201" w:lineRule="exact"/>
              <w:rPr>
                <w:sz w:val="20"/>
                <w:szCs w:val="20"/>
                <w:color w:val="auto"/>
              </w:rPr>
            </w:pPr>
            <w:r>
              <w:rPr>
                <w:rFonts w:ascii="Arial" w:cs="Arial" w:eastAsia="Arial" w:hAnsi="Arial"/>
                <w:sz w:val="18"/>
                <w:szCs w:val="18"/>
                <w:color w:val="auto"/>
              </w:rPr>
              <w:t>Interest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60" w:type="dxa"/>
            <w:vAlign w:val="bottom"/>
          </w:tcPr>
          <w:p>
            <w:pPr>
              <w:ind w:left="140"/>
              <w:spacing w:after="0"/>
              <w:rPr>
                <w:sz w:val="20"/>
                <w:szCs w:val="20"/>
                <w:color w:val="auto"/>
              </w:rPr>
            </w:pPr>
            <w:r>
              <w:rPr>
                <w:rFonts w:ascii="Arial" w:cs="Arial" w:eastAsia="Arial" w:hAnsi="Arial"/>
                <w:sz w:val="18"/>
                <w:szCs w:val="18"/>
                <w:color w:val="auto"/>
              </w:rPr>
              <w:t>Interest rate cap agreements</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ind w:left="140"/>
              <w:spacing w:after="0"/>
              <w:rPr>
                <w:sz w:val="20"/>
                <w:szCs w:val="20"/>
                <w:color w:val="auto"/>
              </w:rPr>
            </w:pPr>
            <w:r>
              <w:rPr>
                <w:rFonts w:ascii="Arial" w:cs="Arial" w:eastAsia="Arial" w:hAnsi="Arial"/>
                <w:sz w:val="18"/>
                <w:szCs w:val="18"/>
                <w:color w:val="auto"/>
              </w:rPr>
              <w:t>expense</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gridSpan w:val="2"/>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2"/>
        </w:trPr>
        <w:tc>
          <w:tcPr>
            <w:tcW w:w="31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Interest</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Purchased options</w:t>
            </w: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expense</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2"/>
        </w:trPr>
        <w:tc>
          <w:tcPr>
            <w:tcW w:w="3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line="201" w:lineRule="exact"/>
              <w:rPr>
                <w:sz w:val="20"/>
                <w:szCs w:val="20"/>
                <w:color w:val="auto"/>
              </w:rPr>
            </w:pPr>
            <w:r>
              <w:rPr>
                <w:rFonts w:ascii="Arial" w:cs="Arial" w:eastAsia="Arial" w:hAnsi="Arial"/>
                <w:sz w:val="18"/>
                <w:szCs w:val="18"/>
                <w:color w:val="auto"/>
              </w:rPr>
              <w:t>Interest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160" w:type="dxa"/>
            <w:vAlign w:val="bottom"/>
          </w:tcPr>
          <w:p>
            <w:pPr>
              <w:ind w:left="140"/>
              <w:spacing w:after="0"/>
              <w:rPr>
                <w:sz w:val="20"/>
                <w:szCs w:val="20"/>
                <w:color w:val="auto"/>
              </w:rPr>
            </w:pPr>
            <w:r>
              <w:rPr>
                <w:rFonts w:ascii="Arial" w:cs="Arial" w:eastAsia="Arial" w:hAnsi="Arial"/>
                <w:sz w:val="18"/>
                <w:szCs w:val="18"/>
                <w:color w:val="auto"/>
              </w:rPr>
              <w:t>Written options</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ind w:left="140"/>
              <w:spacing w:after="0"/>
              <w:rPr>
                <w:sz w:val="20"/>
                <w:szCs w:val="20"/>
                <w:color w:val="auto"/>
              </w:rPr>
            </w:pPr>
            <w:r>
              <w:rPr>
                <w:rFonts w:ascii="Arial" w:cs="Arial" w:eastAsia="Arial" w:hAnsi="Arial"/>
                <w:sz w:val="18"/>
                <w:szCs w:val="18"/>
                <w:color w:val="auto"/>
              </w:rPr>
              <w:t>expense</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gridSpan w:val="2"/>
          </w:tcPr>
          <w:p>
            <w:pPr>
              <w:jc w:val="right"/>
              <w:ind w:right="1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56"/>
        </w:trPr>
        <w:tc>
          <w:tcPr>
            <w:tcW w:w="31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2,992</w:t>
            </w: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2" w:right="339" w:bottom="1440" w:gutter="0" w:footer="0" w:header="0"/>
        </w:sect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2" w:name="page43"/>
    <w:bookmarkEnd w:id="4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13"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Six Month Periods Ended June 30,</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60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gridSpan w:val="3"/>
          </w:tcPr>
          <w:p>
            <w:pPr>
              <w:jc w:val="center"/>
              <w:ind w:right="70"/>
              <w:spacing w:after="0"/>
              <w:rPr>
                <w:sz w:val="20"/>
                <w:szCs w:val="20"/>
                <w:color w:val="auto"/>
              </w:rPr>
            </w:pPr>
            <w:r>
              <w:rPr>
                <w:rFonts w:ascii="Arial" w:cs="Arial" w:eastAsia="Arial" w:hAnsi="Arial"/>
                <w:sz w:val="18"/>
                <w:szCs w:val="18"/>
                <w:color w:val="auto"/>
                <w:w w:val="93"/>
              </w:rPr>
              <w:t>Location of</w:t>
            </w:r>
          </w:p>
        </w:tc>
        <w:tc>
          <w:tcPr>
            <w:tcW w:w="6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3"/>
          </w:tcPr>
          <w:p>
            <w:pPr>
              <w:jc w:val="center"/>
              <w:ind w:right="70"/>
              <w:spacing w:after="0"/>
              <w:rPr>
                <w:sz w:val="20"/>
                <w:szCs w:val="20"/>
                <w:color w:val="auto"/>
              </w:rPr>
            </w:pPr>
            <w:r>
              <w:rPr>
                <w:rFonts w:ascii="Arial" w:cs="Arial" w:eastAsia="Arial" w:hAnsi="Arial"/>
                <w:sz w:val="18"/>
                <w:szCs w:val="18"/>
                <w:color w:val="auto"/>
                <w:w w:val="89"/>
              </w:rPr>
              <w:t>Loss</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3"/>
          </w:tcPr>
          <w:p>
            <w:pPr>
              <w:jc w:val="center"/>
              <w:ind w:right="50"/>
              <w:spacing w:after="0"/>
              <w:rPr>
                <w:sz w:val="20"/>
                <w:szCs w:val="20"/>
                <w:color w:val="auto"/>
              </w:rPr>
            </w:pPr>
            <w:r>
              <w:rPr>
                <w:rFonts w:ascii="Arial" w:cs="Arial" w:eastAsia="Arial" w:hAnsi="Arial"/>
                <w:sz w:val="18"/>
                <w:szCs w:val="18"/>
                <w:color w:val="auto"/>
                <w:w w:val="90"/>
              </w:rPr>
              <w:t>Reclassified</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3"/>
          </w:tcPr>
          <w:p>
            <w:pPr>
              <w:jc w:val="center"/>
              <w:ind w:right="70"/>
              <w:spacing w:after="0"/>
              <w:rPr>
                <w:sz w:val="20"/>
                <w:szCs w:val="20"/>
                <w:color w:val="auto"/>
              </w:rPr>
            </w:pPr>
            <w:r>
              <w:rPr>
                <w:rFonts w:ascii="Arial" w:cs="Arial" w:eastAsia="Arial" w:hAnsi="Arial"/>
                <w:sz w:val="18"/>
                <w:szCs w:val="18"/>
                <w:color w:val="auto"/>
                <w:w w:val="94"/>
              </w:rPr>
              <w:t>from</w:t>
            </w:r>
          </w:p>
        </w:tc>
        <w:tc>
          <w:tcPr>
            <w:tcW w:w="1240" w:type="dxa"/>
            <w:vAlign w:val="bottom"/>
            <w:gridSpan w:val="4"/>
          </w:tcPr>
          <w:p>
            <w:pPr>
              <w:ind w:left="580"/>
              <w:spacing w:after="0"/>
              <w:rPr>
                <w:sz w:val="20"/>
                <w:szCs w:val="20"/>
                <w:color w:val="auto"/>
              </w:rPr>
            </w:pPr>
            <w:r>
              <w:rPr>
                <w:rFonts w:ascii="Arial" w:cs="Arial" w:eastAsia="Arial" w:hAnsi="Arial"/>
                <w:sz w:val="18"/>
                <w:szCs w:val="18"/>
                <w:color w:val="auto"/>
              </w:rPr>
              <w:t>Loss</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40" w:type="dxa"/>
            <w:vAlign w:val="bottom"/>
            <w:gridSpan w:val="6"/>
          </w:tcPr>
          <w:p>
            <w:pPr>
              <w:jc w:val="center"/>
              <w:ind w:right="80"/>
              <w:spacing w:after="0"/>
              <w:rPr>
                <w:sz w:val="20"/>
                <w:szCs w:val="20"/>
                <w:color w:val="auto"/>
              </w:rPr>
            </w:pPr>
            <w:r>
              <w:rPr>
                <w:rFonts w:ascii="Arial" w:cs="Arial" w:eastAsia="Arial" w:hAnsi="Arial"/>
                <w:sz w:val="18"/>
                <w:szCs w:val="18"/>
                <w:color w:val="auto"/>
                <w:w w:val="92"/>
              </w:rPr>
              <w:t>Gain (Loss)</w:t>
            </w:r>
          </w:p>
        </w:tc>
        <w:tc>
          <w:tcPr>
            <w:tcW w:w="1380" w:type="dxa"/>
            <w:vAlign w:val="bottom"/>
            <w:gridSpan w:val="3"/>
          </w:tcPr>
          <w:p>
            <w:pPr>
              <w:jc w:val="center"/>
              <w:ind w:right="90"/>
              <w:spacing w:after="0"/>
              <w:rPr>
                <w:sz w:val="20"/>
                <w:szCs w:val="20"/>
                <w:color w:val="auto"/>
              </w:rPr>
            </w:pPr>
            <w:r>
              <w:rPr>
                <w:rFonts w:ascii="Arial" w:cs="Arial" w:eastAsia="Arial" w:hAnsi="Arial"/>
                <w:sz w:val="18"/>
                <w:szCs w:val="18"/>
                <w:color w:val="auto"/>
                <w:w w:val="92"/>
              </w:rPr>
              <w:t>Accumulated</w:t>
            </w:r>
          </w:p>
        </w:tc>
        <w:tc>
          <w:tcPr>
            <w:tcW w:w="1700" w:type="dxa"/>
            <w:vAlign w:val="bottom"/>
            <w:gridSpan w:val="6"/>
          </w:tcPr>
          <w:p>
            <w:pPr>
              <w:jc w:val="center"/>
              <w:ind w:right="200"/>
              <w:spacing w:after="0"/>
              <w:rPr>
                <w:sz w:val="20"/>
                <w:szCs w:val="20"/>
                <w:color w:val="auto"/>
              </w:rPr>
            </w:pPr>
            <w:r>
              <w:rPr>
                <w:rFonts w:ascii="Arial" w:cs="Arial" w:eastAsia="Arial" w:hAnsi="Arial"/>
                <w:sz w:val="18"/>
                <w:szCs w:val="18"/>
                <w:color w:val="auto"/>
                <w:w w:val="91"/>
              </w:rPr>
              <w:t>Reclassified from</w:t>
            </w: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40" w:type="dxa"/>
            <w:vAlign w:val="bottom"/>
            <w:gridSpan w:val="6"/>
          </w:tcPr>
          <w:p>
            <w:pPr>
              <w:jc w:val="center"/>
              <w:ind w:right="80"/>
              <w:spacing w:after="0"/>
              <w:rPr>
                <w:sz w:val="20"/>
                <w:szCs w:val="20"/>
                <w:color w:val="auto"/>
              </w:rPr>
            </w:pPr>
            <w:r>
              <w:rPr>
                <w:rFonts w:ascii="Arial" w:cs="Arial" w:eastAsia="Arial" w:hAnsi="Arial"/>
                <w:sz w:val="18"/>
                <w:szCs w:val="18"/>
                <w:color w:val="auto"/>
                <w:w w:val="89"/>
              </w:rPr>
              <w:t>Recognized in</w:t>
            </w:r>
          </w:p>
        </w:tc>
        <w:tc>
          <w:tcPr>
            <w:tcW w:w="1380" w:type="dxa"/>
            <w:vAlign w:val="bottom"/>
            <w:gridSpan w:val="3"/>
          </w:tcPr>
          <w:p>
            <w:pPr>
              <w:jc w:val="center"/>
              <w:ind w:right="70"/>
              <w:spacing w:after="0"/>
              <w:rPr>
                <w:sz w:val="20"/>
                <w:szCs w:val="20"/>
                <w:color w:val="auto"/>
              </w:rPr>
            </w:pPr>
            <w:r>
              <w:rPr>
                <w:rFonts w:ascii="Arial" w:cs="Arial" w:eastAsia="Arial" w:hAnsi="Arial"/>
                <w:sz w:val="18"/>
                <w:szCs w:val="18"/>
                <w:color w:val="auto"/>
                <w:w w:val="93"/>
              </w:rPr>
              <w:t>Other</w:t>
            </w:r>
          </w:p>
        </w:tc>
        <w:tc>
          <w:tcPr>
            <w:tcW w:w="1700" w:type="dxa"/>
            <w:vAlign w:val="bottom"/>
            <w:gridSpan w:val="6"/>
          </w:tcPr>
          <w:p>
            <w:pPr>
              <w:jc w:val="center"/>
              <w:ind w:right="200"/>
              <w:spacing w:after="0"/>
              <w:rPr>
                <w:sz w:val="20"/>
                <w:szCs w:val="20"/>
                <w:color w:val="auto"/>
              </w:rPr>
            </w:pPr>
            <w:r>
              <w:rPr>
                <w:rFonts w:ascii="Arial" w:cs="Arial" w:eastAsia="Arial" w:hAnsi="Arial"/>
                <w:sz w:val="18"/>
                <w:szCs w:val="18"/>
                <w:color w:val="auto"/>
                <w:w w:val="92"/>
              </w:rPr>
              <w:t>Accumulated Other</w:t>
            </w: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gridSpan w:val="3"/>
          </w:tcPr>
          <w:p>
            <w:pPr>
              <w:jc w:val="center"/>
              <w:spacing w:after="0"/>
              <w:rPr>
                <w:sz w:val="20"/>
                <w:szCs w:val="20"/>
                <w:color w:val="auto"/>
              </w:rPr>
            </w:pPr>
            <w:r>
              <w:rPr>
                <w:rFonts w:ascii="Arial" w:cs="Arial" w:eastAsia="Arial" w:hAnsi="Arial"/>
                <w:sz w:val="18"/>
                <w:szCs w:val="18"/>
                <w:color w:val="auto"/>
                <w:w w:val="93"/>
              </w:rPr>
              <w:t>Other</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3"/>
          </w:tcPr>
          <w:p>
            <w:pPr>
              <w:jc w:val="center"/>
              <w:ind w:right="70"/>
              <w:spacing w:after="0"/>
              <w:rPr>
                <w:sz w:val="20"/>
                <w:szCs w:val="20"/>
                <w:color w:val="auto"/>
              </w:rPr>
            </w:pPr>
            <w:r>
              <w:rPr>
                <w:rFonts w:ascii="Arial" w:cs="Arial" w:eastAsia="Arial" w:hAnsi="Arial"/>
                <w:sz w:val="18"/>
                <w:szCs w:val="18"/>
                <w:color w:val="auto"/>
                <w:w w:val="90"/>
              </w:rPr>
              <w:t>Comprehensive</w:t>
            </w:r>
          </w:p>
        </w:tc>
        <w:tc>
          <w:tcPr>
            <w:tcW w:w="1700" w:type="dxa"/>
            <w:vAlign w:val="bottom"/>
            <w:gridSpan w:val="6"/>
          </w:tcPr>
          <w:p>
            <w:pPr>
              <w:jc w:val="center"/>
              <w:ind w:right="200"/>
              <w:spacing w:after="0"/>
              <w:rPr>
                <w:sz w:val="20"/>
                <w:szCs w:val="20"/>
                <w:color w:val="auto"/>
              </w:rPr>
            </w:pPr>
            <w:r>
              <w:rPr>
                <w:rFonts w:ascii="Arial" w:cs="Arial" w:eastAsia="Arial" w:hAnsi="Arial"/>
                <w:sz w:val="18"/>
                <w:szCs w:val="18"/>
                <w:color w:val="auto"/>
                <w:w w:val="90"/>
              </w:rPr>
              <w:t>Comprehensive</w:t>
            </w: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40" w:type="dxa"/>
            <w:vAlign w:val="bottom"/>
            <w:gridSpan w:val="6"/>
          </w:tcPr>
          <w:p>
            <w:pPr>
              <w:jc w:val="center"/>
              <w:ind w:right="80"/>
              <w:spacing w:after="0"/>
              <w:rPr>
                <w:sz w:val="20"/>
                <w:szCs w:val="20"/>
                <w:color w:val="auto"/>
              </w:rPr>
            </w:pPr>
            <w:r>
              <w:rPr>
                <w:rFonts w:ascii="Arial" w:cs="Arial" w:eastAsia="Arial" w:hAnsi="Arial"/>
                <w:sz w:val="18"/>
                <w:szCs w:val="18"/>
                <w:color w:val="auto"/>
                <w:w w:val="90"/>
              </w:rPr>
              <w:t>Comprehensive</w:t>
            </w:r>
          </w:p>
        </w:tc>
        <w:tc>
          <w:tcPr>
            <w:tcW w:w="1380" w:type="dxa"/>
            <w:vAlign w:val="bottom"/>
            <w:gridSpan w:val="3"/>
          </w:tcPr>
          <w:p>
            <w:pPr>
              <w:jc w:val="right"/>
              <w:ind w:right="430"/>
              <w:spacing w:after="0"/>
              <w:rPr>
                <w:sz w:val="20"/>
                <w:szCs w:val="20"/>
                <w:color w:val="auto"/>
              </w:rPr>
            </w:pPr>
            <w:r>
              <w:rPr>
                <w:rFonts w:ascii="Arial" w:cs="Arial" w:eastAsia="Arial" w:hAnsi="Arial"/>
                <w:sz w:val="18"/>
                <w:szCs w:val="18"/>
                <w:color w:val="auto"/>
              </w:rPr>
              <w:t>Income</w:t>
            </w:r>
          </w:p>
        </w:tc>
        <w:tc>
          <w:tcPr>
            <w:tcW w:w="1240" w:type="dxa"/>
            <w:vAlign w:val="bottom"/>
            <w:gridSpan w:val="4"/>
          </w:tcPr>
          <w:p>
            <w:pPr>
              <w:jc w:val="center"/>
              <w:ind w:left="171"/>
              <w:spacing w:after="0"/>
              <w:rPr>
                <w:sz w:val="20"/>
                <w:szCs w:val="20"/>
                <w:color w:val="auto"/>
              </w:rPr>
            </w:pPr>
            <w:r>
              <w:rPr>
                <w:rFonts w:ascii="Arial" w:cs="Arial" w:eastAsia="Arial" w:hAnsi="Arial"/>
                <w:sz w:val="18"/>
                <w:szCs w:val="18"/>
                <w:color w:val="auto"/>
                <w:w w:val="91"/>
              </w:rPr>
              <w:t>Income</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3"/>
              </w:rPr>
              <w:t>Location of</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5"/>
          </w:tcPr>
          <w:p>
            <w:pPr>
              <w:jc w:val="center"/>
              <w:ind w:right="220"/>
              <w:spacing w:after="0"/>
              <w:rPr>
                <w:sz w:val="20"/>
                <w:szCs w:val="20"/>
                <w:color w:val="auto"/>
              </w:rPr>
            </w:pPr>
            <w:r>
              <w:rPr>
                <w:rFonts w:ascii="Arial" w:cs="Arial" w:eastAsia="Arial" w:hAnsi="Arial"/>
                <w:sz w:val="18"/>
                <w:szCs w:val="18"/>
                <w:color w:val="auto"/>
                <w:w w:val="92"/>
              </w:rPr>
              <w:t>Gain (Loss)</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40" w:type="dxa"/>
            <w:vAlign w:val="bottom"/>
            <w:gridSpan w:val="6"/>
          </w:tcPr>
          <w:p>
            <w:pPr>
              <w:jc w:val="center"/>
              <w:ind w:right="80"/>
              <w:spacing w:after="0"/>
              <w:rPr>
                <w:sz w:val="20"/>
                <w:szCs w:val="20"/>
                <w:color w:val="auto"/>
              </w:rPr>
            </w:pPr>
            <w:r>
              <w:rPr>
                <w:rFonts w:ascii="Arial" w:cs="Arial" w:eastAsia="Arial" w:hAnsi="Arial"/>
                <w:sz w:val="18"/>
                <w:szCs w:val="18"/>
                <w:color w:val="auto"/>
                <w:w w:val="92"/>
              </w:rPr>
              <w:t>Income (Loss)</w:t>
            </w:r>
          </w:p>
        </w:tc>
        <w:tc>
          <w:tcPr>
            <w:tcW w:w="1380" w:type="dxa"/>
            <w:vAlign w:val="bottom"/>
            <w:gridSpan w:val="3"/>
          </w:tcPr>
          <w:p>
            <w:pPr>
              <w:jc w:val="center"/>
              <w:ind w:right="70"/>
              <w:spacing w:after="0"/>
              <w:rPr>
                <w:sz w:val="20"/>
                <w:szCs w:val="20"/>
                <w:color w:val="auto"/>
              </w:rPr>
            </w:pPr>
            <w:r>
              <w:rPr>
                <w:rFonts w:ascii="Arial" w:cs="Arial" w:eastAsia="Arial" w:hAnsi="Arial"/>
                <w:sz w:val="18"/>
                <w:szCs w:val="18"/>
                <w:color w:val="auto"/>
                <w:w w:val="96"/>
              </w:rPr>
              <w:t>into Income</w:t>
            </w:r>
          </w:p>
        </w:tc>
        <w:tc>
          <w:tcPr>
            <w:tcW w:w="1240" w:type="dxa"/>
            <w:vAlign w:val="bottom"/>
            <w:gridSpan w:val="4"/>
          </w:tcPr>
          <w:p>
            <w:pPr>
              <w:jc w:val="center"/>
              <w:ind w:left="171"/>
              <w:spacing w:after="0"/>
              <w:rPr>
                <w:sz w:val="20"/>
                <w:szCs w:val="20"/>
                <w:color w:val="auto"/>
              </w:rPr>
            </w:pPr>
            <w:r>
              <w:rPr>
                <w:rFonts w:ascii="Arial" w:cs="Arial" w:eastAsia="Arial" w:hAnsi="Arial"/>
                <w:sz w:val="18"/>
                <w:szCs w:val="18"/>
                <w:color w:val="auto"/>
                <w:w w:val="92"/>
              </w:rPr>
              <w:t>into Income</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2"/>
              </w:rPr>
              <w:t>Gain (Loss)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5"/>
          </w:tcPr>
          <w:p>
            <w:pPr>
              <w:jc w:val="center"/>
              <w:ind w:right="220"/>
              <w:spacing w:after="0"/>
              <w:rPr>
                <w:sz w:val="20"/>
                <w:szCs w:val="20"/>
                <w:color w:val="auto"/>
              </w:rPr>
            </w:pPr>
            <w:r>
              <w:rPr>
                <w:rFonts w:ascii="Arial" w:cs="Arial" w:eastAsia="Arial" w:hAnsi="Arial"/>
                <w:sz w:val="18"/>
                <w:szCs w:val="18"/>
                <w:color w:val="auto"/>
                <w:w w:val="90"/>
              </w:rPr>
              <w:t>Recognized</w:t>
            </w:r>
          </w:p>
        </w:tc>
        <w:tc>
          <w:tcPr>
            <w:tcW w:w="0" w:type="dxa"/>
            <w:vAlign w:val="bottom"/>
          </w:tcPr>
          <w:p>
            <w:pPr>
              <w:spacing w:after="0"/>
              <w:rPr>
                <w:sz w:val="1"/>
                <w:szCs w:val="1"/>
                <w:color w:val="auto"/>
              </w:rPr>
            </w:pPr>
          </w:p>
        </w:tc>
      </w:tr>
      <w:tr>
        <w:trPr>
          <w:trHeight w:val="237"/>
        </w:trPr>
        <w:tc>
          <w:tcPr>
            <w:tcW w:w="3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740" w:type="dxa"/>
            <w:vAlign w:val="bottom"/>
            <w:gridSpan w:val="6"/>
          </w:tcPr>
          <w:p>
            <w:pPr>
              <w:jc w:val="center"/>
              <w:ind w:right="80"/>
              <w:spacing w:after="0"/>
              <w:rPr>
                <w:sz w:val="20"/>
                <w:szCs w:val="20"/>
                <w:color w:val="auto"/>
              </w:rPr>
            </w:pPr>
            <w:r>
              <w:rPr>
                <w:rFonts w:ascii="Arial" w:cs="Arial" w:eastAsia="Arial" w:hAnsi="Arial"/>
                <w:sz w:val="18"/>
                <w:szCs w:val="18"/>
                <w:color w:val="auto"/>
                <w:w w:val="93"/>
              </w:rPr>
              <w:t>(Effective Portion)</w:t>
            </w:r>
          </w:p>
        </w:tc>
        <w:tc>
          <w:tcPr>
            <w:tcW w:w="1380" w:type="dxa"/>
            <w:vAlign w:val="bottom"/>
            <w:gridSpan w:val="3"/>
          </w:tcPr>
          <w:p>
            <w:pPr>
              <w:jc w:val="center"/>
              <w:ind w:right="70"/>
              <w:spacing w:after="0"/>
              <w:rPr>
                <w:sz w:val="20"/>
                <w:szCs w:val="20"/>
                <w:color w:val="auto"/>
              </w:rPr>
            </w:pPr>
            <w:r>
              <w:rPr>
                <w:rFonts w:ascii="Arial" w:cs="Arial" w:eastAsia="Arial" w:hAnsi="Arial"/>
                <w:sz w:val="18"/>
                <w:szCs w:val="18"/>
                <w:color w:val="auto"/>
                <w:w w:val="93"/>
              </w:rPr>
              <w:t>(Effective</w:t>
            </w:r>
          </w:p>
        </w:tc>
        <w:tc>
          <w:tcPr>
            <w:tcW w:w="1700" w:type="dxa"/>
            <w:vAlign w:val="bottom"/>
            <w:gridSpan w:val="6"/>
          </w:tcPr>
          <w:p>
            <w:pPr>
              <w:jc w:val="center"/>
              <w:ind w:right="200"/>
              <w:spacing w:after="0"/>
              <w:rPr>
                <w:sz w:val="20"/>
                <w:szCs w:val="20"/>
                <w:color w:val="auto"/>
              </w:rPr>
            </w:pPr>
            <w:r>
              <w:rPr>
                <w:rFonts w:ascii="Arial" w:cs="Arial" w:eastAsia="Arial" w:hAnsi="Arial"/>
                <w:sz w:val="18"/>
                <w:szCs w:val="18"/>
                <w:color w:val="auto"/>
                <w:w w:val="93"/>
              </w:rPr>
              <w:t>(Effective Portion)</w:t>
            </w:r>
          </w:p>
        </w:tc>
        <w:tc>
          <w:tcPr>
            <w:tcW w:w="20" w:type="dxa"/>
            <w:vAlign w:val="bottom"/>
          </w:tcPr>
          <w:p>
            <w:pPr>
              <w:spacing w:after="0"/>
              <w:rPr>
                <w:sz w:val="20"/>
                <w:szCs w:val="20"/>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Recognized</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gridSpan w:val="5"/>
          </w:tcPr>
          <w:p>
            <w:pPr>
              <w:jc w:val="center"/>
              <w:ind w:right="220"/>
              <w:spacing w:after="0"/>
              <w:rPr>
                <w:sz w:val="20"/>
                <w:szCs w:val="20"/>
                <w:color w:val="auto"/>
              </w:rPr>
            </w:pPr>
            <w:r>
              <w:rPr>
                <w:rFonts w:ascii="Arial" w:cs="Arial" w:eastAsia="Arial" w:hAnsi="Arial"/>
                <w:sz w:val="18"/>
                <w:szCs w:val="18"/>
                <w:color w:val="auto"/>
                <w:w w:val="94"/>
              </w:rPr>
              <w:t>in Income</w:t>
            </w:r>
          </w:p>
        </w:tc>
        <w:tc>
          <w:tcPr>
            <w:tcW w:w="0" w:type="dxa"/>
            <w:vAlign w:val="bottom"/>
          </w:tcPr>
          <w:p>
            <w:pPr>
              <w:spacing w:after="0"/>
              <w:rPr>
                <w:sz w:val="1"/>
                <w:szCs w:val="1"/>
                <w:color w:val="auto"/>
              </w:rPr>
            </w:pPr>
          </w:p>
        </w:tc>
      </w:tr>
      <w:tr>
        <w:trPr>
          <w:trHeight w:val="223"/>
        </w:trPr>
        <w:tc>
          <w:tcPr>
            <w:tcW w:w="3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16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4"/>
              </w:rPr>
              <w:t>2020</w:t>
            </w:r>
          </w:p>
        </w:tc>
        <w:tc>
          <w:tcPr>
            <w:tcW w:w="80" w:type="dxa"/>
            <w:vAlign w:val="bottom"/>
          </w:tcPr>
          <w:p>
            <w:pPr>
              <w:spacing w:after="0"/>
              <w:rPr>
                <w:sz w:val="19"/>
                <w:szCs w:val="19"/>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Portion)</w:t>
            </w:r>
          </w:p>
        </w:tc>
        <w:tc>
          <w:tcPr>
            <w:tcW w:w="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2021</w:t>
            </w:r>
          </w:p>
        </w:tc>
        <w:tc>
          <w:tcPr>
            <w:tcW w:w="8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bottom w:val="single" w:sz="8" w:color="auto"/>
            </w:tcBorders>
            <w:gridSpan w:val="2"/>
          </w:tcPr>
          <w:p>
            <w:pPr>
              <w:jc w:val="right"/>
              <w:ind w:right="150"/>
              <w:spacing w:after="0"/>
              <w:rPr>
                <w:sz w:val="20"/>
                <w:szCs w:val="20"/>
                <w:color w:val="auto"/>
              </w:rPr>
            </w:pPr>
            <w:r>
              <w:rPr>
                <w:rFonts w:ascii="Arial" w:cs="Arial" w:eastAsia="Arial" w:hAnsi="Arial"/>
                <w:sz w:val="18"/>
                <w:szCs w:val="18"/>
                <w:color w:val="auto"/>
              </w:rPr>
              <w:t>2020</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in Income</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4"/>
              </w:rPr>
              <w:t>2021</w:t>
            </w:r>
          </w:p>
        </w:tc>
        <w:tc>
          <w:tcPr>
            <w:tcW w:w="160" w:type="dxa"/>
            <w:vAlign w:val="bottom"/>
            <w:tcBorders>
              <w:top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2020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0" w:type="dxa"/>
            <w:vAlign w:val="bottom"/>
            <w:vMerge w:val="restart"/>
          </w:tcPr>
          <w:p>
            <w:pPr>
              <w:spacing w:after="0"/>
              <w:rPr>
                <w:sz w:val="20"/>
                <w:szCs w:val="20"/>
                <w:color w:val="auto"/>
              </w:rPr>
            </w:pPr>
            <w:r>
              <w:rPr>
                <w:rFonts w:ascii="Arial" w:cs="Arial" w:eastAsia="Arial" w:hAnsi="Arial"/>
                <w:sz w:val="18"/>
                <w:szCs w:val="18"/>
                <w:color w:val="auto"/>
              </w:rPr>
              <w:t>Fair Value Hedges</w:t>
            </w:r>
          </w:p>
        </w:tc>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4"/>
          </w:tcPr>
          <w:p>
            <w:pPr>
              <w:ind w:left="120"/>
              <w:spacing w:after="0"/>
              <w:rPr>
                <w:sz w:val="20"/>
                <w:szCs w:val="20"/>
                <w:color w:val="auto"/>
              </w:rPr>
            </w:pPr>
            <w:r>
              <w:rPr>
                <w:rFonts w:ascii="Arial" w:cs="Arial" w:eastAsia="Arial" w:hAnsi="Arial"/>
                <w:sz w:val="18"/>
                <w:szCs w:val="18"/>
                <w:color w:val="auto"/>
                <w:w w:val="95"/>
              </w:rPr>
              <w:t>(In thousands)</w:t>
            </w: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60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20"/>
              <w:spacing w:after="0" w:line="201" w:lineRule="exact"/>
              <w:rPr>
                <w:sz w:val="20"/>
                <w:szCs w:val="20"/>
                <w:color w:val="auto"/>
              </w:rPr>
            </w:pPr>
            <w:r>
              <w:rPr>
                <w:rFonts w:ascii="Arial" w:cs="Arial" w:eastAsia="Arial" w:hAnsi="Arial"/>
                <w:sz w:val="18"/>
                <w:szCs w:val="18"/>
                <w:color w:val="auto"/>
                <w:w w:val="96"/>
              </w:rPr>
              <w:t>Interest and</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Pay-fixed interest rate swap agreement -</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fees on</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Commercial loan</w:t>
            </w:r>
          </w:p>
        </w:tc>
        <w:tc>
          <w:tcPr>
            <w:tcW w:w="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loans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260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(624)</w:t>
            </w:r>
          </w:p>
        </w:tc>
        <w:tc>
          <w:tcPr>
            <w:tcW w:w="0" w:type="dxa"/>
            <w:vAlign w:val="bottom"/>
          </w:tcPr>
          <w:p>
            <w:pPr>
              <w:spacing w:after="0"/>
              <w:rPr>
                <w:sz w:val="1"/>
                <w:szCs w:val="1"/>
                <w:color w:val="auto"/>
              </w:rPr>
            </w:pPr>
          </w:p>
        </w:tc>
      </w:tr>
      <w:tr>
        <w:trPr>
          <w:trHeight w:val="202"/>
        </w:trPr>
        <w:tc>
          <w:tcPr>
            <w:tcW w:w="3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gridSpan w:val="2"/>
          </w:tcPr>
          <w:p>
            <w:pPr>
              <w:ind w:left="20"/>
              <w:spacing w:after="0" w:line="201" w:lineRule="exact"/>
              <w:rPr>
                <w:sz w:val="20"/>
                <w:szCs w:val="20"/>
                <w:color w:val="auto"/>
              </w:rPr>
            </w:pPr>
            <w:r>
              <w:rPr>
                <w:rFonts w:ascii="Arial" w:cs="Arial" w:eastAsia="Arial" w:hAnsi="Arial"/>
                <w:sz w:val="18"/>
                <w:szCs w:val="18"/>
                <w:color w:val="auto"/>
              </w:rPr>
              <w:t>Interest on</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ind w:left="160"/>
              <w:spacing w:after="0"/>
              <w:rPr>
                <w:sz w:val="20"/>
                <w:szCs w:val="20"/>
                <w:color w:val="auto"/>
              </w:rPr>
            </w:pPr>
            <w:r>
              <w:rPr>
                <w:rFonts w:ascii="Arial" w:cs="Arial" w:eastAsia="Arial" w:hAnsi="Arial"/>
                <w:sz w:val="18"/>
                <w:szCs w:val="18"/>
                <w:color w:val="auto"/>
                <w:w w:val="99"/>
              </w:rPr>
              <w:t>securities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ind w:left="160"/>
              <w:spacing w:after="0"/>
              <w:rPr>
                <w:sz w:val="20"/>
                <w:szCs w:val="20"/>
                <w:color w:val="auto"/>
              </w:rPr>
            </w:pPr>
            <w:r>
              <w:rPr>
                <w:rFonts w:ascii="Arial" w:cs="Arial" w:eastAsia="Arial" w:hAnsi="Arial"/>
                <w:sz w:val="18"/>
                <w:szCs w:val="18"/>
                <w:color w:val="auto"/>
              </w:rPr>
              <w:t>available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ind w:left="160"/>
              <w:spacing w:after="0"/>
              <w:rPr>
                <w:sz w:val="20"/>
                <w:szCs w:val="20"/>
                <w:color w:val="auto"/>
              </w:rPr>
            </w:pPr>
            <w:r>
              <w:rPr>
                <w:rFonts w:ascii="Arial" w:cs="Arial" w:eastAsia="Arial" w:hAnsi="Arial"/>
                <w:sz w:val="18"/>
                <w:szCs w:val="18"/>
                <w:color w:val="auto"/>
              </w:rPr>
              <w:t>for sale -</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ind w:left="140"/>
              <w:spacing w:after="0"/>
              <w:rPr>
                <w:sz w:val="20"/>
                <w:szCs w:val="20"/>
                <w:color w:val="auto"/>
              </w:rPr>
            </w:pPr>
            <w:r>
              <w:rPr>
                <w:rFonts w:ascii="Arial" w:cs="Arial" w:eastAsia="Arial" w:hAnsi="Arial"/>
                <w:sz w:val="18"/>
                <w:szCs w:val="18"/>
                <w:color w:val="auto"/>
              </w:rPr>
              <w:t>Pay-fixed interest rate swap agreement -</w:t>
            </w: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ind w:left="160"/>
              <w:spacing w:after="0"/>
              <w:rPr>
                <w:sz w:val="20"/>
                <w:szCs w:val="20"/>
                <w:color w:val="auto"/>
              </w:rPr>
            </w:pPr>
            <w:r>
              <w:rPr>
                <w:rFonts w:ascii="Arial" w:cs="Arial" w:eastAsia="Arial" w:hAnsi="Arial"/>
                <w:sz w:val="18"/>
                <w:szCs w:val="18"/>
                <w:color w:val="auto"/>
              </w:rPr>
              <w:t>tax -</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600" w:type="dxa"/>
            <w:vAlign w:val="bottom"/>
          </w:tcPr>
          <w:p>
            <w:pPr>
              <w:ind w:left="260"/>
              <w:spacing w:after="0"/>
              <w:rPr>
                <w:sz w:val="20"/>
                <w:szCs w:val="20"/>
                <w:color w:val="auto"/>
              </w:rPr>
            </w:pPr>
            <w:r>
              <w:rPr>
                <w:rFonts w:ascii="Arial" w:cs="Arial" w:eastAsia="Arial" w:hAnsi="Arial"/>
                <w:sz w:val="18"/>
                <w:szCs w:val="18"/>
                <w:color w:val="auto"/>
              </w:rPr>
              <w:t>Securities available for sale</w:t>
            </w:r>
          </w:p>
        </w:tc>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Pr>
          <w:p>
            <w:pPr>
              <w:ind w:left="160"/>
              <w:spacing w:after="0"/>
              <w:rPr>
                <w:sz w:val="20"/>
                <w:szCs w:val="20"/>
                <w:color w:val="auto"/>
              </w:rPr>
            </w:pPr>
            <w:r>
              <w:rPr>
                <w:rFonts w:ascii="Arial" w:cs="Arial" w:eastAsia="Arial" w:hAnsi="Arial"/>
                <w:sz w:val="18"/>
                <w:szCs w:val="18"/>
                <w:color w:val="auto"/>
              </w:rPr>
              <w:t>exempt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2,639</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3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4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2,899</w:t>
            </w:r>
          </w:p>
        </w:tc>
        <w:tc>
          <w:tcPr>
            <w:tcW w:w="1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3600" w:type="dxa"/>
            <w:vAlign w:val="bottom"/>
          </w:tcPr>
          <w:p>
            <w:pPr>
              <w:spacing w:after="0"/>
              <w:rPr>
                <w:sz w:val="20"/>
                <w:szCs w:val="20"/>
                <w:color w:val="auto"/>
              </w:rPr>
            </w:pPr>
            <w:r>
              <w:rPr>
                <w:rFonts w:ascii="Arial" w:cs="Arial" w:eastAsia="Arial" w:hAnsi="Arial"/>
                <w:sz w:val="18"/>
                <w:szCs w:val="18"/>
                <w:color w:val="auto"/>
              </w:rPr>
              <w:t>Cash Flow Hedges</w:t>
            </w: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rate cap agreements</w:t>
            </w:r>
          </w:p>
        </w:tc>
        <w:tc>
          <w:tcPr>
            <w:tcW w:w="64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20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126 Interest expense $</w:t>
            </w:r>
          </w:p>
        </w:tc>
        <w:tc>
          <w:tcPr>
            <w:tcW w:w="7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0"/>
              </w:rPr>
              <w:t>(233)</w:t>
            </w:r>
          </w:p>
        </w:tc>
        <w:tc>
          <w:tcPr>
            <w:tcW w:w="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600" w:type="dxa"/>
            <w:vAlign w:val="bottom"/>
          </w:tcPr>
          <w:p>
            <w:pPr>
              <w:ind w:left="140"/>
              <w:spacing w:after="0"/>
              <w:rPr>
                <w:sz w:val="20"/>
                <w:szCs w:val="20"/>
                <w:color w:val="auto"/>
              </w:rPr>
            </w:pPr>
            <w:r>
              <w:rPr>
                <w:rFonts w:ascii="Arial" w:cs="Arial" w:eastAsia="Arial" w:hAnsi="Arial"/>
                <w:sz w:val="18"/>
                <w:szCs w:val="18"/>
                <w:color w:val="auto"/>
              </w:rPr>
              <w:t>Pay-fixed interest rate swap agreements</w:t>
            </w:r>
          </w:p>
        </w:tc>
        <w:tc>
          <w:tcPr>
            <w:tcW w:w="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60" w:type="dxa"/>
            <w:vAlign w:val="bottom"/>
            <w:gridSpan w:val="5"/>
          </w:tcPr>
          <w:p>
            <w:pPr>
              <w:ind w:left="280"/>
              <w:spacing w:after="0"/>
              <w:rPr>
                <w:sz w:val="20"/>
                <w:szCs w:val="20"/>
                <w:color w:val="auto"/>
              </w:rPr>
            </w:pPr>
            <w:r>
              <w:rPr>
                <w:rFonts w:ascii="Arial" w:cs="Arial" w:eastAsia="Arial" w:hAnsi="Arial"/>
                <w:sz w:val="18"/>
                <w:szCs w:val="18"/>
                <w:color w:val="auto"/>
                <w:w w:val="97"/>
              </w:rPr>
              <w:t>(454) Interest expense</w:t>
            </w:r>
          </w:p>
        </w:tc>
        <w:tc>
          <w:tcPr>
            <w:tcW w:w="7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60" w:type="dxa"/>
            <w:vAlign w:val="bottom"/>
            <w:gridSpan w:val="2"/>
          </w:tcPr>
          <w:p>
            <w:pPr>
              <w:ind w:left="60"/>
              <w:spacing w:after="0"/>
              <w:rPr>
                <w:sz w:val="20"/>
                <w:szCs w:val="20"/>
                <w:color w:val="auto"/>
              </w:rPr>
            </w:pPr>
            <w:r>
              <w:rPr>
                <w:rFonts w:ascii="Arial" w:cs="Arial" w:eastAsia="Arial" w:hAnsi="Arial"/>
                <w:sz w:val="18"/>
                <w:szCs w:val="18"/>
                <w:color w:val="auto"/>
                <w:w w:val="90"/>
              </w:rPr>
              <w:t>(103)</w:t>
            </w: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36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4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top w:val="single" w:sz="8" w:color="auto"/>
              <w:bottom w:val="single" w:sz="8" w:color="auto"/>
            </w:tcBorders>
            <w:shd w:val="clear" w:color="auto" w:fill="CCEEFF"/>
          </w:tcPr>
          <w:p>
            <w:pPr>
              <w:jc w:val="right"/>
              <w:ind w:right="432"/>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w w:val="71"/>
              </w:rPr>
              <w:t>(328)</w:t>
            </w:r>
          </w:p>
        </w:tc>
        <w:tc>
          <w:tcPr>
            <w:tcW w:w="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ind w:left="600"/>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76"/>
              </w:rPr>
              <w:t>(336)</w:t>
            </w:r>
          </w:p>
        </w:tc>
        <w:tc>
          <w:tcPr>
            <w:tcW w:w="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3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No hedge designation</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gridSpan w:val="2"/>
          </w:tcPr>
          <w:p>
            <w:pPr>
              <w:ind w:left="20"/>
              <w:spacing w:after="0" w:line="201" w:lineRule="exact"/>
              <w:rPr>
                <w:sz w:val="20"/>
                <w:szCs w:val="20"/>
                <w:color w:val="auto"/>
              </w:rPr>
            </w:pPr>
            <w:r>
              <w:rPr>
                <w:rFonts w:ascii="Arial" w:cs="Arial" w:eastAsia="Arial" w:hAnsi="Arial"/>
                <w:sz w:val="18"/>
                <w:szCs w:val="18"/>
                <w:color w:val="auto"/>
                <w:w w:val="90"/>
              </w:rPr>
              <w:t>Net gains on</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ind w:left="160"/>
              <w:spacing w:after="0"/>
              <w:rPr>
                <w:sz w:val="20"/>
                <w:szCs w:val="20"/>
                <w:color w:val="auto"/>
              </w:rPr>
            </w:pPr>
            <w:r>
              <w:rPr>
                <w:rFonts w:ascii="Arial" w:cs="Arial" w:eastAsia="Arial" w:hAnsi="Arial"/>
                <w:sz w:val="18"/>
                <w:szCs w:val="18"/>
                <w:color w:val="auto"/>
                <w:w w:val="99"/>
              </w:rPr>
              <w:t>mortgage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00" w:type="dxa"/>
            <w:vAlign w:val="bottom"/>
          </w:tcPr>
          <w:p>
            <w:pPr>
              <w:ind w:left="140"/>
              <w:spacing w:after="0"/>
              <w:rPr>
                <w:sz w:val="20"/>
                <w:szCs w:val="20"/>
                <w:color w:val="auto"/>
              </w:rPr>
            </w:pPr>
            <w:r>
              <w:rPr>
                <w:rFonts w:ascii="Arial" w:cs="Arial" w:eastAsia="Arial" w:hAnsi="Arial"/>
                <w:sz w:val="18"/>
                <w:szCs w:val="18"/>
                <w:color w:val="auto"/>
              </w:rPr>
              <w:t>Rate-lock mortgage loan commitments</w:t>
            </w:r>
          </w:p>
        </w:tc>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Pr>
          <w:p>
            <w:pPr>
              <w:ind w:left="160"/>
              <w:spacing w:after="0"/>
              <w:rPr>
                <w:sz w:val="20"/>
                <w:szCs w:val="20"/>
                <w:color w:val="auto"/>
              </w:rPr>
            </w:pPr>
            <w:r>
              <w:rPr>
                <w:rFonts w:ascii="Arial" w:cs="Arial" w:eastAsia="Arial" w:hAnsi="Arial"/>
                <w:sz w:val="18"/>
                <w:szCs w:val="18"/>
                <w:color w:val="auto"/>
              </w:rPr>
              <w:t>loans</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1"/>
              <w:spacing w:after="0"/>
              <w:rPr>
                <w:sz w:val="20"/>
                <w:szCs w:val="20"/>
                <w:color w:val="auto"/>
              </w:rPr>
            </w:pPr>
            <w:r>
              <w:rPr>
                <w:rFonts w:ascii="Arial" w:cs="Arial" w:eastAsia="Arial" w:hAnsi="Arial"/>
                <w:sz w:val="18"/>
                <w:szCs w:val="18"/>
                <w:color w:val="auto"/>
              </w:rPr>
              <w:t>(2,664)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5,848</w:t>
            </w:r>
          </w:p>
        </w:tc>
        <w:tc>
          <w:tcPr>
            <w:tcW w:w="0" w:type="dxa"/>
            <w:vAlign w:val="bottom"/>
          </w:tcPr>
          <w:p>
            <w:pPr>
              <w:spacing w:after="0"/>
              <w:rPr>
                <w:sz w:val="1"/>
                <w:szCs w:val="1"/>
                <w:color w:val="auto"/>
              </w:rPr>
            </w:pPr>
          </w:p>
        </w:tc>
      </w:tr>
      <w:tr>
        <w:trPr>
          <w:trHeight w:val="202"/>
        </w:trPr>
        <w:tc>
          <w:tcPr>
            <w:tcW w:w="3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20"/>
              <w:spacing w:after="0" w:line="201" w:lineRule="exact"/>
              <w:rPr>
                <w:sz w:val="20"/>
                <w:szCs w:val="20"/>
                <w:color w:val="auto"/>
              </w:rPr>
            </w:pPr>
            <w:r>
              <w:rPr>
                <w:rFonts w:ascii="Arial" w:cs="Arial" w:eastAsia="Arial" w:hAnsi="Arial"/>
                <w:sz w:val="18"/>
                <w:szCs w:val="18"/>
                <w:color w:val="auto"/>
                <w:w w:val="90"/>
              </w:rPr>
              <w:t>Net gains on</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9"/>
              </w:rPr>
              <w:t>mortgage</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0"/>
              </w:rPr>
              <w:t>Mandatory commitments to sell mortgage loans</w:t>
            </w:r>
          </w:p>
        </w:tc>
        <w:tc>
          <w:tcPr>
            <w:tcW w:w="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loans</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810</w:t>
            </w:r>
          </w:p>
        </w:tc>
        <w:tc>
          <w:tcPr>
            <w:tcW w:w="14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(482)</w:t>
            </w:r>
          </w:p>
        </w:tc>
        <w:tc>
          <w:tcPr>
            <w:tcW w:w="0" w:type="dxa"/>
            <w:vAlign w:val="bottom"/>
          </w:tcPr>
          <w:p>
            <w:pPr>
              <w:spacing w:after="0"/>
              <w:rPr>
                <w:sz w:val="1"/>
                <w:szCs w:val="1"/>
                <w:color w:val="auto"/>
              </w:rPr>
            </w:pPr>
          </w:p>
        </w:tc>
      </w:tr>
      <w:tr>
        <w:trPr>
          <w:trHeight w:val="202"/>
        </w:trPr>
        <w:tc>
          <w:tcPr>
            <w:tcW w:w="3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gridSpan w:val="2"/>
          </w:tcPr>
          <w:p>
            <w:pPr>
              <w:ind w:left="20"/>
              <w:spacing w:after="0" w:line="201" w:lineRule="exact"/>
              <w:rPr>
                <w:sz w:val="20"/>
                <w:szCs w:val="20"/>
                <w:color w:val="auto"/>
              </w:rPr>
            </w:pPr>
            <w:r>
              <w:rPr>
                <w:rFonts w:ascii="Arial" w:cs="Arial" w:eastAsia="Arial" w:hAnsi="Arial"/>
                <w:sz w:val="18"/>
                <w:szCs w:val="18"/>
                <w:color w:val="auto"/>
                <w:w w:val="90"/>
              </w:rPr>
              <w:t>Net gains on</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ind w:left="160"/>
              <w:spacing w:after="0"/>
              <w:rPr>
                <w:sz w:val="20"/>
                <w:szCs w:val="20"/>
                <w:color w:val="auto"/>
              </w:rPr>
            </w:pPr>
            <w:r>
              <w:rPr>
                <w:rFonts w:ascii="Arial" w:cs="Arial" w:eastAsia="Arial" w:hAnsi="Arial"/>
                <w:sz w:val="18"/>
                <w:szCs w:val="18"/>
                <w:color w:val="auto"/>
                <w:w w:val="99"/>
              </w:rPr>
              <w:t>mortgage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00" w:type="dxa"/>
            <w:vAlign w:val="bottom"/>
          </w:tcPr>
          <w:p>
            <w:pPr>
              <w:ind w:left="140"/>
              <w:spacing w:after="0"/>
              <w:rPr>
                <w:sz w:val="20"/>
                <w:szCs w:val="20"/>
                <w:color w:val="auto"/>
              </w:rPr>
            </w:pPr>
            <w:r>
              <w:rPr>
                <w:rFonts w:ascii="Arial" w:cs="Arial" w:eastAsia="Arial" w:hAnsi="Arial"/>
                <w:sz w:val="18"/>
                <w:szCs w:val="18"/>
                <w:color w:val="auto"/>
              </w:rPr>
              <w:t>Interest rate swaption agreement</w:t>
            </w:r>
          </w:p>
        </w:tc>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Pr>
          <w:p>
            <w:pPr>
              <w:ind w:left="160"/>
              <w:spacing w:after="0"/>
              <w:rPr>
                <w:sz w:val="20"/>
                <w:szCs w:val="20"/>
                <w:color w:val="auto"/>
              </w:rPr>
            </w:pPr>
            <w:r>
              <w:rPr>
                <w:rFonts w:ascii="Arial" w:cs="Arial" w:eastAsia="Arial" w:hAnsi="Arial"/>
                <w:sz w:val="18"/>
                <w:szCs w:val="18"/>
                <w:color w:val="auto"/>
              </w:rPr>
              <w:t>loans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jc w:val="right"/>
              <w:ind w:right="21"/>
              <w:spacing w:after="0"/>
              <w:rPr>
                <w:sz w:val="20"/>
                <w:szCs w:val="20"/>
                <w:color w:val="auto"/>
              </w:rPr>
            </w:pPr>
            <w:r>
              <w:rPr>
                <w:rFonts w:ascii="Arial" w:cs="Arial" w:eastAsia="Arial" w:hAnsi="Arial"/>
                <w:sz w:val="18"/>
                <w:szCs w:val="18"/>
                <w:color w:val="auto"/>
              </w:rPr>
              <w:t>(27)</w:t>
            </w:r>
          </w:p>
        </w:tc>
        <w:tc>
          <w:tcPr>
            <w:tcW w:w="140" w:type="dxa"/>
            <w:vAlign w:val="bottom"/>
          </w:tcPr>
          <w:p>
            <w:pPr>
              <w:spacing w:after="0"/>
              <w:rPr>
                <w:sz w:val="20"/>
                <w:szCs w:val="20"/>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60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Pay-fixed interest rate swap agreements -</w:t>
            </w:r>
          </w:p>
        </w:tc>
        <w:tc>
          <w:tcPr>
            <w:tcW w:w="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20"/>
              <w:spacing w:after="0" w:line="201" w:lineRule="exact"/>
              <w:rPr>
                <w:sz w:val="20"/>
                <w:szCs w:val="20"/>
                <w:color w:val="auto"/>
              </w:rPr>
            </w:pPr>
            <w:r>
              <w:rPr>
                <w:rFonts w:ascii="Arial" w:cs="Arial" w:eastAsia="Arial" w:hAnsi="Arial"/>
                <w:sz w:val="18"/>
                <w:szCs w:val="18"/>
                <w:color w:val="auto"/>
              </w:rPr>
              <w:t>Interest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commercial</w:t>
            </w:r>
          </w:p>
        </w:tc>
        <w:tc>
          <w:tcPr>
            <w:tcW w:w="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2,827</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(7,858)</w:t>
            </w:r>
          </w:p>
        </w:tc>
        <w:tc>
          <w:tcPr>
            <w:tcW w:w="0" w:type="dxa"/>
            <w:vAlign w:val="bottom"/>
          </w:tcPr>
          <w:p>
            <w:pPr>
              <w:spacing w:after="0"/>
              <w:rPr>
                <w:sz w:val="1"/>
                <w:szCs w:val="1"/>
                <w:color w:val="auto"/>
              </w:rPr>
            </w:pPr>
          </w:p>
        </w:tc>
      </w:tr>
      <w:tr>
        <w:trPr>
          <w:trHeight w:val="202"/>
        </w:trPr>
        <w:tc>
          <w:tcPr>
            <w:tcW w:w="3600" w:type="dxa"/>
            <w:vAlign w:val="bottom"/>
          </w:tcPr>
          <w:p>
            <w:pPr>
              <w:ind w:left="140"/>
              <w:spacing w:after="0" w:line="201" w:lineRule="exact"/>
              <w:rPr>
                <w:sz w:val="20"/>
                <w:szCs w:val="20"/>
                <w:color w:val="auto"/>
              </w:rPr>
            </w:pPr>
            <w:r>
              <w:rPr>
                <w:rFonts w:ascii="Arial" w:cs="Arial" w:eastAsia="Arial" w:hAnsi="Arial"/>
                <w:sz w:val="18"/>
                <w:szCs w:val="18"/>
                <w:color w:val="auto"/>
                <w:w w:val="96"/>
              </w:rPr>
              <w:t>Pay-variable interest rate swap agreements -</w:t>
            </w: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gridSpan w:val="2"/>
          </w:tcPr>
          <w:p>
            <w:pPr>
              <w:ind w:left="20"/>
              <w:spacing w:after="0" w:line="201" w:lineRule="exact"/>
              <w:rPr>
                <w:sz w:val="20"/>
                <w:szCs w:val="20"/>
                <w:color w:val="auto"/>
              </w:rPr>
            </w:pPr>
            <w:r>
              <w:rPr>
                <w:rFonts w:ascii="Arial" w:cs="Arial" w:eastAsia="Arial" w:hAnsi="Arial"/>
                <w:sz w:val="18"/>
                <w:szCs w:val="18"/>
                <w:color w:val="auto"/>
              </w:rPr>
              <w:t>Interest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00" w:type="dxa"/>
            <w:vAlign w:val="bottom"/>
          </w:tcPr>
          <w:p>
            <w:pPr>
              <w:ind w:left="260"/>
              <w:spacing w:after="0"/>
              <w:rPr>
                <w:sz w:val="20"/>
                <w:szCs w:val="20"/>
                <w:color w:val="auto"/>
              </w:rPr>
            </w:pPr>
            <w:r>
              <w:rPr>
                <w:rFonts w:ascii="Arial" w:cs="Arial" w:eastAsia="Arial" w:hAnsi="Arial"/>
                <w:sz w:val="18"/>
                <w:szCs w:val="18"/>
                <w:color w:val="auto"/>
              </w:rPr>
              <w:t>commercial</w:t>
            </w:r>
          </w:p>
        </w:tc>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Pr>
          <w:p>
            <w:pPr>
              <w:ind w:left="160"/>
              <w:spacing w:after="0"/>
              <w:rPr>
                <w:sz w:val="20"/>
                <w:szCs w:val="20"/>
                <w:color w:val="auto"/>
              </w:rPr>
            </w:pPr>
            <w:r>
              <w:rPr>
                <w:rFonts w:ascii="Arial" w:cs="Arial" w:eastAsia="Arial" w:hAnsi="Arial"/>
                <w:sz w:val="18"/>
                <w:szCs w:val="18"/>
                <w:color w:val="auto"/>
              </w:rPr>
              <w:t>income</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jc w:val="right"/>
              <w:ind w:right="21"/>
              <w:spacing w:after="0"/>
              <w:rPr>
                <w:sz w:val="20"/>
                <w:szCs w:val="20"/>
                <w:color w:val="auto"/>
              </w:rPr>
            </w:pPr>
            <w:r>
              <w:rPr>
                <w:rFonts w:ascii="Arial" w:cs="Arial" w:eastAsia="Arial" w:hAnsi="Arial"/>
                <w:sz w:val="18"/>
                <w:szCs w:val="18"/>
                <w:color w:val="auto"/>
              </w:rPr>
              <w:t>(2,827)</w:t>
            </w:r>
          </w:p>
        </w:tc>
        <w:tc>
          <w:tcPr>
            <w:tcW w:w="140" w:type="dxa"/>
            <w:vAlign w:val="bottom"/>
          </w:tcPr>
          <w:p>
            <w:pPr>
              <w:spacing w:after="0"/>
              <w:rPr>
                <w:sz w:val="20"/>
                <w:szCs w:val="20"/>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7,858</w:t>
            </w:r>
          </w:p>
        </w:tc>
        <w:tc>
          <w:tcPr>
            <w:tcW w:w="0" w:type="dxa"/>
            <w:vAlign w:val="bottom"/>
          </w:tcPr>
          <w:p>
            <w:pPr>
              <w:spacing w:after="0"/>
              <w:rPr>
                <w:sz w:val="1"/>
                <w:szCs w:val="1"/>
                <w:color w:val="auto"/>
              </w:rPr>
            </w:pPr>
          </w:p>
        </w:tc>
      </w:tr>
      <w:tr>
        <w:trPr>
          <w:trHeight w:val="202"/>
        </w:trPr>
        <w:tc>
          <w:tcPr>
            <w:tcW w:w="3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20"/>
              <w:spacing w:after="0" w:line="201" w:lineRule="exact"/>
              <w:rPr>
                <w:sz w:val="20"/>
                <w:szCs w:val="20"/>
                <w:color w:val="auto"/>
              </w:rPr>
            </w:pPr>
            <w:r>
              <w:rPr>
                <w:rFonts w:ascii="Arial" w:cs="Arial" w:eastAsia="Arial" w:hAnsi="Arial"/>
                <w:sz w:val="18"/>
                <w:szCs w:val="18"/>
                <w:color w:val="auto"/>
              </w:rPr>
              <w:t>Interest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Pay-fixed interest rate swap agreements</w:t>
            </w:r>
          </w:p>
        </w:tc>
        <w:tc>
          <w:tcPr>
            <w:tcW w:w="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expense</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238</w:t>
            </w:r>
          </w:p>
        </w:tc>
        <w:tc>
          <w:tcPr>
            <w:tcW w:w="14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gridSpan w:val="2"/>
          </w:tcPr>
          <w:p>
            <w:pPr>
              <w:ind w:left="20"/>
              <w:spacing w:after="0" w:line="201" w:lineRule="exact"/>
              <w:rPr>
                <w:sz w:val="20"/>
                <w:szCs w:val="20"/>
                <w:color w:val="auto"/>
              </w:rPr>
            </w:pPr>
            <w:r>
              <w:rPr>
                <w:rFonts w:ascii="Arial" w:cs="Arial" w:eastAsia="Arial" w:hAnsi="Arial"/>
                <w:sz w:val="18"/>
                <w:szCs w:val="18"/>
                <w:color w:val="auto"/>
              </w:rPr>
              <w:t>Interest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00" w:type="dxa"/>
            <w:vAlign w:val="bottom"/>
          </w:tcPr>
          <w:p>
            <w:pPr>
              <w:ind w:left="140"/>
              <w:spacing w:after="0"/>
              <w:rPr>
                <w:sz w:val="20"/>
                <w:szCs w:val="20"/>
                <w:color w:val="auto"/>
              </w:rPr>
            </w:pPr>
            <w:r>
              <w:rPr>
                <w:rFonts w:ascii="Arial" w:cs="Arial" w:eastAsia="Arial" w:hAnsi="Arial"/>
                <w:sz w:val="18"/>
                <w:szCs w:val="18"/>
                <w:color w:val="auto"/>
              </w:rPr>
              <w:t>Interest rate cap agreements</w:t>
            </w:r>
          </w:p>
        </w:tc>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Pr>
          <w:p>
            <w:pPr>
              <w:ind w:left="160"/>
              <w:spacing w:after="0"/>
              <w:rPr>
                <w:sz w:val="20"/>
                <w:szCs w:val="20"/>
                <w:color w:val="auto"/>
              </w:rPr>
            </w:pPr>
            <w:r>
              <w:rPr>
                <w:rFonts w:ascii="Arial" w:cs="Arial" w:eastAsia="Arial" w:hAnsi="Arial"/>
                <w:sz w:val="18"/>
                <w:szCs w:val="18"/>
                <w:color w:val="auto"/>
              </w:rPr>
              <w:t>expense</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2"/>
        </w:trPr>
        <w:tc>
          <w:tcPr>
            <w:tcW w:w="3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20"/>
              <w:spacing w:after="0" w:line="201" w:lineRule="exact"/>
              <w:rPr>
                <w:sz w:val="20"/>
                <w:szCs w:val="20"/>
                <w:color w:val="auto"/>
              </w:rPr>
            </w:pPr>
            <w:r>
              <w:rPr>
                <w:rFonts w:ascii="Arial" w:cs="Arial" w:eastAsia="Arial" w:hAnsi="Arial"/>
                <w:sz w:val="18"/>
                <w:szCs w:val="18"/>
                <w:color w:val="auto"/>
              </w:rPr>
              <w:t>Interest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Purchased options</w:t>
            </w:r>
          </w:p>
        </w:tc>
        <w:tc>
          <w:tcPr>
            <w:tcW w:w="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expense</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02"/>
        </w:trPr>
        <w:tc>
          <w:tcPr>
            <w:tcW w:w="3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gridSpan w:val="2"/>
          </w:tcPr>
          <w:p>
            <w:pPr>
              <w:ind w:left="20"/>
              <w:spacing w:after="0" w:line="201" w:lineRule="exact"/>
              <w:rPr>
                <w:sz w:val="20"/>
                <w:szCs w:val="20"/>
                <w:color w:val="auto"/>
              </w:rPr>
            </w:pPr>
            <w:r>
              <w:rPr>
                <w:rFonts w:ascii="Arial" w:cs="Arial" w:eastAsia="Arial" w:hAnsi="Arial"/>
                <w:sz w:val="18"/>
                <w:szCs w:val="18"/>
                <w:color w:val="auto"/>
              </w:rPr>
              <w:t>Interest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600" w:type="dxa"/>
            <w:vAlign w:val="bottom"/>
          </w:tcPr>
          <w:p>
            <w:pPr>
              <w:ind w:left="140"/>
              <w:spacing w:after="0"/>
              <w:rPr>
                <w:sz w:val="20"/>
                <w:szCs w:val="20"/>
                <w:color w:val="auto"/>
              </w:rPr>
            </w:pPr>
            <w:r>
              <w:rPr>
                <w:rFonts w:ascii="Arial" w:cs="Arial" w:eastAsia="Arial" w:hAnsi="Arial"/>
                <w:sz w:val="18"/>
                <w:szCs w:val="18"/>
                <w:color w:val="auto"/>
              </w:rPr>
              <w:t>Written options</w:t>
            </w:r>
          </w:p>
        </w:tc>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Pr>
          <w:p>
            <w:pPr>
              <w:ind w:left="160"/>
              <w:spacing w:after="0"/>
              <w:rPr>
                <w:sz w:val="20"/>
                <w:szCs w:val="20"/>
                <w:color w:val="auto"/>
              </w:rPr>
            </w:pPr>
            <w:r>
              <w:rPr>
                <w:rFonts w:ascii="Arial" w:cs="Arial" w:eastAsia="Arial" w:hAnsi="Arial"/>
                <w:sz w:val="18"/>
                <w:szCs w:val="18"/>
                <w:color w:val="auto"/>
              </w:rPr>
              <w:t>expense</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jc w:val="right"/>
              <w:ind w:right="21"/>
              <w:spacing w:after="0"/>
              <w:rPr>
                <w:sz w:val="20"/>
                <w:szCs w:val="20"/>
                <w:color w:val="auto"/>
              </w:rPr>
            </w:pPr>
            <w:r>
              <w:rPr>
                <w:rFonts w:ascii="Arial" w:cs="Arial" w:eastAsia="Arial" w:hAnsi="Arial"/>
                <w:sz w:val="18"/>
                <w:szCs w:val="18"/>
                <w:color w:val="auto"/>
              </w:rPr>
              <w:t>(29)</w:t>
            </w:r>
          </w:p>
        </w:tc>
        <w:tc>
          <w:tcPr>
            <w:tcW w:w="140" w:type="dxa"/>
            <w:vAlign w:val="bottom"/>
          </w:tcPr>
          <w:p>
            <w:pPr>
              <w:spacing w:after="0"/>
              <w:rPr>
                <w:sz w:val="20"/>
                <w:szCs w:val="20"/>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56"/>
        </w:trPr>
        <w:tc>
          <w:tcPr>
            <w:tcW w:w="36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4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(1,632</w:t>
            </w:r>
          </w:p>
        </w:tc>
        <w:tc>
          <w:tcPr>
            <w:tcW w:w="1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5,322</w:t>
            </w: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99"/>
        </w:trPr>
        <w:tc>
          <w:tcPr>
            <w:tcW w:w="3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jc w:val="right"/>
              <w:ind w:right="750"/>
              <w:spacing w:after="0"/>
              <w:rPr>
                <w:sz w:val="20"/>
                <w:szCs w:val="20"/>
                <w:color w:val="auto"/>
              </w:rPr>
            </w:pPr>
            <w:r>
              <w:rPr>
                <w:rFonts w:ascii="Arial" w:cs="Arial" w:eastAsia="Arial" w:hAnsi="Arial"/>
                <w:sz w:val="18"/>
                <w:szCs w:val="18"/>
                <w:color w:val="auto"/>
              </w:rPr>
              <w:t>42</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360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2" w:right="339" w:bottom="1440" w:gutter="0" w:footer="0" w:header="0"/>
        </w:sectPr>
      </w:pPr>
    </w:p>
    <w:bookmarkStart w:id="43" w:name="page44"/>
    <w:bookmarkEnd w:id="4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80" w:type="dxa"/>
            <w:vAlign w:val="bottom"/>
            <w:gridSpan w:val="3"/>
          </w:tcPr>
          <w:p>
            <w:pPr>
              <w:spacing w:after="0"/>
              <w:rPr>
                <w:sz w:val="20"/>
                <w:szCs w:val="20"/>
                <w:color w:val="auto"/>
              </w:rPr>
            </w:pPr>
            <w:r>
              <w:rPr>
                <w:rFonts w:ascii="Arial" w:cs="Arial" w:eastAsia="Arial" w:hAnsi="Arial"/>
                <w:sz w:val="18"/>
                <w:szCs w:val="18"/>
                <w:color w:val="auto"/>
              </w:rPr>
              <w:t>7.  Goodwill and Other Intangibles</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79"/>
        </w:trPr>
        <w:tc>
          <w:tcPr>
            <w:tcW w:w="5980" w:type="dxa"/>
            <w:vAlign w:val="bottom"/>
            <w:gridSpan w:val="3"/>
          </w:tcPr>
          <w:p>
            <w:pPr>
              <w:spacing w:after="0"/>
              <w:rPr>
                <w:sz w:val="20"/>
                <w:szCs w:val="20"/>
                <w:color w:val="auto"/>
              </w:rPr>
            </w:pPr>
            <w:r>
              <w:rPr>
                <w:rFonts w:ascii="Arial" w:cs="Arial" w:eastAsia="Arial" w:hAnsi="Arial"/>
                <w:sz w:val="18"/>
                <w:szCs w:val="18"/>
                <w:color w:val="auto"/>
              </w:rPr>
              <w:t>The following table summarizes intangible assets, net of amortization:</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6"/>
        </w:trPr>
        <w:tc>
          <w:tcPr>
            <w:tcW w:w="3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3"/>
          </w:tcPr>
          <w:p>
            <w:pPr>
              <w:jc w:val="right"/>
              <w:ind w:right="56"/>
              <w:spacing w:after="0"/>
              <w:rPr>
                <w:sz w:val="20"/>
                <w:szCs w:val="20"/>
                <w:color w:val="auto"/>
              </w:rPr>
            </w:pPr>
            <w:r>
              <w:rPr>
                <w:rFonts w:ascii="Arial" w:cs="Arial" w:eastAsia="Arial" w:hAnsi="Arial"/>
                <w:sz w:val="18"/>
                <w:szCs w:val="18"/>
                <w:color w:val="auto"/>
              </w:rPr>
              <w:t>June 30, 2021</w:t>
            </w:r>
          </w:p>
        </w:tc>
        <w:tc>
          <w:tcPr>
            <w:tcW w:w="6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December 31, 2020</w:t>
            </w:r>
          </w:p>
        </w:tc>
        <w:tc>
          <w:tcPr>
            <w:tcW w:w="4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2"/>
        </w:trPr>
        <w:tc>
          <w:tcPr>
            <w:tcW w:w="3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center"/>
              <w:ind w:right="400"/>
              <w:spacing w:after="0" w:line="201" w:lineRule="exact"/>
              <w:rPr>
                <w:sz w:val="20"/>
                <w:szCs w:val="20"/>
                <w:color w:val="auto"/>
              </w:rPr>
            </w:pPr>
            <w:r>
              <w:rPr>
                <w:rFonts w:ascii="Arial" w:cs="Arial" w:eastAsia="Arial" w:hAnsi="Arial"/>
                <w:sz w:val="18"/>
                <w:szCs w:val="18"/>
                <w:color w:val="auto"/>
                <w:w w:val="87"/>
              </w:rPr>
              <w:t>Gross</w:t>
            </w:r>
          </w:p>
        </w:tc>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center"/>
              <w:ind w:right="380"/>
              <w:spacing w:after="0" w:line="201" w:lineRule="exact"/>
              <w:rPr>
                <w:sz w:val="20"/>
                <w:szCs w:val="20"/>
                <w:color w:val="auto"/>
              </w:rPr>
            </w:pPr>
            <w:r>
              <w:rPr>
                <w:rFonts w:ascii="Arial" w:cs="Arial" w:eastAsia="Arial" w:hAnsi="Arial"/>
                <w:sz w:val="18"/>
                <w:szCs w:val="18"/>
                <w:color w:val="auto"/>
                <w:w w:val="87"/>
              </w:rPr>
              <w:t>Gross</w:t>
            </w: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8"/>
                <w:szCs w:val="18"/>
                <w:color w:val="auto"/>
                <w:w w:val="94"/>
              </w:rPr>
              <w:t>Carrying</w:t>
            </w:r>
          </w:p>
        </w:tc>
        <w:tc>
          <w:tcPr>
            <w:tcW w:w="1340" w:type="dxa"/>
            <w:vAlign w:val="bottom"/>
            <w:gridSpan w:val="3"/>
          </w:tcPr>
          <w:p>
            <w:pPr>
              <w:ind w:left="80"/>
              <w:spacing w:after="0"/>
              <w:rPr>
                <w:sz w:val="20"/>
                <w:szCs w:val="20"/>
                <w:color w:val="auto"/>
              </w:rPr>
            </w:pPr>
            <w:r>
              <w:rPr>
                <w:rFonts w:ascii="Arial" w:cs="Arial" w:eastAsia="Arial" w:hAnsi="Arial"/>
                <w:sz w:val="18"/>
                <w:szCs w:val="18"/>
                <w:color w:val="auto"/>
              </w:rPr>
              <w:t>Accumulated</w:t>
            </w:r>
          </w:p>
        </w:tc>
        <w:tc>
          <w:tcPr>
            <w:tcW w:w="160" w:type="dxa"/>
            <w:vAlign w:val="bottom"/>
          </w:tcPr>
          <w:p>
            <w:pPr>
              <w:spacing w:after="0"/>
              <w:rPr>
                <w:sz w:val="18"/>
                <w:szCs w:val="18"/>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8"/>
                <w:szCs w:val="18"/>
                <w:color w:val="auto"/>
                <w:w w:val="94"/>
              </w:rPr>
              <w:t>Carrying</w:t>
            </w:r>
          </w:p>
        </w:tc>
        <w:tc>
          <w:tcPr>
            <w:tcW w:w="1220" w:type="dxa"/>
            <w:vAlign w:val="bottom"/>
            <w:gridSpan w:val="3"/>
          </w:tcPr>
          <w:p>
            <w:pPr>
              <w:ind w:left="80"/>
              <w:spacing w:after="0"/>
              <w:rPr>
                <w:sz w:val="20"/>
                <w:szCs w:val="20"/>
                <w:color w:val="auto"/>
              </w:rPr>
            </w:pPr>
            <w:r>
              <w:rPr>
                <w:rFonts w:ascii="Arial" w:cs="Arial" w:eastAsia="Arial" w:hAnsi="Arial"/>
                <w:sz w:val="18"/>
                <w:szCs w:val="18"/>
                <w:color w:val="auto"/>
              </w:rPr>
              <w:t>Accumulated</w:t>
            </w:r>
          </w:p>
        </w:tc>
      </w:tr>
      <w:tr>
        <w:trPr>
          <w:trHeight w:val="237"/>
        </w:trPr>
        <w:tc>
          <w:tcPr>
            <w:tcW w:w="3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6"/>
              </w:rPr>
              <w:t>Amount</w:t>
            </w:r>
          </w:p>
        </w:tc>
        <w:tc>
          <w:tcPr>
            <w:tcW w:w="260" w:type="dxa"/>
            <w:vAlign w:val="bottom"/>
          </w:tcPr>
          <w:p>
            <w:pPr>
              <w:spacing w:after="0"/>
              <w:rPr>
                <w:sz w:val="20"/>
                <w:szCs w:val="20"/>
                <w:color w:val="auto"/>
              </w:rPr>
            </w:pPr>
          </w:p>
        </w:tc>
        <w:tc>
          <w:tcPr>
            <w:tcW w:w="11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Amortization</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6"/>
              </w:rPr>
              <w:t>Amount</w:t>
            </w:r>
          </w:p>
        </w:tc>
        <w:tc>
          <w:tcPr>
            <w:tcW w:w="220" w:type="dxa"/>
            <w:vAlign w:val="bottom"/>
          </w:tcPr>
          <w:p>
            <w:pPr>
              <w:spacing w:after="0"/>
              <w:rPr>
                <w:sz w:val="20"/>
                <w:szCs w:val="20"/>
                <w:color w:val="auto"/>
              </w:rPr>
            </w:pPr>
          </w:p>
        </w:tc>
        <w:tc>
          <w:tcPr>
            <w:tcW w:w="11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Amortization</w:t>
            </w:r>
          </w:p>
        </w:tc>
        <w:tc>
          <w:tcPr>
            <w:tcW w:w="100" w:type="dxa"/>
            <w:vAlign w:val="bottom"/>
          </w:tcPr>
          <w:p>
            <w:pPr>
              <w:spacing w:after="0"/>
              <w:rPr>
                <w:sz w:val="20"/>
                <w:szCs w:val="20"/>
                <w:color w:val="auto"/>
              </w:rPr>
            </w:pPr>
          </w:p>
        </w:tc>
      </w:tr>
      <w:tr>
        <w:trPr>
          <w:trHeight w:val="230"/>
        </w:trPr>
        <w:tc>
          <w:tcPr>
            <w:tcW w:w="3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140" w:type="dxa"/>
            <w:vAlign w:val="bottom"/>
            <w:gridSpan w:val="5"/>
          </w:tcPr>
          <w:p>
            <w:pPr>
              <w:jc w:val="right"/>
              <w:ind w:right="940"/>
              <w:spacing w:after="0"/>
              <w:rPr>
                <w:sz w:val="20"/>
                <w:szCs w:val="20"/>
                <w:color w:val="auto"/>
              </w:rPr>
            </w:pPr>
            <w:r>
              <w:rPr>
                <w:rFonts w:ascii="Arial" w:cs="Arial" w:eastAsia="Arial" w:hAnsi="Arial"/>
                <w:sz w:val="18"/>
                <w:szCs w:val="18"/>
                <w:color w:val="auto"/>
              </w:rPr>
              <w:t>(In thousands)</w:t>
            </w:r>
          </w:p>
        </w:tc>
        <w:tc>
          <w:tcPr>
            <w:tcW w:w="6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2"/>
        </w:trPr>
        <w:tc>
          <w:tcPr>
            <w:tcW w:w="3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spacing w:after="0"/>
              <w:rPr>
                <w:sz w:val="17"/>
                <w:szCs w:val="17"/>
                <w:color w:val="auto"/>
              </w:rPr>
            </w:pPr>
          </w:p>
        </w:tc>
        <w:tc>
          <w:tcPr>
            <w:tcW w:w="520" w:type="dxa"/>
            <w:vAlign w:val="bottom"/>
          </w:tcPr>
          <w:p>
            <w:pPr>
              <w:spacing w:after="0"/>
              <w:rPr>
                <w:sz w:val="17"/>
                <w:szCs w:val="17"/>
                <w:color w:val="auto"/>
              </w:rPr>
            </w:pPr>
          </w:p>
        </w:tc>
        <w:tc>
          <w:tcPr>
            <w:tcW w:w="82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6"/>
        </w:trPr>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Amortized intangible assets - core deposits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11,916</w:t>
            </w:r>
          </w:p>
        </w:tc>
        <w:tc>
          <w:tcPr>
            <w:tcW w:w="520" w:type="dxa"/>
            <w:vAlign w:val="bottom"/>
            <w:shd w:val="clear" w:color="auto" w:fill="CCEEFF"/>
          </w:tcPr>
          <w:p>
            <w:pPr>
              <w:jc w:val="right"/>
              <w:ind w:right="356"/>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8,095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11,916</w:t>
            </w:r>
          </w:p>
        </w:tc>
        <w:tc>
          <w:tcPr>
            <w:tcW w:w="6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7,610</w:t>
            </w:r>
          </w:p>
        </w:tc>
        <w:tc>
          <w:tcPr>
            <w:tcW w:w="100" w:type="dxa"/>
            <w:vAlign w:val="bottom"/>
            <w:shd w:val="clear" w:color="auto" w:fill="CCEEFF"/>
          </w:tcPr>
          <w:p>
            <w:pPr>
              <w:spacing w:after="0"/>
              <w:rPr>
                <w:sz w:val="20"/>
                <w:szCs w:val="20"/>
                <w:color w:val="auto"/>
              </w:rPr>
            </w:pPr>
          </w:p>
        </w:tc>
      </w:tr>
      <w:tr>
        <w:trPr>
          <w:trHeight w:val="20"/>
        </w:trPr>
        <w:tc>
          <w:tcPr>
            <w:tcW w:w="340" w:type="dxa"/>
            <w:vAlign w:val="bottom"/>
            <w:tcBorders>
              <w:top w:val="single" w:sz="8" w:color="CCEEFF"/>
            </w:tcBorders>
            <w:shd w:val="clear" w:color="auto" w:fill="CCEEFF"/>
          </w:tcPr>
          <w:p>
            <w:pPr>
              <w:spacing w:after="0" w:line="20" w:lineRule="exact"/>
              <w:rPr>
                <w:sz w:val="1"/>
                <w:szCs w:val="1"/>
                <w:color w:val="auto"/>
              </w:rPr>
            </w:pPr>
          </w:p>
        </w:tc>
        <w:tc>
          <w:tcPr>
            <w:tcW w:w="2280" w:type="dxa"/>
            <w:vAlign w:val="bottom"/>
            <w:tcBorders>
              <w:top w:val="single" w:sz="8" w:color="CCEEFF"/>
            </w:tcBorders>
            <w:shd w:val="clear" w:color="auto" w:fill="CCEEFF"/>
          </w:tcPr>
          <w:p>
            <w:pPr>
              <w:spacing w:after="0" w:line="20" w:lineRule="exact"/>
              <w:rPr>
                <w:sz w:val="1"/>
                <w:szCs w:val="1"/>
                <w:color w:val="auto"/>
              </w:rPr>
            </w:pPr>
          </w:p>
        </w:tc>
        <w:tc>
          <w:tcPr>
            <w:tcW w:w="33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0"/>
        </w:trPr>
        <w:tc>
          <w:tcPr>
            <w:tcW w:w="5980" w:type="dxa"/>
            <w:vAlign w:val="bottom"/>
            <w:gridSpan w:val="3"/>
          </w:tcPr>
          <w:p>
            <w:pPr>
              <w:spacing w:after="0"/>
              <w:rPr>
                <w:sz w:val="20"/>
                <w:szCs w:val="20"/>
                <w:color w:val="auto"/>
              </w:rPr>
            </w:pPr>
            <w:r>
              <w:rPr>
                <w:rFonts w:ascii="Arial" w:cs="Arial" w:eastAsia="Arial" w:hAnsi="Arial"/>
                <w:sz w:val="18"/>
                <w:szCs w:val="18"/>
                <w:color w:val="auto"/>
              </w:rPr>
              <w:t>Unamortized intangible assets - goodwill</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28,300</w:t>
            </w: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28,300</w:t>
            </w: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7360" w:type="dxa"/>
            <w:vAlign w:val="bottom"/>
            <w:gridSpan w:val="6"/>
          </w:tcPr>
          <w:p>
            <w:pPr>
              <w:spacing w:after="0"/>
              <w:rPr>
                <w:sz w:val="20"/>
                <w:szCs w:val="20"/>
                <w:color w:val="auto"/>
              </w:rPr>
            </w:pPr>
            <w:r>
              <w:rPr>
                <w:rFonts w:ascii="Arial" w:cs="Arial" w:eastAsia="Arial" w:hAnsi="Arial"/>
                <w:sz w:val="18"/>
                <w:szCs w:val="18"/>
                <w:color w:val="auto"/>
              </w:rPr>
              <w:t>A summary of estimated core deposits intangible amortization at June 30, 2021 follows:</w:t>
            </w: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9"/>
        </w:trPr>
        <w:tc>
          <w:tcPr>
            <w:tcW w:w="3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gridSpan w:val="3"/>
          </w:tcPr>
          <w:p>
            <w:pPr>
              <w:ind w:left="80"/>
              <w:spacing w:after="0"/>
              <w:rPr>
                <w:sz w:val="20"/>
                <w:szCs w:val="20"/>
                <w:color w:val="auto"/>
              </w:rPr>
            </w:pPr>
            <w:r>
              <w:rPr>
                <w:rFonts w:ascii="Arial" w:cs="Arial" w:eastAsia="Arial" w:hAnsi="Arial"/>
                <w:sz w:val="18"/>
                <w:szCs w:val="18"/>
                <w:color w:val="auto"/>
                <w:w w:val="97"/>
              </w:rPr>
              <w:t>(In thousands)</w:t>
            </w:r>
          </w:p>
        </w:tc>
      </w:tr>
      <w:tr>
        <w:trPr>
          <w:trHeight w:val="216"/>
        </w:trPr>
        <w:tc>
          <w:tcPr>
            <w:tcW w:w="3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Six months ending December 31, 2021</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485</w:t>
            </w:r>
          </w:p>
        </w:tc>
      </w:tr>
      <w:tr>
        <w:trPr>
          <w:trHeight w:val="216"/>
        </w:trPr>
        <w:tc>
          <w:tcPr>
            <w:tcW w:w="2620" w:type="dxa"/>
            <w:vAlign w:val="bottom"/>
            <w:gridSpan w:val="2"/>
          </w:tcPr>
          <w:p>
            <w:pPr>
              <w:spacing w:after="0"/>
              <w:rPr>
                <w:sz w:val="20"/>
                <w:szCs w:val="20"/>
                <w:color w:val="auto"/>
              </w:rPr>
            </w:pPr>
            <w:r>
              <w:rPr>
                <w:rFonts w:ascii="Arial" w:cs="Arial" w:eastAsia="Arial" w:hAnsi="Arial"/>
                <w:sz w:val="18"/>
                <w:szCs w:val="18"/>
                <w:color w:val="auto"/>
              </w:rPr>
              <w:t>2022</w:t>
            </w:r>
          </w:p>
        </w:tc>
        <w:tc>
          <w:tcPr>
            <w:tcW w:w="3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785</w:t>
            </w:r>
          </w:p>
        </w:tc>
      </w:tr>
      <w:tr>
        <w:trPr>
          <w:trHeight w:val="216"/>
        </w:trPr>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2023</w:t>
            </w:r>
          </w:p>
        </w:tc>
        <w:tc>
          <w:tcPr>
            <w:tcW w:w="3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547</w:t>
            </w:r>
          </w:p>
        </w:tc>
      </w:tr>
      <w:tr>
        <w:trPr>
          <w:trHeight w:val="216"/>
        </w:trPr>
        <w:tc>
          <w:tcPr>
            <w:tcW w:w="2620" w:type="dxa"/>
            <w:vAlign w:val="bottom"/>
            <w:gridSpan w:val="2"/>
          </w:tcPr>
          <w:p>
            <w:pPr>
              <w:spacing w:after="0"/>
              <w:rPr>
                <w:sz w:val="20"/>
                <w:szCs w:val="20"/>
                <w:color w:val="auto"/>
              </w:rPr>
            </w:pPr>
            <w:r>
              <w:rPr>
                <w:rFonts w:ascii="Arial" w:cs="Arial" w:eastAsia="Arial" w:hAnsi="Arial"/>
                <w:sz w:val="18"/>
                <w:szCs w:val="18"/>
                <w:color w:val="auto"/>
              </w:rPr>
              <w:t>2024</w:t>
            </w:r>
          </w:p>
        </w:tc>
        <w:tc>
          <w:tcPr>
            <w:tcW w:w="3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516</w:t>
            </w:r>
          </w:p>
        </w:tc>
      </w:tr>
      <w:tr>
        <w:trPr>
          <w:trHeight w:val="216"/>
        </w:trPr>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2025</w:t>
            </w:r>
          </w:p>
        </w:tc>
        <w:tc>
          <w:tcPr>
            <w:tcW w:w="3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487</w:t>
            </w:r>
          </w:p>
        </w:tc>
      </w:tr>
      <w:tr>
        <w:trPr>
          <w:trHeight w:val="223"/>
        </w:trPr>
        <w:tc>
          <w:tcPr>
            <w:tcW w:w="5980" w:type="dxa"/>
            <w:vAlign w:val="bottom"/>
            <w:gridSpan w:val="3"/>
          </w:tcPr>
          <w:p>
            <w:pPr>
              <w:spacing w:after="0"/>
              <w:rPr>
                <w:sz w:val="20"/>
                <w:szCs w:val="20"/>
                <w:color w:val="auto"/>
              </w:rPr>
            </w:pPr>
            <w:r>
              <w:rPr>
                <w:rFonts w:ascii="Arial" w:cs="Arial" w:eastAsia="Arial" w:hAnsi="Arial"/>
                <w:sz w:val="18"/>
                <w:szCs w:val="18"/>
                <w:color w:val="auto"/>
              </w:rPr>
              <w:t>2026 and thereafter</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1,001</w:t>
            </w:r>
          </w:p>
        </w:tc>
        <w:tc>
          <w:tcPr>
            <w:tcW w:w="100" w:type="dxa"/>
            <w:vAlign w:val="bottom"/>
          </w:tcPr>
          <w:p>
            <w:pPr>
              <w:spacing w:after="0"/>
              <w:rPr>
                <w:sz w:val="19"/>
                <w:szCs w:val="19"/>
                <w:color w:val="auto"/>
              </w:rPr>
            </w:pPr>
          </w:p>
        </w:tc>
      </w:tr>
      <w:tr>
        <w:trPr>
          <w:trHeight w:val="256"/>
        </w:trPr>
        <w:tc>
          <w:tcPr>
            <w:tcW w:w="598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3,821</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8.</w:t>
      </w:r>
      <w:r>
        <w:rPr>
          <w:sz w:val="20"/>
          <w:szCs w:val="20"/>
          <w:color w:val="auto"/>
        </w:rPr>
        <w:tab/>
      </w:r>
      <w:r>
        <w:rPr>
          <w:rFonts w:ascii="Arial" w:cs="Arial" w:eastAsia="Arial" w:hAnsi="Arial"/>
          <w:sz w:val="18"/>
          <w:szCs w:val="18"/>
          <w:u w:val="single" w:color="auto"/>
          <w:color w:val="auto"/>
        </w:rPr>
        <w:t>Share Based Compensation</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maintain share based payment plans that include a non-employee director stock purchase plan and a long-term incentive plan that permits the issuance of share based compensation, including stock options and non-vested share awards. The long-term incentive plan, which is shareholder approved, permits the grant of additional share based awards for up to 0.6 million shares of common stock as of June 30, 2021. The non-employee director stock purchase plan permits the issuance of additional share based payments for up to 0.1 million shares of common stock as of June 30, 2021. Share based awards and payments are measured at fair value at the date of grant and are expensed over the requisite service period. Common shares issued upon exercise of stock options come from currently authorized but unissued shares.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A summary of restricted stock and performance stock units (“PSU”) granted pursuant to our long-term incentive plan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280" w:type="dxa"/>
            <w:vAlign w:val="bottom"/>
            <w:gridSpan w:val="4"/>
          </w:tcPr>
          <w:p>
            <w:pPr>
              <w:jc w:val="center"/>
              <w:ind w:left="150"/>
              <w:spacing w:after="0"/>
              <w:rPr>
                <w:sz w:val="20"/>
                <w:szCs w:val="20"/>
                <w:color w:val="auto"/>
              </w:rPr>
            </w:pPr>
            <w:r>
              <w:rPr>
                <w:rFonts w:ascii="Arial" w:cs="Arial" w:eastAsia="Arial" w:hAnsi="Arial"/>
                <w:sz w:val="18"/>
                <w:szCs w:val="18"/>
                <w:color w:val="auto"/>
                <w:w w:val="90"/>
              </w:rPr>
              <w:t>Three Months Ended</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40" w:type="dxa"/>
            <w:vAlign w:val="bottom"/>
            <w:gridSpan w:val="5"/>
          </w:tcPr>
          <w:p>
            <w:pPr>
              <w:jc w:val="center"/>
              <w:ind w:right="120"/>
              <w:spacing w:after="0"/>
              <w:rPr>
                <w:sz w:val="20"/>
                <w:szCs w:val="20"/>
                <w:color w:val="auto"/>
              </w:rPr>
            </w:pPr>
            <w:r>
              <w:rPr>
                <w:rFonts w:ascii="Arial" w:cs="Arial" w:eastAsia="Arial" w:hAnsi="Arial"/>
                <w:sz w:val="18"/>
                <w:szCs w:val="18"/>
                <w:color w:val="auto"/>
                <w:w w:val="91"/>
              </w:rPr>
              <w:t>Six Months Ended</w:t>
            </w:r>
          </w:p>
        </w:tc>
      </w:tr>
      <w:tr>
        <w:trPr>
          <w:trHeight w:val="237"/>
        </w:trPr>
        <w:tc>
          <w:tcPr>
            <w:tcW w:w="5980" w:type="dxa"/>
            <w:vAlign w:val="bottom"/>
          </w:tcPr>
          <w:p>
            <w:pPr>
              <w:spacing w:after="0"/>
              <w:rPr>
                <w:sz w:val="20"/>
                <w:szCs w:val="20"/>
                <w:color w:val="auto"/>
              </w:rPr>
            </w:pPr>
          </w:p>
        </w:tc>
        <w:tc>
          <w:tcPr>
            <w:tcW w:w="1660" w:type="dxa"/>
            <w:vAlign w:val="bottom"/>
            <w:tcBorders>
              <w:bottom w:val="single" w:sz="8" w:color="auto"/>
            </w:tcBorders>
            <w:gridSpan w:val="3"/>
          </w:tcPr>
          <w:p>
            <w:pPr>
              <w:jc w:val="center"/>
              <w:ind w:left="770"/>
              <w:spacing w:after="0"/>
              <w:rPr>
                <w:sz w:val="20"/>
                <w:szCs w:val="20"/>
                <w:color w:val="auto"/>
              </w:rPr>
            </w:pPr>
            <w:r>
              <w:rPr>
                <w:rFonts w:ascii="Arial" w:cs="Arial" w:eastAsia="Arial" w:hAnsi="Arial"/>
                <w:sz w:val="18"/>
                <w:szCs w:val="18"/>
                <w:color w:val="auto"/>
                <w:w w:val="86"/>
              </w:rPr>
              <w:t>June 30,</w:t>
            </w:r>
          </w:p>
        </w:tc>
        <w:tc>
          <w:tcPr>
            <w:tcW w:w="6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tcBorders>
              <w:bottom w:val="single" w:sz="8" w:color="auto"/>
            </w:tcBorders>
            <w:gridSpan w:val="3"/>
          </w:tcPr>
          <w:p>
            <w:pPr>
              <w:jc w:val="center"/>
              <w:ind w:left="750"/>
              <w:spacing w:after="0"/>
              <w:rPr>
                <w:sz w:val="20"/>
                <w:szCs w:val="20"/>
                <w:color w:val="auto"/>
              </w:rPr>
            </w:pPr>
            <w:r>
              <w:rPr>
                <w:rFonts w:ascii="Arial" w:cs="Arial" w:eastAsia="Arial" w:hAnsi="Arial"/>
                <w:sz w:val="18"/>
                <w:szCs w:val="18"/>
                <w:color w:val="auto"/>
                <w:w w:val="86"/>
              </w:rPr>
              <w:t>June 30,</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980" w:type="dxa"/>
            <w:vAlign w:val="bottom"/>
          </w:tcPr>
          <w:p>
            <w:pPr>
              <w:spacing w:after="0"/>
              <w:rPr>
                <w:sz w:val="19"/>
                <w:szCs w:val="19"/>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c>
          <w:tcPr>
            <w:tcW w:w="2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2020</w:t>
            </w:r>
          </w:p>
        </w:tc>
        <w:tc>
          <w:tcPr>
            <w:tcW w:w="2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2021</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9"/>
                <w:szCs w:val="19"/>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gridSpan w:val="2"/>
          </w:tcPr>
          <w:p>
            <w:pPr>
              <w:spacing w:after="0"/>
              <w:rPr>
                <w:sz w:val="18"/>
                <w:szCs w:val="18"/>
                <w:color w:val="auto"/>
              </w:rPr>
            </w:pPr>
          </w:p>
        </w:tc>
        <w:tc>
          <w:tcPr>
            <w:tcW w:w="132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r>
      <w:tr>
        <w:trPr>
          <w:trHeight w:val="23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10,000</w:t>
            </w:r>
          </w:p>
        </w:tc>
        <w:tc>
          <w:tcPr>
            <w:tcW w:w="2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85,584</w:t>
            </w:r>
          </w:p>
        </w:tc>
        <w:tc>
          <w:tcPr>
            <w:tcW w:w="2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52,996</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0"/>
        </w:trPr>
        <w:tc>
          <w:tcPr>
            <w:tcW w:w="5980" w:type="dxa"/>
            <w:vAlign w:val="bottom"/>
          </w:tcPr>
          <w:p>
            <w:pPr>
              <w:spacing w:after="0"/>
              <w:rPr>
                <w:sz w:val="20"/>
                <w:szCs w:val="20"/>
                <w:color w:val="auto"/>
              </w:rPr>
            </w:pPr>
            <w:r>
              <w:rPr>
                <w:rFonts w:ascii="Arial" w:cs="Arial" w:eastAsia="Arial" w:hAnsi="Arial"/>
                <w:sz w:val="18"/>
                <w:szCs w:val="18"/>
                <w:color w:val="auto"/>
              </w:rPr>
              <w:t>PSU</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23,981</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20,897</w:t>
            </w:r>
          </w:p>
        </w:tc>
      </w:tr>
      <w:tr>
        <w:trPr>
          <w:trHeight w:val="20"/>
        </w:trPr>
        <w:tc>
          <w:tcPr>
            <w:tcW w:w="59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shares of restricted stock and PSUs shown in the above table cliff vest after a period of three years. The performance feature of the PSUs is based on a comparison of our total shareholder return over the three year period starting on the grant date to the total shareholder return over that period for an index of our banking peers.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4" w:name="page45"/>
    <w:bookmarkEnd w:id="4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directors may elect to receive all or a portion of their cash retainer fees in the form of common stock (either on a current basis or on a deferred basis) pursuant to the non-employee director stock purchase plan referenced above. Shares equal in value to that portion of each director’s fees that he or she has elected to receive in stock on a current basis are issued each quarter and vest immediately. Shares issued on a deferred basis are credited at the rate of 90% of the current fair value of our common stock and vest immediately. During the six month periods ended June 30, 2021 and 2020 we issued 0.009 million and 0.011 million shares, respectively and expensed their value during those same periods.</w:t>
      </w:r>
    </w:p>
    <w:p>
      <w:pPr>
        <w:spacing w:after="0" w:line="20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Total compensation expense recognized for grants pursuant to our long-term incentive plan was $0.5 million and $0.8 million during the three and six month periods ended June 30, 2021, respectively, and was $0.4 million and $0.8 million during the same periods in 2020, respectively. The corresponding tax benefit relating to this expense was $0.1 million and $0.2 million for the three and six month periods ended June 30, 2021, respectively and $0.1 million and $0.2 million for the same periods in 2020. Total expense recognized for non-employee director share based payments was $0.09 million and $0.19 million during the three and six month periods ended June 30, 2021, respectively, and was $0.09 million and $0.17 million during the same periods in 2020, respectively. The corresponding tax benefit relating to this expense was $0.02 million and $0.04 million for the three and six month periods ended June 30, 2021, respectively and $0.02 million and $0.04 million during the same periods in 2020.</w:t>
      </w:r>
    </w:p>
    <w:p>
      <w:pPr>
        <w:spacing w:after="0" w:line="20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June 30, 2021, the total expected compensation cost related to non-vested restricted stock and PSUs not yet recognized was $2.9 million. The weighted-average period over which this amount will be recognized is 2.2 years.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outstanding stock option grants and related transactions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Weighted-</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Average</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Average</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Remaining</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Aggregated</w:t>
            </w:r>
          </w:p>
        </w:tc>
      </w:tr>
      <w:tr>
        <w:trPr>
          <w:trHeight w:val="216"/>
        </w:trPr>
        <w:tc>
          <w:tcPr>
            <w:tcW w:w="43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380" w:type="dxa"/>
            <w:vAlign w:val="bottom"/>
            <w:gridSpan w:val="3"/>
          </w:tcPr>
          <w:p>
            <w:pPr>
              <w:jc w:val="center"/>
              <w:ind w:right="260"/>
              <w:spacing w:after="0"/>
              <w:rPr>
                <w:sz w:val="20"/>
                <w:szCs w:val="20"/>
                <w:color w:val="auto"/>
              </w:rPr>
            </w:pPr>
            <w:r>
              <w:rPr>
                <w:rFonts w:ascii="Arial" w:cs="Arial" w:eastAsia="Arial" w:hAnsi="Arial"/>
                <w:sz w:val="18"/>
                <w:szCs w:val="18"/>
                <w:color w:val="auto"/>
                <w:w w:val="95"/>
              </w:rPr>
              <w:t>Number of</w:t>
            </w:r>
          </w:p>
        </w:tc>
        <w:tc>
          <w:tcPr>
            <w:tcW w:w="160" w:type="dxa"/>
            <w:vAlign w:val="bottom"/>
          </w:tcPr>
          <w:p>
            <w:pPr>
              <w:spacing w:after="0"/>
              <w:rPr>
                <w:sz w:val="18"/>
                <w:szCs w:val="18"/>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8"/>
                <w:szCs w:val="18"/>
                <w:color w:val="auto"/>
                <w:w w:val="89"/>
              </w:rPr>
              <w:t>Exercise</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Contractual</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color w:val="auto"/>
                <w:w w:val="96"/>
              </w:rPr>
              <w:t>Intrinsic</w:t>
            </w:r>
          </w:p>
        </w:tc>
      </w:tr>
      <w:tr>
        <w:trPr>
          <w:trHeight w:val="237"/>
        </w:trPr>
        <w:tc>
          <w:tcPr>
            <w:tcW w:w="43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380" w:type="dxa"/>
            <w:vAlign w:val="bottom"/>
            <w:gridSpan w:val="3"/>
          </w:tcPr>
          <w:p>
            <w:pPr>
              <w:jc w:val="center"/>
              <w:ind w:right="260"/>
              <w:spacing w:after="0"/>
              <w:rPr>
                <w:sz w:val="20"/>
                <w:szCs w:val="20"/>
                <w:color w:val="auto"/>
              </w:rPr>
            </w:pPr>
            <w:r>
              <w:rPr>
                <w:rFonts w:ascii="Arial" w:cs="Arial" w:eastAsia="Arial" w:hAnsi="Arial"/>
                <w:sz w:val="18"/>
                <w:szCs w:val="18"/>
                <w:color w:val="auto"/>
                <w:w w:val="84"/>
              </w:rPr>
              <w:t>Shares</w:t>
            </w:r>
          </w:p>
        </w:tc>
        <w:tc>
          <w:tcPr>
            <w:tcW w:w="160" w:type="dxa"/>
            <w:vAlign w:val="bottom"/>
          </w:tcPr>
          <w:p>
            <w:pPr>
              <w:spacing w:after="0"/>
              <w:rPr>
                <w:sz w:val="20"/>
                <w:szCs w:val="20"/>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color w:val="auto"/>
                <w:w w:val="87"/>
              </w:rPr>
              <w:t>Price</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Term (Years)</w:t>
            </w:r>
          </w:p>
        </w:tc>
        <w:tc>
          <w:tcPr>
            <w:tcW w:w="12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color w:val="auto"/>
                <w:w w:val="86"/>
              </w:rPr>
              <w:t>Value</w:t>
            </w:r>
          </w:p>
        </w:tc>
      </w:tr>
      <w:tr>
        <w:trPr>
          <w:trHeight w:val="216"/>
        </w:trPr>
        <w:tc>
          <w:tcPr>
            <w:tcW w:w="43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0"/>
              </w:rPr>
              <w:t>(In thousands)</w:t>
            </w:r>
          </w:p>
        </w:tc>
        <w:tc>
          <w:tcPr>
            <w:tcW w:w="100" w:type="dxa"/>
            <w:vAlign w:val="bottom"/>
          </w:tcPr>
          <w:p>
            <w:pPr>
              <w:spacing w:after="0"/>
              <w:rPr>
                <w:sz w:val="18"/>
                <w:szCs w:val="18"/>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2021</w:t>
            </w:r>
          </w:p>
        </w:tc>
        <w:tc>
          <w:tcPr>
            <w:tcW w:w="2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121,189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4.81</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380" w:type="dxa"/>
            <w:vAlign w:val="bottom"/>
          </w:tcPr>
          <w:p>
            <w:pPr>
              <w:ind w:left="140"/>
              <w:spacing w:after="0"/>
              <w:rPr>
                <w:sz w:val="20"/>
                <w:szCs w:val="20"/>
                <w:color w:val="auto"/>
              </w:rPr>
            </w:pPr>
            <w:r>
              <w:rPr>
                <w:rFonts w:ascii="Arial" w:cs="Arial" w:eastAsia="Arial" w:hAnsi="Arial"/>
                <w:sz w:val="18"/>
                <w:szCs w:val="18"/>
                <w:color w:val="auto"/>
              </w:rPr>
              <w:t>Granted</w:t>
            </w:r>
          </w:p>
        </w:tc>
        <w:tc>
          <w:tcPr>
            <w:tcW w:w="27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Exercised</w:t>
            </w:r>
          </w:p>
        </w:tc>
        <w:tc>
          <w:tcPr>
            <w:tcW w:w="298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(37,450)</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2.76</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380" w:type="dxa"/>
            <w:vAlign w:val="bottom"/>
          </w:tcPr>
          <w:p>
            <w:pPr>
              <w:ind w:left="140"/>
              <w:spacing w:after="0"/>
              <w:rPr>
                <w:sz w:val="20"/>
                <w:szCs w:val="20"/>
                <w:color w:val="auto"/>
              </w:rPr>
            </w:pPr>
            <w:r>
              <w:rPr>
                <w:rFonts w:ascii="Arial" w:cs="Arial" w:eastAsia="Arial" w:hAnsi="Arial"/>
                <w:sz w:val="18"/>
                <w:szCs w:val="18"/>
                <w:color w:val="auto"/>
              </w:rPr>
              <w:t>Forfeited</w:t>
            </w:r>
          </w:p>
        </w:tc>
        <w:tc>
          <w:tcPr>
            <w:tcW w:w="27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43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Expired</w:t>
            </w:r>
          </w:p>
        </w:tc>
        <w:tc>
          <w:tcPr>
            <w:tcW w:w="16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Outstanding at June 30, 2021</w:t>
            </w:r>
          </w:p>
        </w:tc>
        <w:tc>
          <w:tcPr>
            <w:tcW w:w="160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83,739</w:t>
            </w:r>
          </w:p>
        </w:tc>
        <w:tc>
          <w:tcPr>
            <w:tcW w:w="240" w:type="dxa"/>
            <w:vAlign w:val="bottom"/>
          </w:tcPr>
          <w:p>
            <w:pPr>
              <w:spacing w:after="0"/>
              <w:rPr>
                <w:sz w:val="18"/>
                <w:szCs w:val="18"/>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5.72</w:t>
            </w:r>
          </w:p>
        </w:tc>
        <w:tc>
          <w:tcPr>
            <w:tcW w:w="1320" w:type="dxa"/>
            <w:vAlign w:val="bottom"/>
            <w:gridSpan w:val="2"/>
          </w:tcPr>
          <w:p>
            <w:pPr>
              <w:ind w:left="880"/>
              <w:spacing w:after="0"/>
              <w:rPr>
                <w:sz w:val="20"/>
                <w:szCs w:val="20"/>
                <w:color w:val="auto"/>
              </w:rPr>
            </w:pPr>
            <w:r>
              <w:rPr>
                <w:rFonts w:ascii="Arial" w:cs="Arial" w:eastAsia="Arial" w:hAnsi="Arial"/>
                <w:sz w:val="18"/>
                <w:szCs w:val="18"/>
                <w:color w:val="auto"/>
              </w:rPr>
              <w:t>2.1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1,339</w:t>
            </w:r>
          </w:p>
        </w:tc>
      </w:tr>
      <w:tr>
        <w:trPr>
          <w:trHeight w:val="20"/>
        </w:trPr>
        <w:tc>
          <w:tcPr>
            <w:tcW w:w="43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380" w:type="dxa"/>
            <w:vAlign w:val="bottom"/>
            <w:shd w:val="clear" w:color="auto" w:fill="CCEEFF"/>
          </w:tcPr>
          <w:p>
            <w:pPr>
              <w:spacing w:after="0"/>
              <w:rPr>
                <w:sz w:val="18"/>
                <w:szCs w:val="18"/>
                <w:color w:val="auto"/>
              </w:rPr>
            </w:pPr>
          </w:p>
        </w:tc>
        <w:tc>
          <w:tcPr>
            <w:tcW w:w="2740" w:type="dxa"/>
            <w:vAlign w:val="bottom"/>
            <w:gridSpan w:val="3"/>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c>
          <w:tcPr>
            <w:tcW w:w="132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Vested and expected to vest at June 30, 2021</w:t>
            </w:r>
          </w:p>
        </w:tc>
        <w:tc>
          <w:tcPr>
            <w:tcW w:w="2740" w:type="dxa"/>
            <w:vAlign w:val="bottom"/>
            <w:gridSpan w:val="3"/>
          </w:tcPr>
          <w:p>
            <w:pPr>
              <w:jc w:val="right"/>
              <w:ind w:right="20"/>
              <w:spacing w:after="0"/>
              <w:rPr>
                <w:sz w:val="20"/>
                <w:szCs w:val="20"/>
                <w:color w:val="auto"/>
              </w:rPr>
            </w:pPr>
            <w:r>
              <w:rPr>
                <w:rFonts w:ascii="Arial" w:cs="Arial" w:eastAsia="Arial" w:hAnsi="Arial"/>
                <w:sz w:val="18"/>
                <w:szCs w:val="18"/>
                <w:color w:val="auto"/>
              </w:rPr>
              <w:t>83,739</w:t>
            </w:r>
          </w:p>
        </w:tc>
        <w:tc>
          <w:tcPr>
            <w:tcW w:w="240" w:type="dxa"/>
            <w:vAlign w:val="bottom"/>
          </w:tcPr>
          <w:p>
            <w:pPr>
              <w:spacing w:after="0"/>
              <w:rPr>
                <w:sz w:val="18"/>
                <w:szCs w:val="18"/>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5.72</w:t>
            </w:r>
          </w:p>
        </w:tc>
        <w:tc>
          <w:tcPr>
            <w:tcW w:w="1320" w:type="dxa"/>
            <w:vAlign w:val="bottom"/>
            <w:gridSpan w:val="2"/>
          </w:tcPr>
          <w:p>
            <w:pPr>
              <w:ind w:left="880"/>
              <w:spacing w:after="0"/>
              <w:rPr>
                <w:sz w:val="20"/>
                <w:szCs w:val="20"/>
                <w:color w:val="auto"/>
              </w:rPr>
            </w:pPr>
            <w:r>
              <w:rPr>
                <w:rFonts w:ascii="Arial" w:cs="Arial" w:eastAsia="Arial" w:hAnsi="Arial"/>
                <w:sz w:val="18"/>
                <w:szCs w:val="18"/>
                <w:color w:val="auto"/>
              </w:rPr>
              <w:t>2.1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1,339</w:t>
            </w:r>
          </w:p>
        </w:tc>
      </w:tr>
      <w:tr>
        <w:trPr>
          <w:trHeight w:val="20"/>
        </w:trPr>
        <w:tc>
          <w:tcPr>
            <w:tcW w:w="43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4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Exercisable at June 30, 2021</w:t>
            </w:r>
          </w:p>
        </w:tc>
        <w:tc>
          <w:tcPr>
            <w:tcW w:w="16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83,739</w:t>
            </w: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w w:val="79"/>
              </w:rPr>
              <w:t>2.1</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1,339</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398"/>
        </w:trPr>
        <w:tc>
          <w:tcPr>
            <w:tcW w:w="4380" w:type="dxa"/>
            <w:vAlign w:val="bottom"/>
          </w:tcPr>
          <w:p>
            <w:pPr>
              <w:spacing w:after="0"/>
              <w:rPr>
                <w:sz w:val="24"/>
                <w:szCs w:val="24"/>
                <w:color w:val="auto"/>
              </w:rPr>
            </w:pPr>
          </w:p>
        </w:tc>
        <w:tc>
          <w:tcPr>
            <w:tcW w:w="1600" w:type="dxa"/>
            <w:vAlign w:val="bottom"/>
          </w:tcPr>
          <w:p>
            <w:pPr>
              <w:jc w:val="right"/>
              <w:ind w:right="170"/>
              <w:spacing w:after="0"/>
              <w:rPr>
                <w:sz w:val="20"/>
                <w:szCs w:val="20"/>
                <w:color w:val="auto"/>
              </w:rPr>
            </w:pPr>
            <w:r>
              <w:rPr>
                <w:rFonts w:ascii="Arial" w:cs="Arial" w:eastAsia="Arial" w:hAnsi="Arial"/>
                <w:sz w:val="18"/>
                <w:szCs w:val="18"/>
                <w:color w:val="auto"/>
              </w:rPr>
              <w:t>44</w:t>
            </w: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1"/>
        </w:trPr>
        <w:tc>
          <w:tcPr>
            <w:tcW w:w="4380" w:type="dxa"/>
            <w:vAlign w:val="bottom"/>
            <w:tcBorders>
              <w:bottom w:val="single" w:sz="8" w:color="auto"/>
            </w:tcBorders>
          </w:tcPr>
          <w:p>
            <w:pPr>
              <w:spacing w:after="0"/>
              <w:rPr>
                <w:sz w:val="5"/>
                <w:szCs w:val="5"/>
                <w:color w:val="auto"/>
              </w:rPr>
            </w:pPr>
          </w:p>
        </w:tc>
        <w:tc>
          <w:tcPr>
            <w:tcW w:w="160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r>
    </w:tbl>
    <w:p>
      <w:pPr>
        <w:sectPr>
          <w:pgSz w:w="11900" w:h="16838" w:orient="portrait"/>
          <w:cols w:equalWidth="0" w:num="1">
            <w:col w:w="11240"/>
          </w:cols>
          <w:pgMar w:left="320" w:top="122" w:right="339" w:bottom="1440" w:gutter="0" w:footer="0" w:header="0"/>
        </w:sectPr>
      </w:pPr>
    </w:p>
    <w:bookmarkStart w:id="45" w:name="page46"/>
    <w:bookmarkEnd w:id="4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outstanding non-vested restricted stock and PSUs and related transactions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Weighted-</w:t>
            </w: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Average</w:t>
            </w:r>
          </w:p>
        </w:tc>
      </w:tr>
      <w:tr>
        <w:trPr>
          <w:trHeight w:val="216"/>
        </w:trPr>
        <w:tc>
          <w:tcPr>
            <w:tcW w:w="8680" w:type="dxa"/>
            <w:vAlign w:val="bottom"/>
          </w:tcPr>
          <w:p>
            <w:pPr>
              <w:spacing w:after="0"/>
              <w:rPr>
                <w:sz w:val="18"/>
                <w:szCs w:val="18"/>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Number</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Grant Date</w:t>
            </w:r>
          </w:p>
        </w:tc>
      </w:tr>
      <w:tr>
        <w:trPr>
          <w:trHeight w:val="237"/>
        </w:trPr>
        <w:tc>
          <w:tcPr>
            <w:tcW w:w="8680" w:type="dxa"/>
            <w:vAlign w:val="bottom"/>
          </w:tcPr>
          <w:p>
            <w:pPr>
              <w:spacing w:after="0"/>
              <w:rPr>
                <w:sz w:val="20"/>
                <w:szCs w:val="20"/>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of Shares</w:t>
            </w:r>
          </w:p>
        </w:tc>
        <w:tc>
          <w:tcPr>
            <w:tcW w:w="12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Fair Value</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2021</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207,117</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22.70</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color w:val="auto"/>
              </w:rPr>
              <w:t>Granted</w:t>
            </w:r>
          </w:p>
        </w:tc>
        <w:tc>
          <w:tcPr>
            <w:tcW w:w="1120" w:type="dxa"/>
            <w:vAlign w:val="bottom"/>
          </w:tcPr>
          <w:p>
            <w:pPr>
              <w:jc w:val="right"/>
              <w:spacing w:after="0"/>
              <w:rPr>
                <w:sz w:val="20"/>
                <w:szCs w:val="20"/>
                <w:color w:val="auto"/>
              </w:rPr>
            </w:pPr>
            <w:r>
              <w:rPr>
                <w:rFonts w:ascii="Arial" w:cs="Arial" w:eastAsia="Arial" w:hAnsi="Arial"/>
                <w:sz w:val="18"/>
                <w:szCs w:val="18"/>
                <w:color w:val="auto"/>
              </w:rPr>
              <w:t>109,565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20.45</w:t>
            </w: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Vested</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(63,982)</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23.60</w:t>
            </w:r>
          </w:p>
        </w:tc>
      </w:tr>
      <w:tr>
        <w:trPr>
          <w:trHeight w:val="223"/>
        </w:trPr>
        <w:tc>
          <w:tcPr>
            <w:tcW w:w="8680" w:type="dxa"/>
            <w:vAlign w:val="bottom"/>
          </w:tcPr>
          <w:p>
            <w:pPr>
              <w:ind w:left="140"/>
              <w:spacing w:after="0"/>
              <w:rPr>
                <w:sz w:val="20"/>
                <w:szCs w:val="20"/>
                <w:color w:val="auto"/>
              </w:rPr>
            </w:pPr>
            <w:r>
              <w:rPr>
                <w:rFonts w:ascii="Arial" w:cs="Arial" w:eastAsia="Arial" w:hAnsi="Arial"/>
                <w:sz w:val="18"/>
                <w:szCs w:val="18"/>
                <w:color w:val="auto"/>
              </w:rPr>
              <w:t>Forfeited</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(10,754)</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22.63</w:t>
            </w:r>
          </w:p>
        </w:tc>
      </w:tr>
      <w:tr>
        <w:trPr>
          <w:trHeight w:val="256"/>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June 30, 2021</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241,946</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21.45</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Certain information regarding options exercised during the periods follows:</w:t>
            </w: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5"/>
        </w:trPr>
        <w:tc>
          <w:tcPr>
            <w:tcW w:w="5980" w:type="dxa"/>
            <w:vAlign w:val="bottom"/>
          </w:tcPr>
          <w:p>
            <w:pPr>
              <w:spacing w:after="0"/>
              <w:rPr>
                <w:sz w:val="24"/>
                <w:szCs w:val="24"/>
                <w:color w:val="auto"/>
              </w:rPr>
            </w:pPr>
          </w:p>
        </w:tc>
        <w:tc>
          <w:tcPr>
            <w:tcW w:w="2260" w:type="dxa"/>
            <w:vAlign w:val="bottom"/>
            <w:gridSpan w:val="4"/>
          </w:tcPr>
          <w:p>
            <w:pPr>
              <w:jc w:val="right"/>
              <w:ind w:right="163"/>
              <w:spacing w:after="0"/>
              <w:rPr>
                <w:sz w:val="20"/>
                <w:szCs w:val="20"/>
                <w:color w:val="auto"/>
              </w:rPr>
            </w:pPr>
            <w:r>
              <w:rPr>
                <w:rFonts w:ascii="Arial" w:cs="Arial" w:eastAsia="Arial" w:hAnsi="Arial"/>
                <w:sz w:val="18"/>
                <w:szCs w:val="18"/>
                <w:color w:val="auto"/>
              </w:rPr>
              <w:t>Three Months Ended</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00" w:type="dxa"/>
            <w:vAlign w:val="bottom"/>
            <w:gridSpan w:val="5"/>
          </w:tcPr>
          <w:p>
            <w:pPr>
              <w:jc w:val="center"/>
              <w:ind w:right="360"/>
              <w:spacing w:after="0"/>
              <w:rPr>
                <w:sz w:val="20"/>
                <w:szCs w:val="20"/>
                <w:color w:val="auto"/>
              </w:rPr>
            </w:pPr>
            <w:r>
              <w:rPr>
                <w:rFonts w:ascii="Arial" w:cs="Arial" w:eastAsia="Arial" w:hAnsi="Arial"/>
                <w:sz w:val="18"/>
                <w:szCs w:val="18"/>
                <w:color w:val="auto"/>
                <w:w w:val="91"/>
              </w:rPr>
              <w:t>Six Months Ended</w:t>
            </w:r>
          </w:p>
        </w:tc>
      </w:tr>
      <w:tr>
        <w:trPr>
          <w:trHeight w:val="237"/>
        </w:trPr>
        <w:tc>
          <w:tcPr>
            <w:tcW w:w="598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ind w:left="160"/>
              <w:spacing w:after="0"/>
              <w:rPr>
                <w:sz w:val="20"/>
                <w:szCs w:val="20"/>
                <w:color w:val="auto"/>
              </w:rPr>
            </w:pPr>
            <w:r>
              <w:rPr>
                <w:rFonts w:ascii="Arial" w:cs="Arial" w:eastAsia="Arial" w:hAnsi="Arial"/>
                <w:sz w:val="18"/>
                <w:szCs w:val="18"/>
                <w:color w:val="auto"/>
              </w:rPr>
              <w:t>June 30,</w:t>
            </w:r>
          </w:p>
        </w:tc>
        <w:tc>
          <w:tcPr>
            <w:tcW w:w="2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center"/>
              <w:ind w:left="510"/>
              <w:spacing w:after="0"/>
              <w:rPr>
                <w:sz w:val="20"/>
                <w:szCs w:val="20"/>
                <w:color w:val="auto"/>
              </w:rPr>
            </w:pPr>
            <w:r>
              <w:rPr>
                <w:rFonts w:ascii="Arial" w:cs="Arial" w:eastAsia="Arial" w:hAnsi="Arial"/>
                <w:sz w:val="18"/>
                <w:szCs w:val="18"/>
                <w:color w:val="auto"/>
                <w:w w:val="86"/>
              </w:rPr>
              <w:t>June 30,</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98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34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Borders>
              <w:bottom w:val="single" w:sz="8" w:color="auto"/>
            </w:tcBorders>
          </w:tcPr>
          <w:p>
            <w:pPr>
              <w:jc w:val="right"/>
              <w:ind w:right="63"/>
              <w:spacing w:after="0"/>
              <w:rPr>
                <w:sz w:val="20"/>
                <w:szCs w:val="20"/>
                <w:color w:val="auto"/>
              </w:rPr>
            </w:pPr>
            <w:r>
              <w:rPr>
                <w:rFonts w:ascii="Arial" w:cs="Arial" w:eastAsia="Arial" w:hAnsi="Arial"/>
                <w:sz w:val="18"/>
                <w:szCs w:val="18"/>
                <w:color w:val="auto"/>
              </w:rPr>
              <w:t>2020</w:t>
            </w:r>
          </w:p>
        </w:tc>
        <w:tc>
          <w:tcPr>
            <w:tcW w:w="2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2021</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9"/>
                <w:szCs w:val="19"/>
                <w:color w:val="auto"/>
              </w:rPr>
            </w:pPr>
          </w:p>
        </w:tc>
      </w:tr>
      <w:tr>
        <w:trPr>
          <w:trHeight w:val="216"/>
        </w:trPr>
        <w:tc>
          <w:tcPr>
            <w:tcW w:w="5980" w:type="dxa"/>
            <w:vAlign w:val="bottom"/>
          </w:tcPr>
          <w:p>
            <w:pPr>
              <w:spacing w:after="0"/>
              <w:rPr>
                <w:sz w:val="18"/>
                <w:szCs w:val="18"/>
                <w:color w:val="auto"/>
              </w:rPr>
            </w:pPr>
          </w:p>
        </w:tc>
        <w:tc>
          <w:tcPr>
            <w:tcW w:w="1140" w:type="dxa"/>
            <w:vAlign w:val="bottom"/>
            <w:gridSpan w:val="2"/>
          </w:tcPr>
          <w:p>
            <w:pPr>
              <w:jc w:val="right"/>
              <w:ind w:right="110"/>
              <w:spacing w:after="0"/>
              <w:rPr>
                <w:sz w:val="20"/>
                <w:szCs w:val="20"/>
                <w:color w:val="auto"/>
              </w:rPr>
            </w:pPr>
            <w:r>
              <w:rPr>
                <w:rFonts w:ascii="Arial" w:cs="Arial" w:eastAsia="Arial" w:hAnsi="Arial"/>
                <w:sz w:val="18"/>
                <w:szCs w:val="18"/>
                <w:color w:val="auto"/>
              </w:rPr>
              <w:t>(In</w:t>
            </w:r>
          </w:p>
        </w:tc>
        <w:tc>
          <w:tcPr>
            <w:tcW w:w="1120" w:type="dxa"/>
            <w:vAlign w:val="bottom"/>
            <w:gridSpan w:val="2"/>
          </w:tcPr>
          <w:p>
            <w:pPr>
              <w:jc w:val="right"/>
              <w:ind w:right="423"/>
              <w:spacing w:after="0"/>
              <w:rPr>
                <w:sz w:val="20"/>
                <w:szCs w:val="20"/>
                <w:color w:val="auto"/>
              </w:rPr>
            </w:pPr>
            <w:r>
              <w:rPr>
                <w:rFonts w:ascii="Arial" w:cs="Arial" w:eastAsia="Arial" w:hAnsi="Arial"/>
                <w:sz w:val="17"/>
                <w:szCs w:val="17"/>
                <w:color w:val="auto"/>
                <w:w w:val="71"/>
              </w:rPr>
              <w:t>thousands)</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ind w:left="460"/>
              <w:spacing w:after="0"/>
              <w:rPr>
                <w:sz w:val="20"/>
                <w:szCs w:val="20"/>
                <w:color w:val="auto"/>
              </w:rPr>
            </w:pPr>
            <w:r>
              <w:rPr>
                <w:rFonts w:ascii="Arial" w:cs="Arial" w:eastAsia="Arial" w:hAnsi="Arial"/>
                <w:sz w:val="18"/>
                <w:szCs w:val="18"/>
                <w:color w:val="auto"/>
              </w:rPr>
              <w:t>(In</w:t>
            </w:r>
          </w:p>
        </w:tc>
        <w:tc>
          <w:tcPr>
            <w:tcW w:w="1340" w:type="dxa"/>
            <w:vAlign w:val="bottom"/>
            <w:gridSpan w:val="3"/>
          </w:tcPr>
          <w:p>
            <w:pPr>
              <w:jc w:val="right"/>
              <w:ind w:right="610"/>
              <w:spacing w:after="0"/>
              <w:rPr>
                <w:sz w:val="20"/>
                <w:szCs w:val="20"/>
                <w:color w:val="auto"/>
              </w:rPr>
            </w:pPr>
            <w:r>
              <w:rPr>
                <w:rFonts w:ascii="Arial" w:cs="Arial" w:eastAsia="Arial" w:hAnsi="Arial"/>
                <w:sz w:val="17"/>
                <w:szCs w:val="17"/>
                <w:color w:val="auto"/>
                <w:w w:val="73"/>
              </w:rPr>
              <w:t>thousands)</w:t>
            </w:r>
          </w:p>
        </w:tc>
        <w:tc>
          <w:tcPr>
            <w:tcW w:w="100" w:type="dxa"/>
            <w:vAlign w:val="bottom"/>
          </w:tcPr>
          <w:p>
            <w:pPr>
              <w:spacing w:after="0"/>
              <w:rPr>
                <w:sz w:val="18"/>
                <w:szCs w:val="18"/>
                <w:color w:val="auto"/>
              </w:rPr>
            </w:pPr>
          </w:p>
        </w:tc>
      </w:tr>
      <w:tr>
        <w:trPr>
          <w:trHeight w:val="237"/>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Intrinsic value</w:t>
            </w:r>
          </w:p>
        </w:tc>
        <w:tc>
          <w:tcPr>
            <w:tcW w:w="800" w:type="dxa"/>
            <w:vAlign w:val="bottom"/>
            <w:shd w:val="clear" w:color="auto" w:fill="CCEEFF"/>
          </w:tcPr>
          <w:p>
            <w:pPr>
              <w:jc w:val="right"/>
              <w:ind w:right="638"/>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176"/>
              <w:spacing w:after="0"/>
              <w:rPr>
                <w:sz w:val="20"/>
                <w:szCs w:val="20"/>
                <w:color w:val="auto"/>
              </w:rPr>
            </w:pPr>
            <w:r>
              <w:rPr>
                <w:rFonts w:ascii="Arial" w:cs="Arial" w:eastAsia="Arial" w:hAnsi="Arial"/>
                <w:sz w:val="18"/>
                <w:szCs w:val="18"/>
                <w:color w:val="auto"/>
                <w:w w:val="99"/>
              </w:rPr>
              <w:t>388</w:t>
            </w:r>
          </w:p>
        </w:tc>
        <w:tc>
          <w:tcPr>
            <w:tcW w:w="880" w:type="dxa"/>
            <w:vAlign w:val="bottom"/>
            <w:shd w:val="clear" w:color="auto" w:fill="CCEEFF"/>
          </w:tcPr>
          <w:p>
            <w:pPr>
              <w:jc w:val="right"/>
              <w:ind w:right="723"/>
              <w:spacing w:after="0"/>
              <w:rPr>
                <w:sz w:val="20"/>
                <w:szCs w:val="20"/>
                <w:color w:val="auto"/>
              </w:rPr>
            </w:pPr>
            <w:r>
              <w:rPr>
                <w:rFonts w:ascii="Arial" w:cs="Arial" w:eastAsia="Arial" w:hAnsi="Arial"/>
                <w:sz w:val="15"/>
                <w:szCs w:val="15"/>
                <w:color w:val="auto"/>
                <w:w w:val="71"/>
              </w:rPr>
              <w:t>$</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701</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0"/>
        </w:trPr>
        <w:tc>
          <w:tcPr>
            <w:tcW w:w="5980" w:type="dxa"/>
            <w:vAlign w:val="bottom"/>
          </w:tcPr>
          <w:p>
            <w:pPr>
              <w:spacing w:after="0"/>
              <w:rPr>
                <w:sz w:val="20"/>
                <w:szCs w:val="20"/>
                <w:color w:val="auto"/>
              </w:rPr>
            </w:pPr>
            <w:r>
              <w:rPr>
                <w:rFonts w:ascii="Arial" w:cs="Arial" w:eastAsia="Arial" w:hAnsi="Arial"/>
                <w:sz w:val="18"/>
                <w:szCs w:val="18"/>
                <w:color w:val="auto"/>
              </w:rPr>
              <w:t>Cash proceeds received</w:t>
            </w:r>
          </w:p>
        </w:tc>
        <w:tc>
          <w:tcPr>
            <w:tcW w:w="800" w:type="dxa"/>
            <w:vAlign w:val="bottom"/>
          </w:tcPr>
          <w:p>
            <w:pPr>
              <w:jc w:val="right"/>
              <w:ind w:right="638"/>
              <w:spacing w:after="0"/>
              <w:rPr>
                <w:sz w:val="20"/>
                <w:szCs w:val="20"/>
                <w:color w:val="auto"/>
              </w:rPr>
            </w:pPr>
            <w:r>
              <w:rPr>
                <w:rFonts w:ascii="Arial" w:cs="Arial" w:eastAsia="Arial" w:hAnsi="Arial"/>
                <w:sz w:val="15"/>
                <w:szCs w:val="15"/>
                <w:color w:val="auto"/>
                <w:w w:val="71"/>
              </w:rPr>
              <w:t>$</w:t>
            </w:r>
          </w:p>
        </w:tc>
        <w:tc>
          <w:tcPr>
            <w:tcW w:w="340" w:type="dxa"/>
            <w:vAlign w:val="bottom"/>
          </w:tcPr>
          <w:p>
            <w:pPr>
              <w:ind w:left="140"/>
              <w:spacing w:after="0"/>
              <w:rPr>
                <w:sz w:val="20"/>
                <w:szCs w:val="20"/>
                <w:color w:val="auto"/>
              </w:rPr>
            </w:pPr>
            <w:r>
              <w:rPr>
                <w:rFonts w:ascii="Arial" w:cs="Arial" w:eastAsia="Arial" w:hAnsi="Arial"/>
                <w:sz w:val="18"/>
                <w:szCs w:val="18"/>
                <w:color w:val="auto"/>
                <w:w w:val="79"/>
              </w:rPr>
              <w:t>44</w:t>
            </w:r>
          </w:p>
        </w:tc>
        <w:tc>
          <w:tcPr>
            <w:tcW w:w="240" w:type="dxa"/>
            <w:vAlign w:val="bottom"/>
          </w:tcPr>
          <w:p>
            <w:pPr>
              <w:spacing w:after="0"/>
              <w:rPr>
                <w:sz w:val="18"/>
                <w:szCs w:val="18"/>
                <w:color w:val="auto"/>
              </w:rPr>
            </w:pPr>
          </w:p>
        </w:tc>
        <w:tc>
          <w:tcPr>
            <w:tcW w:w="880" w:type="dxa"/>
            <w:vAlign w:val="bottom"/>
          </w:tcPr>
          <w:p>
            <w:pPr>
              <w:jc w:val="right"/>
              <w:ind w:right="723"/>
              <w:spacing w:after="0"/>
              <w:rPr>
                <w:sz w:val="20"/>
                <w:szCs w:val="20"/>
                <w:color w:val="auto"/>
              </w:rPr>
            </w:pPr>
            <w:r>
              <w:rPr>
                <w:rFonts w:ascii="Arial" w:cs="Arial" w:eastAsia="Arial" w:hAnsi="Arial"/>
                <w:sz w:val="15"/>
                <w:szCs w:val="15"/>
                <w:color w:val="auto"/>
                <w:w w:val="71"/>
              </w:rPr>
              <w:t>$</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ind w:left="600"/>
              <w:spacing w:after="0"/>
              <w:rPr>
                <w:sz w:val="20"/>
                <w:szCs w:val="20"/>
                <w:color w:val="auto"/>
              </w:rPr>
            </w:pPr>
            <w:r>
              <w:rPr>
                <w:rFonts w:ascii="Arial" w:cs="Arial" w:eastAsia="Arial" w:hAnsi="Arial"/>
                <w:sz w:val="18"/>
                <w:szCs w:val="18"/>
                <w:color w:val="auto"/>
              </w:rPr>
              <w:t>104</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42</w:t>
            </w:r>
          </w:p>
        </w:tc>
      </w:tr>
      <w:tr>
        <w:trPr>
          <w:trHeight w:val="20"/>
        </w:trPr>
        <w:tc>
          <w:tcPr>
            <w:tcW w:w="59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Tax benefit realized</w:t>
            </w:r>
          </w:p>
        </w:tc>
        <w:tc>
          <w:tcPr>
            <w:tcW w:w="800" w:type="dxa"/>
            <w:vAlign w:val="bottom"/>
            <w:tcBorders>
              <w:bottom w:val="single" w:sz="8" w:color="auto"/>
            </w:tcBorders>
            <w:shd w:val="clear" w:color="auto" w:fill="CCEEFF"/>
          </w:tcPr>
          <w:p>
            <w:pPr>
              <w:jc w:val="right"/>
              <w:ind w:right="638"/>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right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w w:val="79"/>
              </w:rPr>
              <w:t>81</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723"/>
              <w:spacing w:after="0"/>
              <w:rPr>
                <w:sz w:val="20"/>
                <w:szCs w:val="20"/>
                <w:color w:val="auto"/>
              </w:rPr>
            </w:pPr>
            <w:r>
              <w:rPr>
                <w:rFonts w:ascii="Arial" w:cs="Arial" w:eastAsia="Arial" w:hAnsi="Arial"/>
                <w:sz w:val="15"/>
                <w:szCs w:val="15"/>
                <w:color w:val="auto"/>
                <w:w w:val="71"/>
              </w:rPr>
              <w:t>$</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w w:val="79"/>
              </w:rPr>
              <w:t>147</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29"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8"/>
          <w:szCs w:val="18"/>
          <w:u w:val="single" w:color="auto"/>
          <w:color w:val="auto"/>
        </w:rPr>
        <w:t>Income Tax</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Income tax expense was $2.7 million and $3.5 million during the three month periods ended June 30, 2021 and 2020, respectively and $7.8 million and $4.5 million during the six months ended June 30, 2021 and 2020, respectively. Our actual federal income tax expense is different than the amount computed by applying our statutory income tax rate to our income before income tax primarily due to tax-exempt interest income and tax-exempt income from the increase in the cash surrender value on life insurance. In addition, the three and six month periods ending June 30, 2021 include reductions of zero and $0.1 million, respectively, of income tax expense related to the impact of the excess value of stock awards that vested and stock options that were exercised as compared to the initial fair values that were expensed. These amounts during the same periods in 2020 were zero and $0.2 million, respectively.</w:t>
      </w:r>
    </w:p>
    <w:p>
      <w:pPr>
        <w:spacing w:after="0" w:line="222"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We assess whether a valuation allowance should be established against our deferred tax assets based on the consideration of all available evidence using a “more likely than not” standard. The ultimate realization of this asset is primarily based on generating future income. We concluded at June 30, 2021, June 30, 2020 and December 31, 2020 that the realization of substantially all of our deferred tax assets continues to be more likely than not.</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both June 30, 2021 and December 31, 2020, we had approximately $0.2 million, of gross unrecognized tax benefits. We do not expect the total amount of unrecognized tax benefits to significantly increase or decrease during the balance of 2021.</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6" w:name="page47"/>
    <w:bookmarkEnd w:id="4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13"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Regulatory Matters</w:t>
      </w:r>
    </w:p>
    <w:p>
      <w:pPr>
        <w:spacing w:after="0" w:line="25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Capital guidelines adopted by federal and state regulatory agencies and restrictions imposed by law limit the amount of cash dividends our Bank can pay to us. Under these guidelines, the amount of dividends that may be paid in any calendar year is limited to the Bank’s current year net profits, combined with the retained net profits of the preceding two years. Further, the Bank cannot pay a dividend at any time that it has negative undivided profits. As of June 30, 2021, the Bank had positive undivided profits of $86.6 million. It is not our intent to have dividends paid in amounts that would reduce the capital of our Bank to levels below those which we consider prudent or that would not be in accordance with guidelines of regulatory authorities.</w:t>
      </w:r>
    </w:p>
    <w:p>
      <w:pPr>
        <w:spacing w:after="0" w:line="18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are also subject to various regulatory capital requirements. The prompt corrective action regulations establish quantitative measures to ensure capital adequacy and require minimum amounts and ratios of total, Tier 1, and common equity Tier 1 capital to risk-weighted assets and Tier 1 capital to average assets. Failure to meet minimum capital requirements can result in certain mandatory, and possibly discretionary, actions by regulators that could have a material effect on our interim condensed consolidated financial statements. In addition, capital adequacy rules include a common equity Tier 1 capital conservation buffer of 2.5% of risk-weighted assets that applies to all supervised financial institutions. To avoid limits on capital distributions and certain discretionary bonus payments we must meet the minimum ratio for adequately capitalized institutions plus the buffer. Under capital adequacy guidelines, we must meet specific capital requirements that involve quantitative measures as well as qualitative judgments by the regulators. The most recent regulatory filings as of June 30, 2021 and December 31, 2020, categorized our Bank as well capitalized. Management is not aware of any conditions or events that would have changed the most recent Federal Deposit Insurance Corporation (“FDIC”) categorization.</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7" w:name="page48"/>
    <w:bookmarkEnd w:id="4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Our actual capital amounts and ratios follow (1):</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gridSpan w:val="4"/>
          </w:tcPr>
          <w:p>
            <w:pPr>
              <w:jc w:val="center"/>
              <w:ind w:left="90"/>
              <w:spacing w:after="0"/>
              <w:rPr>
                <w:sz w:val="20"/>
                <w:szCs w:val="20"/>
                <w:color w:val="auto"/>
              </w:rPr>
            </w:pPr>
            <w:r>
              <w:rPr>
                <w:rFonts w:ascii="Arial" w:cs="Arial" w:eastAsia="Arial" w:hAnsi="Arial"/>
                <w:sz w:val="18"/>
                <w:szCs w:val="18"/>
                <w:color w:val="auto"/>
                <w:w w:val="98"/>
              </w:rPr>
              <w:t>Minimum for</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20" w:type="dxa"/>
            <w:vAlign w:val="bottom"/>
            <w:gridSpan w:val="5"/>
          </w:tcPr>
          <w:p>
            <w:pPr>
              <w:jc w:val="center"/>
              <w:ind w:right="320"/>
              <w:spacing w:after="0"/>
              <w:rPr>
                <w:sz w:val="20"/>
                <w:szCs w:val="20"/>
                <w:color w:val="auto"/>
              </w:rPr>
            </w:pPr>
            <w:r>
              <w:rPr>
                <w:rFonts w:ascii="Arial" w:cs="Arial" w:eastAsia="Arial" w:hAnsi="Arial"/>
                <w:sz w:val="18"/>
                <w:szCs w:val="18"/>
                <w:color w:val="auto"/>
                <w:w w:val="98"/>
              </w:rPr>
              <w:t>Minimum for</w:t>
            </w:r>
          </w:p>
        </w:tc>
      </w:tr>
      <w:tr>
        <w:trPr>
          <w:trHeight w:val="216"/>
        </w:trPr>
        <w:tc>
          <w:tcPr>
            <w:tcW w:w="3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gridSpan w:val="4"/>
          </w:tcPr>
          <w:p>
            <w:pPr>
              <w:jc w:val="center"/>
              <w:ind w:left="70"/>
              <w:spacing w:after="0"/>
              <w:rPr>
                <w:sz w:val="20"/>
                <w:szCs w:val="20"/>
                <w:color w:val="auto"/>
              </w:rPr>
            </w:pPr>
            <w:r>
              <w:rPr>
                <w:rFonts w:ascii="Arial" w:cs="Arial" w:eastAsia="Arial" w:hAnsi="Arial"/>
                <w:sz w:val="18"/>
                <w:szCs w:val="18"/>
                <w:color w:val="auto"/>
                <w:w w:val="91"/>
              </w:rPr>
              <w:t>Adequately Capitalized</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20" w:type="dxa"/>
            <w:vAlign w:val="bottom"/>
            <w:gridSpan w:val="5"/>
          </w:tcPr>
          <w:p>
            <w:pPr>
              <w:jc w:val="center"/>
              <w:ind w:right="320"/>
              <w:spacing w:after="0"/>
              <w:rPr>
                <w:sz w:val="20"/>
                <w:szCs w:val="20"/>
                <w:color w:val="auto"/>
              </w:rPr>
            </w:pPr>
            <w:r>
              <w:rPr>
                <w:rFonts w:ascii="Arial" w:cs="Arial" w:eastAsia="Arial" w:hAnsi="Arial"/>
                <w:sz w:val="18"/>
                <w:szCs w:val="18"/>
                <w:color w:val="auto"/>
                <w:w w:val="93"/>
              </w:rPr>
              <w:t>Well-Capitalized</w:t>
            </w:r>
          </w:p>
        </w:tc>
      </w:tr>
      <w:tr>
        <w:trPr>
          <w:trHeight w:val="237"/>
        </w:trPr>
        <w:tc>
          <w:tcPr>
            <w:tcW w:w="3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ind w:left="800"/>
              <w:spacing w:after="0"/>
              <w:rPr>
                <w:sz w:val="20"/>
                <w:szCs w:val="20"/>
                <w:color w:val="auto"/>
              </w:rPr>
            </w:pPr>
            <w:r>
              <w:rPr>
                <w:rFonts w:ascii="Arial" w:cs="Arial" w:eastAsia="Arial" w:hAnsi="Arial"/>
                <w:sz w:val="18"/>
                <w:szCs w:val="18"/>
                <w:color w:val="auto"/>
              </w:rPr>
              <w:t>Actual</w:t>
            </w:r>
          </w:p>
        </w:tc>
        <w:tc>
          <w:tcPr>
            <w:tcW w:w="86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center"/>
              <w:ind w:left="510"/>
              <w:spacing w:after="0"/>
              <w:rPr>
                <w:sz w:val="20"/>
                <w:szCs w:val="20"/>
                <w:color w:val="auto"/>
              </w:rPr>
            </w:pPr>
            <w:r>
              <w:rPr>
                <w:rFonts w:ascii="Arial" w:cs="Arial" w:eastAsia="Arial" w:hAnsi="Arial"/>
                <w:sz w:val="18"/>
                <w:szCs w:val="18"/>
                <w:color w:val="auto"/>
                <w:w w:val="92"/>
              </w:rPr>
              <w:t>Institutions</w:t>
            </w:r>
          </w:p>
        </w:tc>
        <w:tc>
          <w:tcPr>
            <w:tcW w:w="4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center"/>
              <w:ind w:left="510"/>
              <w:spacing w:after="0"/>
              <w:rPr>
                <w:sz w:val="20"/>
                <w:szCs w:val="20"/>
                <w:color w:val="auto"/>
              </w:rPr>
            </w:pPr>
            <w:r>
              <w:rPr>
                <w:rFonts w:ascii="Arial" w:cs="Arial" w:eastAsia="Arial" w:hAnsi="Arial"/>
                <w:sz w:val="18"/>
                <w:szCs w:val="18"/>
                <w:color w:val="auto"/>
                <w:w w:val="92"/>
              </w:rPr>
              <w:t>Institutions</w:t>
            </w:r>
          </w:p>
        </w:tc>
        <w:tc>
          <w:tcPr>
            <w:tcW w:w="7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3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Amount</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Ratio</w:t>
            </w: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Amount</w:t>
            </w: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5"/>
              </w:rPr>
              <w:t>Ratio</w:t>
            </w:r>
          </w:p>
        </w:tc>
        <w:tc>
          <w:tcPr>
            <w:tcW w:w="34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6"/>
              </w:rPr>
              <w:t>Amount</w:t>
            </w: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5"/>
              </w:rPr>
              <w:t>Ratio</w:t>
            </w:r>
          </w:p>
        </w:tc>
        <w:tc>
          <w:tcPr>
            <w:tcW w:w="160" w:type="dxa"/>
            <w:vAlign w:val="bottom"/>
          </w:tcPr>
          <w:p>
            <w:pPr>
              <w:spacing w:after="0"/>
              <w:rPr>
                <w:sz w:val="19"/>
                <w:szCs w:val="19"/>
                <w:color w:val="auto"/>
              </w:rPr>
            </w:pPr>
          </w:p>
        </w:tc>
      </w:tr>
      <w:tr>
        <w:trPr>
          <w:trHeight w:val="230"/>
        </w:trPr>
        <w:tc>
          <w:tcPr>
            <w:tcW w:w="3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20" w:type="dxa"/>
            <w:vAlign w:val="bottom"/>
            <w:gridSpan w:val="4"/>
          </w:tcPr>
          <w:p>
            <w:pPr>
              <w:jc w:val="center"/>
              <w:ind w:left="70"/>
              <w:spacing w:after="0"/>
              <w:rPr>
                <w:sz w:val="20"/>
                <w:szCs w:val="20"/>
                <w:color w:val="auto"/>
              </w:rPr>
            </w:pPr>
            <w:r>
              <w:rPr>
                <w:rFonts w:ascii="Arial" w:cs="Arial" w:eastAsia="Arial" w:hAnsi="Arial"/>
                <w:sz w:val="18"/>
                <w:szCs w:val="18"/>
                <w:color w:val="auto"/>
                <w:w w:val="91"/>
              </w:rPr>
              <w:t>(Dollars in thousands)</w:t>
            </w: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03"/>
        </w:trPr>
        <w:tc>
          <w:tcPr>
            <w:tcW w:w="3240" w:type="dxa"/>
            <w:vAlign w:val="bottom"/>
          </w:tcPr>
          <w:p>
            <w:pPr>
              <w:spacing w:after="0"/>
              <w:rPr>
                <w:sz w:val="20"/>
                <w:szCs w:val="20"/>
                <w:color w:val="auto"/>
              </w:rPr>
            </w:pPr>
            <w:r>
              <w:rPr>
                <w:rFonts w:ascii="Arial" w:cs="Arial" w:eastAsia="Arial" w:hAnsi="Arial"/>
                <w:sz w:val="18"/>
                <w:szCs w:val="18"/>
                <w:color w:val="auto"/>
              </w:rPr>
              <w:t>June 30, 2021</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0"/>
        </w:trPr>
        <w:tc>
          <w:tcPr>
            <w:tcW w:w="3240" w:type="dxa"/>
            <w:vAlign w:val="bottom"/>
          </w:tcPr>
          <w:p>
            <w:pPr>
              <w:spacing w:after="0"/>
              <w:rPr>
                <w:sz w:val="20"/>
                <w:szCs w:val="20"/>
                <w:color w:val="auto"/>
              </w:rPr>
            </w:pPr>
            <w:r>
              <w:rPr>
                <w:rFonts w:ascii="Arial" w:cs="Arial" w:eastAsia="Arial" w:hAnsi="Arial"/>
                <w:sz w:val="18"/>
                <w:szCs w:val="18"/>
                <w:color w:val="auto"/>
              </w:rPr>
              <w:t>Total capital to risk-weighted assets</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16"/>
        </w:trPr>
        <w:tc>
          <w:tcPr>
            <w:tcW w:w="3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Consolidated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474,100</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15.44%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245,683</w:t>
            </w: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8.00%</w:t>
            </w:r>
          </w:p>
        </w:tc>
        <w:tc>
          <w:tcPr>
            <w:tcW w:w="18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center"/>
              <w:ind w:right="700"/>
              <w:spacing w:after="0"/>
              <w:rPr>
                <w:sz w:val="20"/>
                <w:szCs w:val="20"/>
                <w:color w:val="auto"/>
              </w:rPr>
            </w:pPr>
            <w:r>
              <w:rPr>
                <w:rFonts w:ascii="Arial" w:cs="Arial" w:eastAsia="Arial" w:hAnsi="Arial"/>
                <w:sz w:val="18"/>
                <w:szCs w:val="18"/>
                <w:color w:val="auto"/>
              </w:rPr>
              <w:t>NA</w:t>
            </w:r>
          </w:p>
        </w:tc>
        <w:tc>
          <w:tcPr>
            <w:tcW w:w="9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NA</w:t>
            </w:r>
          </w:p>
        </w:tc>
      </w:tr>
      <w:tr>
        <w:trPr>
          <w:trHeight w:val="216"/>
        </w:trPr>
        <w:tc>
          <w:tcPr>
            <w:tcW w:w="3240" w:type="dxa"/>
            <w:vAlign w:val="bottom"/>
          </w:tcPr>
          <w:p>
            <w:pPr>
              <w:ind w:left="140"/>
              <w:spacing w:after="0"/>
              <w:rPr>
                <w:sz w:val="20"/>
                <w:szCs w:val="20"/>
                <w:color w:val="auto"/>
              </w:rPr>
            </w:pPr>
            <w:r>
              <w:rPr>
                <w:rFonts w:ascii="Arial" w:cs="Arial" w:eastAsia="Arial" w:hAnsi="Arial"/>
                <w:sz w:val="18"/>
                <w:szCs w:val="18"/>
                <w:color w:val="auto"/>
              </w:rPr>
              <w:t>Independent Bank</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420,724</w:t>
            </w:r>
          </w:p>
        </w:tc>
        <w:tc>
          <w:tcPr>
            <w:tcW w:w="24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13.71</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245,486</w:t>
            </w: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gridSpan w:val="2"/>
          </w:tcPr>
          <w:p>
            <w:pPr>
              <w:ind w:left="20"/>
              <w:spacing w:after="0"/>
              <w:rPr>
                <w:sz w:val="20"/>
                <w:szCs w:val="20"/>
                <w:color w:val="auto"/>
              </w:rPr>
            </w:pPr>
            <w:r>
              <w:rPr>
                <w:rFonts w:ascii="Arial" w:cs="Arial" w:eastAsia="Arial" w:hAnsi="Arial"/>
                <w:sz w:val="18"/>
                <w:szCs w:val="18"/>
                <w:color w:val="auto"/>
              </w:rPr>
              <w:t>8.00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306,857</w:t>
            </w:r>
          </w:p>
        </w:tc>
        <w:tc>
          <w:tcPr>
            <w:tcW w:w="3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r>
      <w:tr>
        <w:trPr>
          <w:trHeight w:val="216"/>
        </w:trPr>
        <w:tc>
          <w:tcPr>
            <w:tcW w:w="3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Tier 1 capital to risk-weighted assets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Consolidated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395,701</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12.88%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184,263</w:t>
            </w: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6.00%</w:t>
            </w:r>
          </w:p>
        </w:tc>
        <w:tc>
          <w:tcPr>
            <w:tcW w:w="18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center"/>
              <w:ind w:right="700"/>
              <w:spacing w:after="0"/>
              <w:rPr>
                <w:sz w:val="20"/>
                <w:szCs w:val="20"/>
                <w:color w:val="auto"/>
              </w:rPr>
            </w:pPr>
            <w:r>
              <w:rPr>
                <w:rFonts w:ascii="Arial" w:cs="Arial" w:eastAsia="Arial" w:hAnsi="Arial"/>
                <w:sz w:val="18"/>
                <w:szCs w:val="18"/>
                <w:color w:val="auto"/>
              </w:rPr>
              <w:t>NA</w:t>
            </w:r>
          </w:p>
        </w:tc>
        <w:tc>
          <w:tcPr>
            <w:tcW w:w="9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NA</w:t>
            </w:r>
          </w:p>
        </w:tc>
      </w:tr>
      <w:tr>
        <w:trPr>
          <w:trHeight w:val="216"/>
        </w:trPr>
        <w:tc>
          <w:tcPr>
            <w:tcW w:w="3240" w:type="dxa"/>
            <w:vAlign w:val="bottom"/>
          </w:tcPr>
          <w:p>
            <w:pPr>
              <w:ind w:left="140"/>
              <w:spacing w:after="0"/>
              <w:rPr>
                <w:sz w:val="20"/>
                <w:szCs w:val="20"/>
                <w:color w:val="auto"/>
              </w:rPr>
            </w:pPr>
            <w:r>
              <w:rPr>
                <w:rFonts w:ascii="Arial" w:cs="Arial" w:eastAsia="Arial" w:hAnsi="Arial"/>
                <w:sz w:val="18"/>
                <w:szCs w:val="18"/>
                <w:color w:val="auto"/>
              </w:rPr>
              <w:t>Independent Bank</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382,355</w:t>
            </w:r>
          </w:p>
        </w:tc>
        <w:tc>
          <w:tcPr>
            <w:tcW w:w="24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12.46</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184,114</w:t>
            </w: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gridSpan w:val="2"/>
          </w:tcPr>
          <w:p>
            <w:pPr>
              <w:ind w:left="20"/>
              <w:spacing w:after="0"/>
              <w:rPr>
                <w:sz w:val="20"/>
                <w:szCs w:val="20"/>
                <w:color w:val="auto"/>
              </w:rPr>
            </w:pPr>
            <w:r>
              <w:rPr>
                <w:rFonts w:ascii="Arial" w:cs="Arial" w:eastAsia="Arial" w:hAnsi="Arial"/>
                <w:sz w:val="18"/>
                <w:szCs w:val="18"/>
                <w:color w:val="auto"/>
              </w:rPr>
              <w:t>6.00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245,486</w:t>
            </w:r>
          </w:p>
        </w:tc>
        <w:tc>
          <w:tcPr>
            <w:tcW w:w="3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8.00%</w:t>
            </w:r>
          </w:p>
        </w:tc>
      </w:tr>
      <w:tr>
        <w:trPr>
          <w:trHeight w:val="216"/>
        </w:trPr>
        <w:tc>
          <w:tcPr>
            <w:tcW w:w="3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02"/>
        </w:trPr>
        <w:tc>
          <w:tcPr>
            <w:tcW w:w="3240" w:type="dxa"/>
            <w:vAlign w:val="bottom"/>
          </w:tcPr>
          <w:p>
            <w:pPr>
              <w:spacing w:after="0" w:line="201" w:lineRule="exact"/>
              <w:rPr>
                <w:sz w:val="20"/>
                <w:szCs w:val="20"/>
                <w:color w:val="auto"/>
              </w:rPr>
            </w:pPr>
            <w:r>
              <w:rPr>
                <w:rFonts w:ascii="Arial" w:cs="Arial" w:eastAsia="Arial" w:hAnsi="Arial"/>
                <w:sz w:val="18"/>
                <w:szCs w:val="18"/>
                <w:color w:val="auto"/>
              </w:rPr>
              <w:t>Common equity tier 1 capital to risk-</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0"/>
        </w:trPr>
        <w:tc>
          <w:tcPr>
            <w:tcW w:w="3240" w:type="dxa"/>
            <w:vAlign w:val="bottom"/>
          </w:tcPr>
          <w:p>
            <w:pPr>
              <w:ind w:left="140"/>
              <w:spacing w:after="0"/>
              <w:rPr>
                <w:sz w:val="20"/>
                <w:szCs w:val="20"/>
                <w:color w:val="auto"/>
              </w:rPr>
            </w:pPr>
            <w:r>
              <w:rPr>
                <w:rFonts w:ascii="Arial" w:cs="Arial" w:eastAsia="Arial" w:hAnsi="Arial"/>
                <w:sz w:val="18"/>
                <w:szCs w:val="18"/>
                <w:color w:val="auto"/>
              </w:rPr>
              <w:t>weighted assets</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16"/>
        </w:trPr>
        <w:tc>
          <w:tcPr>
            <w:tcW w:w="3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Consolidated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357,367</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11.64%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138,197</w:t>
            </w: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4.50%</w:t>
            </w:r>
          </w:p>
        </w:tc>
        <w:tc>
          <w:tcPr>
            <w:tcW w:w="18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center"/>
              <w:ind w:right="700"/>
              <w:spacing w:after="0"/>
              <w:rPr>
                <w:sz w:val="20"/>
                <w:szCs w:val="20"/>
                <w:color w:val="auto"/>
              </w:rPr>
            </w:pPr>
            <w:r>
              <w:rPr>
                <w:rFonts w:ascii="Arial" w:cs="Arial" w:eastAsia="Arial" w:hAnsi="Arial"/>
                <w:sz w:val="18"/>
                <w:szCs w:val="18"/>
                <w:color w:val="auto"/>
              </w:rPr>
              <w:t>NA</w:t>
            </w:r>
          </w:p>
        </w:tc>
        <w:tc>
          <w:tcPr>
            <w:tcW w:w="9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NA</w:t>
            </w:r>
          </w:p>
        </w:tc>
      </w:tr>
      <w:tr>
        <w:trPr>
          <w:trHeight w:val="216"/>
        </w:trPr>
        <w:tc>
          <w:tcPr>
            <w:tcW w:w="3240" w:type="dxa"/>
            <w:vAlign w:val="bottom"/>
          </w:tcPr>
          <w:p>
            <w:pPr>
              <w:ind w:left="140"/>
              <w:spacing w:after="0"/>
              <w:rPr>
                <w:sz w:val="20"/>
                <w:szCs w:val="20"/>
                <w:color w:val="auto"/>
              </w:rPr>
            </w:pPr>
            <w:r>
              <w:rPr>
                <w:rFonts w:ascii="Arial" w:cs="Arial" w:eastAsia="Arial" w:hAnsi="Arial"/>
                <w:sz w:val="18"/>
                <w:szCs w:val="18"/>
                <w:color w:val="auto"/>
              </w:rPr>
              <w:t>Independent Bank</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382,355</w:t>
            </w:r>
          </w:p>
        </w:tc>
        <w:tc>
          <w:tcPr>
            <w:tcW w:w="24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12.46</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138,086</w:t>
            </w: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gridSpan w:val="2"/>
          </w:tcPr>
          <w:p>
            <w:pPr>
              <w:ind w:left="20"/>
              <w:spacing w:after="0"/>
              <w:rPr>
                <w:sz w:val="20"/>
                <w:szCs w:val="20"/>
                <w:color w:val="auto"/>
              </w:rPr>
            </w:pPr>
            <w:r>
              <w:rPr>
                <w:rFonts w:ascii="Arial" w:cs="Arial" w:eastAsia="Arial" w:hAnsi="Arial"/>
                <w:sz w:val="18"/>
                <w:szCs w:val="18"/>
                <w:color w:val="auto"/>
              </w:rPr>
              <w:t>4.50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199,457</w:t>
            </w:r>
          </w:p>
        </w:tc>
        <w:tc>
          <w:tcPr>
            <w:tcW w:w="3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6.50%</w:t>
            </w:r>
          </w:p>
        </w:tc>
      </w:tr>
      <w:tr>
        <w:trPr>
          <w:trHeight w:val="216"/>
        </w:trPr>
        <w:tc>
          <w:tcPr>
            <w:tcW w:w="3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Tier 1 capital to average assets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Consolidated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395,701</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175,868</w:t>
            </w: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4.00%</w:t>
            </w:r>
          </w:p>
        </w:tc>
        <w:tc>
          <w:tcPr>
            <w:tcW w:w="18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center"/>
              <w:ind w:right="700"/>
              <w:spacing w:after="0"/>
              <w:rPr>
                <w:sz w:val="20"/>
                <w:szCs w:val="20"/>
                <w:color w:val="auto"/>
              </w:rPr>
            </w:pPr>
            <w:r>
              <w:rPr>
                <w:rFonts w:ascii="Arial" w:cs="Arial" w:eastAsia="Arial" w:hAnsi="Arial"/>
                <w:sz w:val="18"/>
                <w:szCs w:val="18"/>
                <w:color w:val="auto"/>
              </w:rPr>
              <w:t>NA</w:t>
            </w:r>
          </w:p>
        </w:tc>
        <w:tc>
          <w:tcPr>
            <w:tcW w:w="9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NA</w:t>
            </w:r>
          </w:p>
        </w:tc>
      </w:tr>
      <w:tr>
        <w:trPr>
          <w:trHeight w:val="216"/>
        </w:trPr>
        <w:tc>
          <w:tcPr>
            <w:tcW w:w="3240" w:type="dxa"/>
            <w:vAlign w:val="bottom"/>
          </w:tcPr>
          <w:p>
            <w:pPr>
              <w:ind w:left="140"/>
              <w:spacing w:after="0"/>
              <w:rPr>
                <w:sz w:val="20"/>
                <w:szCs w:val="20"/>
                <w:color w:val="auto"/>
              </w:rPr>
            </w:pPr>
            <w:r>
              <w:rPr>
                <w:rFonts w:ascii="Arial" w:cs="Arial" w:eastAsia="Arial" w:hAnsi="Arial"/>
                <w:sz w:val="18"/>
                <w:szCs w:val="18"/>
                <w:color w:val="auto"/>
              </w:rPr>
              <w:t>Independent Bank</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382,355</w:t>
            </w:r>
          </w:p>
        </w:tc>
        <w:tc>
          <w:tcPr>
            <w:tcW w:w="24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8.69</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175,936</w:t>
            </w: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gridSpan w:val="2"/>
          </w:tcPr>
          <w:p>
            <w:pPr>
              <w:ind w:left="20"/>
              <w:spacing w:after="0"/>
              <w:rPr>
                <w:sz w:val="20"/>
                <w:szCs w:val="20"/>
                <w:color w:val="auto"/>
              </w:rPr>
            </w:pPr>
            <w:r>
              <w:rPr>
                <w:rFonts w:ascii="Arial" w:cs="Arial" w:eastAsia="Arial" w:hAnsi="Arial"/>
                <w:sz w:val="18"/>
                <w:szCs w:val="18"/>
                <w:color w:val="auto"/>
              </w:rPr>
              <w:t>4.00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219,921</w:t>
            </w:r>
          </w:p>
        </w:tc>
        <w:tc>
          <w:tcPr>
            <w:tcW w:w="3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5.00%</w:t>
            </w:r>
          </w:p>
        </w:tc>
      </w:tr>
      <w:tr>
        <w:trPr>
          <w:trHeight w:val="216"/>
        </w:trPr>
        <w:tc>
          <w:tcPr>
            <w:tcW w:w="3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December 31, 2020</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Total capital to risk-weighted assets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240" w:type="dxa"/>
            <w:vAlign w:val="bottom"/>
          </w:tcPr>
          <w:p>
            <w:pPr>
              <w:ind w:left="140"/>
              <w:spacing w:after="0"/>
              <w:rPr>
                <w:sz w:val="20"/>
                <w:szCs w:val="20"/>
                <w:color w:val="auto"/>
              </w:rPr>
            </w:pPr>
            <w:r>
              <w:rPr>
                <w:rFonts w:ascii="Arial" w:cs="Arial" w:eastAsia="Arial" w:hAnsi="Arial"/>
                <w:sz w:val="18"/>
                <w:szCs w:val="18"/>
                <w:color w:val="auto"/>
              </w:rPr>
              <w:t>Consolidated</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455,072</w:t>
            </w: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15.95%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228,214</w:t>
            </w: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gridSpan w:val="2"/>
          </w:tcPr>
          <w:p>
            <w:pPr>
              <w:ind w:left="20"/>
              <w:spacing w:after="0"/>
              <w:rPr>
                <w:sz w:val="20"/>
                <w:szCs w:val="20"/>
                <w:color w:val="auto"/>
              </w:rPr>
            </w:pPr>
            <w:r>
              <w:rPr>
                <w:rFonts w:ascii="Arial" w:cs="Arial" w:eastAsia="Arial" w:hAnsi="Arial"/>
                <w:sz w:val="18"/>
                <w:szCs w:val="18"/>
                <w:color w:val="auto"/>
              </w:rPr>
              <w:t>8.00%</w:t>
            </w:r>
          </w:p>
        </w:tc>
        <w:tc>
          <w:tcPr>
            <w:tcW w:w="180" w:type="dxa"/>
            <w:vAlign w:val="bottom"/>
          </w:tcPr>
          <w:p>
            <w:pPr>
              <w:spacing w:after="0"/>
              <w:rPr>
                <w:sz w:val="18"/>
                <w:szCs w:val="18"/>
                <w:color w:val="auto"/>
              </w:rPr>
            </w:pPr>
          </w:p>
        </w:tc>
        <w:tc>
          <w:tcPr>
            <w:tcW w:w="1480" w:type="dxa"/>
            <w:vAlign w:val="bottom"/>
            <w:gridSpan w:val="3"/>
          </w:tcPr>
          <w:p>
            <w:pPr>
              <w:jc w:val="center"/>
              <w:ind w:right="700"/>
              <w:spacing w:after="0"/>
              <w:rPr>
                <w:sz w:val="20"/>
                <w:szCs w:val="20"/>
                <w:color w:val="auto"/>
              </w:rPr>
            </w:pPr>
            <w:r>
              <w:rPr>
                <w:rFonts w:ascii="Arial" w:cs="Arial" w:eastAsia="Arial" w:hAnsi="Arial"/>
                <w:sz w:val="18"/>
                <w:szCs w:val="18"/>
                <w:color w:val="auto"/>
              </w:rPr>
              <w:t>NA</w:t>
            </w:r>
          </w:p>
        </w:tc>
        <w:tc>
          <w:tcPr>
            <w:tcW w:w="940" w:type="dxa"/>
            <w:vAlign w:val="bottom"/>
            <w:gridSpan w:val="2"/>
          </w:tcPr>
          <w:p>
            <w:pPr>
              <w:jc w:val="right"/>
              <w:ind w:right="580"/>
              <w:spacing w:after="0"/>
              <w:rPr>
                <w:sz w:val="20"/>
                <w:szCs w:val="20"/>
                <w:color w:val="auto"/>
              </w:rPr>
            </w:pPr>
            <w:r>
              <w:rPr>
                <w:rFonts w:ascii="Arial" w:cs="Arial" w:eastAsia="Arial" w:hAnsi="Arial"/>
                <w:sz w:val="18"/>
                <w:szCs w:val="18"/>
                <w:color w:val="auto"/>
              </w:rPr>
              <w:t>NA</w:t>
            </w:r>
          </w:p>
        </w:tc>
      </w:tr>
      <w:tr>
        <w:trPr>
          <w:trHeight w:val="216"/>
        </w:trPr>
        <w:tc>
          <w:tcPr>
            <w:tcW w:w="3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Independent Bank</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401,005</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14.06</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228,111</w:t>
            </w: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8.00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285,139</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r>
      <w:tr>
        <w:trPr>
          <w:trHeight w:val="216"/>
        </w:trPr>
        <w:tc>
          <w:tcPr>
            <w:tcW w:w="3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Tier 1 capital to risk-weighted assets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240" w:type="dxa"/>
            <w:vAlign w:val="bottom"/>
          </w:tcPr>
          <w:p>
            <w:pPr>
              <w:ind w:left="140"/>
              <w:spacing w:after="0"/>
              <w:rPr>
                <w:sz w:val="20"/>
                <w:szCs w:val="20"/>
                <w:color w:val="auto"/>
              </w:rPr>
            </w:pPr>
            <w:r>
              <w:rPr>
                <w:rFonts w:ascii="Arial" w:cs="Arial" w:eastAsia="Arial" w:hAnsi="Arial"/>
                <w:sz w:val="18"/>
                <w:szCs w:val="18"/>
                <w:color w:val="auto"/>
              </w:rPr>
              <w:t>Consolidated</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379,395</w:t>
            </w: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13.30%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171,161</w:t>
            </w: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gridSpan w:val="2"/>
          </w:tcPr>
          <w:p>
            <w:pPr>
              <w:ind w:left="20"/>
              <w:spacing w:after="0"/>
              <w:rPr>
                <w:sz w:val="20"/>
                <w:szCs w:val="20"/>
                <w:color w:val="auto"/>
              </w:rPr>
            </w:pPr>
            <w:r>
              <w:rPr>
                <w:rFonts w:ascii="Arial" w:cs="Arial" w:eastAsia="Arial" w:hAnsi="Arial"/>
                <w:sz w:val="18"/>
                <w:szCs w:val="18"/>
                <w:color w:val="auto"/>
              </w:rPr>
              <w:t>6.00%</w:t>
            </w:r>
          </w:p>
        </w:tc>
        <w:tc>
          <w:tcPr>
            <w:tcW w:w="180" w:type="dxa"/>
            <w:vAlign w:val="bottom"/>
          </w:tcPr>
          <w:p>
            <w:pPr>
              <w:spacing w:after="0"/>
              <w:rPr>
                <w:sz w:val="18"/>
                <w:szCs w:val="18"/>
                <w:color w:val="auto"/>
              </w:rPr>
            </w:pPr>
          </w:p>
        </w:tc>
        <w:tc>
          <w:tcPr>
            <w:tcW w:w="1480" w:type="dxa"/>
            <w:vAlign w:val="bottom"/>
            <w:gridSpan w:val="3"/>
          </w:tcPr>
          <w:p>
            <w:pPr>
              <w:jc w:val="center"/>
              <w:ind w:right="700"/>
              <w:spacing w:after="0"/>
              <w:rPr>
                <w:sz w:val="20"/>
                <w:szCs w:val="20"/>
                <w:color w:val="auto"/>
              </w:rPr>
            </w:pPr>
            <w:r>
              <w:rPr>
                <w:rFonts w:ascii="Arial" w:cs="Arial" w:eastAsia="Arial" w:hAnsi="Arial"/>
                <w:sz w:val="18"/>
                <w:szCs w:val="18"/>
                <w:color w:val="auto"/>
              </w:rPr>
              <w:t>NA</w:t>
            </w:r>
          </w:p>
        </w:tc>
        <w:tc>
          <w:tcPr>
            <w:tcW w:w="940" w:type="dxa"/>
            <w:vAlign w:val="bottom"/>
            <w:gridSpan w:val="2"/>
          </w:tcPr>
          <w:p>
            <w:pPr>
              <w:jc w:val="right"/>
              <w:ind w:right="580"/>
              <w:spacing w:after="0"/>
              <w:rPr>
                <w:sz w:val="20"/>
                <w:szCs w:val="20"/>
                <w:color w:val="auto"/>
              </w:rPr>
            </w:pPr>
            <w:r>
              <w:rPr>
                <w:rFonts w:ascii="Arial" w:cs="Arial" w:eastAsia="Arial" w:hAnsi="Arial"/>
                <w:sz w:val="18"/>
                <w:szCs w:val="18"/>
                <w:color w:val="auto"/>
              </w:rPr>
              <w:t>NA</w:t>
            </w:r>
          </w:p>
        </w:tc>
      </w:tr>
      <w:tr>
        <w:trPr>
          <w:trHeight w:val="216"/>
        </w:trPr>
        <w:tc>
          <w:tcPr>
            <w:tcW w:w="3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Independent Bank</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365,343</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12.81</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171,083</w:t>
            </w: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6.00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228,111</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8.00%</w:t>
            </w:r>
          </w:p>
        </w:tc>
      </w:tr>
      <w:tr>
        <w:trPr>
          <w:trHeight w:val="216"/>
        </w:trPr>
        <w:tc>
          <w:tcPr>
            <w:tcW w:w="3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2"/>
        </w:trPr>
        <w:tc>
          <w:tcPr>
            <w:tcW w:w="3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Common equity tier 1 capital to risk-</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3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weighted assets</w:t>
            </w: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r>
      <w:tr>
        <w:trPr>
          <w:trHeight w:val="216"/>
        </w:trPr>
        <w:tc>
          <w:tcPr>
            <w:tcW w:w="3240" w:type="dxa"/>
            <w:vAlign w:val="bottom"/>
          </w:tcPr>
          <w:p>
            <w:pPr>
              <w:ind w:left="140"/>
              <w:spacing w:after="0"/>
              <w:rPr>
                <w:sz w:val="20"/>
                <w:szCs w:val="20"/>
                <w:color w:val="auto"/>
              </w:rPr>
            </w:pPr>
            <w:r>
              <w:rPr>
                <w:rFonts w:ascii="Arial" w:cs="Arial" w:eastAsia="Arial" w:hAnsi="Arial"/>
                <w:sz w:val="18"/>
                <w:szCs w:val="18"/>
                <w:color w:val="auto"/>
              </w:rPr>
              <w:t>Consolidated</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341,095</w:t>
            </w: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11.96%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128,370</w:t>
            </w: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gridSpan w:val="2"/>
          </w:tcPr>
          <w:p>
            <w:pPr>
              <w:ind w:left="20"/>
              <w:spacing w:after="0"/>
              <w:rPr>
                <w:sz w:val="20"/>
                <w:szCs w:val="20"/>
                <w:color w:val="auto"/>
              </w:rPr>
            </w:pPr>
            <w:r>
              <w:rPr>
                <w:rFonts w:ascii="Arial" w:cs="Arial" w:eastAsia="Arial" w:hAnsi="Arial"/>
                <w:sz w:val="18"/>
                <w:szCs w:val="18"/>
                <w:color w:val="auto"/>
              </w:rPr>
              <w:t>4.50%</w:t>
            </w:r>
          </w:p>
        </w:tc>
        <w:tc>
          <w:tcPr>
            <w:tcW w:w="180" w:type="dxa"/>
            <w:vAlign w:val="bottom"/>
          </w:tcPr>
          <w:p>
            <w:pPr>
              <w:spacing w:after="0"/>
              <w:rPr>
                <w:sz w:val="18"/>
                <w:szCs w:val="18"/>
                <w:color w:val="auto"/>
              </w:rPr>
            </w:pPr>
          </w:p>
        </w:tc>
        <w:tc>
          <w:tcPr>
            <w:tcW w:w="1480" w:type="dxa"/>
            <w:vAlign w:val="bottom"/>
            <w:gridSpan w:val="3"/>
          </w:tcPr>
          <w:p>
            <w:pPr>
              <w:jc w:val="center"/>
              <w:ind w:right="700"/>
              <w:spacing w:after="0"/>
              <w:rPr>
                <w:sz w:val="20"/>
                <w:szCs w:val="20"/>
                <w:color w:val="auto"/>
              </w:rPr>
            </w:pPr>
            <w:r>
              <w:rPr>
                <w:rFonts w:ascii="Arial" w:cs="Arial" w:eastAsia="Arial" w:hAnsi="Arial"/>
                <w:sz w:val="18"/>
                <w:szCs w:val="18"/>
                <w:color w:val="auto"/>
              </w:rPr>
              <w:t>NA</w:t>
            </w:r>
          </w:p>
        </w:tc>
        <w:tc>
          <w:tcPr>
            <w:tcW w:w="940" w:type="dxa"/>
            <w:vAlign w:val="bottom"/>
            <w:gridSpan w:val="2"/>
          </w:tcPr>
          <w:p>
            <w:pPr>
              <w:jc w:val="right"/>
              <w:ind w:right="580"/>
              <w:spacing w:after="0"/>
              <w:rPr>
                <w:sz w:val="20"/>
                <w:szCs w:val="20"/>
                <w:color w:val="auto"/>
              </w:rPr>
            </w:pPr>
            <w:r>
              <w:rPr>
                <w:rFonts w:ascii="Arial" w:cs="Arial" w:eastAsia="Arial" w:hAnsi="Arial"/>
                <w:sz w:val="18"/>
                <w:szCs w:val="18"/>
                <w:color w:val="auto"/>
              </w:rPr>
              <w:t>NA</w:t>
            </w:r>
          </w:p>
        </w:tc>
      </w:tr>
      <w:tr>
        <w:trPr>
          <w:trHeight w:val="216"/>
        </w:trPr>
        <w:tc>
          <w:tcPr>
            <w:tcW w:w="3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Independent Bank</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365,343</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12.81</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128,312</w:t>
            </w: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4.50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185,340</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6.50%</w:t>
            </w:r>
          </w:p>
        </w:tc>
      </w:tr>
      <w:tr>
        <w:trPr>
          <w:trHeight w:val="216"/>
        </w:trPr>
        <w:tc>
          <w:tcPr>
            <w:tcW w:w="3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Tier 1 capital to average assets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240" w:type="dxa"/>
            <w:vAlign w:val="bottom"/>
          </w:tcPr>
          <w:p>
            <w:pPr>
              <w:ind w:left="140"/>
              <w:spacing w:after="0"/>
              <w:rPr>
                <w:sz w:val="20"/>
                <w:szCs w:val="20"/>
                <w:color w:val="auto"/>
              </w:rPr>
            </w:pPr>
            <w:r>
              <w:rPr>
                <w:rFonts w:ascii="Arial" w:cs="Arial" w:eastAsia="Arial" w:hAnsi="Arial"/>
                <w:sz w:val="18"/>
                <w:szCs w:val="18"/>
                <w:color w:val="auto"/>
              </w:rPr>
              <w:t>Consolidated</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379,395</w:t>
            </w: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9.15%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165,825</w:t>
            </w: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gridSpan w:val="2"/>
          </w:tcPr>
          <w:p>
            <w:pPr>
              <w:ind w:left="20"/>
              <w:spacing w:after="0"/>
              <w:rPr>
                <w:sz w:val="20"/>
                <w:szCs w:val="20"/>
                <w:color w:val="auto"/>
              </w:rPr>
            </w:pPr>
            <w:r>
              <w:rPr>
                <w:rFonts w:ascii="Arial" w:cs="Arial" w:eastAsia="Arial" w:hAnsi="Arial"/>
                <w:sz w:val="18"/>
                <w:szCs w:val="18"/>
                <w:color w:val="auto"/>
              </w:rPr>
              <w:t>4.00%</w:t>
            </w:r>
          </w:p>
        </w:tc>
        <w:tc>
          <w:tcPr>
            <w:tcW w:w="180" w:type="dxa"/>
            <w:vAlign w:val="bottom"/>
          </w:tcPr>
          <w:p>
            <w:pPr>
              <w:spacing w:after="0"/>
              <w:rPr>
                <w:sz w:val="18"/>
                <w:szCs w:val="18"/>
                <w:color w:val="auto"/>
              </w:rPr>
            </w:pPr>
          </w:p>
        </w:tc>
        <w:tc>
          <w:tcPr>
            <w:tcW w:w="1480" w:type="dxa"/>
            <w:vAlign w:val="bottom"/>
            <w:gridSpan w:val="3"/>
          </w:tcPr>
          <w:p>
            <w:pPr>
              <w:jc w:val="center"/>
              <w:ind w:right="700"/>
              <w:spacing w:after="0"/>
              <w:rPr>
                <w:sz w:val="20"/>
                <w:szCs w:val="20"/>
                <w:color w:val="auto"/>
              </w:rPr>
            </w:pPr>
            <w:r>
              <w:rPr>
                <w:rFonts w:ascii="Arial" w:cs="Arial" w:eastAsia="Arial" w:hAnsi="Arial"/>
                <w:sz w:val="18"/>
                <w:szCs w:val="18"/>
                <w:color w:val="auto"/>
              </w:rPr>
              <w:t>NA</w:t>
            </w:r>
          </w:p>
        </w:tc>
        <w:tc>
          <w:tcPr>
            <w:tcW w:w="940" w:type="dxa"/>
            <w:vAlign w:val="bottom"/>
            <w:gridSpan w:val="2"/>
          </w:tcPr>
          <w:p>
            <w:pPr>
              <w:jc w:val="right"/>
              <w:ind w:right="580"/>
              <w:spacing w:after="0"/>
              <w:rPr>
                <w:sz w:val="20"/>
                <w:szCs w:val="20"/>
                <w:color w:val="auto"/>
              </w:rPr>
            </w:pPr>
            <w:r>
              <w:rPr>
                <w:rFonts w:ascii="Arial" w:cs="Arial" w:eastAsia="Arial" w:hAnsi="Arial"/>
                <w:sz w:val="18"/>
                <w:szCs w:val="18"/>
                <w:color w:val="auto"/>
              </w:rPr>
              <w:t>NA</w:t>
            </w:r>
          </w:p>
        </w:tc>
      </w:tr>
      <w:tr>
        <w:trPr>
          <w:trHeight w:val="216"/>
        </w:trPr>
        <w:tc>
          <w:tcPr>
            <w:tcW w:w="3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Independent Bank</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365,343</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8.81</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165,828</w:t>
            </w: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4.00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207,285</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214312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right="3200" w:firstLine="8"/>
        <w:spacing w:after="0" w:line="277" w:lineRule="auto"/>
        <w:tabs>
          <w:tab w:leader="none" w:pos="324"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These ratios do not reflect a capital conservation buffer of 2.50% at June 30, 2021 and December 31, 2020. NA - Not applicable</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8" w:name="page49"/>
    <w:bookmarkEnd w:id="4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The components of our regulatory capital are as follows:</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66"/>
        </w:trPr>
        <w:tc>
          <w:tcPr>
            <w:tcW w:w="5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Consolidated</w:t>
            </w: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60" w:type="dxa"/>
            <w:vAlign w:val="bottom"/>
            <w:gridSpan w:val="5"/>
          </w:tcPr>
          <w:p>
            <w:pPr>
              <w:jc w:val="right"/>
              <w:ind w:right="660"/>
              <w:spacing w:after="0"/>
              <w:rPr>
                <w:sz w:val="20"/>
                <w:szCs w:val="20"/>
                <w:color w:val="auto"/>
              </w:rPr>
            </w:pPr>
            <w:r>
              <w:rPr>
                <w:rFonts w:ascii="Arial" w:cs="Arial" w:eastAsia="Arial" w:hAnsi="Arial"/>
                <w:sz w:val="18"/>
                <w:szCs w:val="18"/>
                <w:color w:val="auto"/>
              </w:rPr>
              <w:t>Independent Bank</w:t>
            </w:r>
          </w:p>
        </w:tc>
      </w:tr>
      <w:tr>
        <w:trPr>
          <w:trHeight w:val="202"/>
        </w:trPr>
        <w:tc>
          <w:tcPr>
            <w:tcW w:w="59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gridSpan w:val="2"/>
          </w:tcPr>
          <w:p>
            <w:pPr>
              <w:jc w:val="right"/>
              <w:ind w:right="520"/>
              <w:spacing w:after="0" w:line="201" w:lineRule="exact"/>
              <w:rPr>
                <w:sz w:val="20"/>
                <w:szCs w:val="20"/>
                <w:color w:val="auto"/>
              </w:rPr>
            </w:pPr>
            <w:r>
              <w:rPr>
                <w:rFonts w:ascii="Arial" w:cs="Arial" w:eastAsia="Arial" w:hAnsi="Arial"/>
                <w:sz w:val="18"/>
                <w:szCs w:val="18"/>
                <w:color w:val="auto"/>
                <w:w w:val="95"/>
              </w:rPr>
              <w:t>June 30,</w:t>
            </w:r>
          </w:p>
        </w:tc>
        <w:tc>
          <w:tcPr>
            <w:tcW w:w="1120" w:type="dxa"/>
            <w:vAlign w:val="bottom"/>
            <w:tcBorders>
              <w:top w:val="single" w:sz="8" w:color="auto"/>
            </w:tcBorders>
            <w:gridSpan w:val="2"/>
          </w:tcPr>
          <w:p>
            <w:pPr>
              <w:jc w:val="right"/>
              <w:spacing w:after="0" w:line="201" w:lineRule="exact"/>
              <w:rPr>
                <w:sz w:val="20"/>
                <w:szCs w:val="20"/>
                <w:color w:val="auto"/>
              </w:rPr>
            </w:pPr>
            <w:r>
              <w:rPr>
                <w:rFonts w:ascii="Arial" w:cs="Arial" w:eastAsia="Arial" w:hAnsi="Arial"/>
                <w:sz w:val="18"/>
                <w:szCs w:val="18"/>
                <w:color w:val="auto"/>
                <w:w w:val="91"/>
              </w:rPr>
              <w:t>December 31,</w:t>
            </w: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2"/>
          </w:tcPr>
          <w:p>
            <w:pPr>
              <w:jc w:val="right"/>
              <w:ind w:right="460"/>
              <w:spacing w:after="0" w:line="201" w:lineRule="exact"/>
              <w:rPr>
                <w:sz w:val="20"/>
                <w:szCs w:val="20"/>
                <w:color w:val="auto"/>
              </w:rPr>
            </w:pPr>
            <w:r>
              <w:rPr>
                <w:rFonts w:ascii="Arial" w:cs="Arial" w:eastAsia="Arial" w:hAnsi="Arial"/>
                <w:sz w:val="18"/>
                <w:szCs w:val="18"/>
                <w:color w:val="auto"/>
                <w:w w:val="95"/>
              </w:rPr>
              <w:t>June 30,</w:t>
            </w:r>
          </w:p>
        </w:tc>
        <w:tc>
          <w:tcPr>
            <w:tcW w:w="1120" w:type="dxa"/>
            <w:vAlign w:val="bottom"/>
            <w:tcBorders>
              <w:top w:val="single" w:sz="8" w:color="auto"/>
            </w:tcBorders>
            <w:gridSpan w:val="2"/>
          </w:tcPr>
          <w:p>
            <w:pPr>
              <w:jc w:val="right"/>
              <w:spacing w:after="0" w:line="201" w:lineRule="exact"/>
              <w:rPr>
                <w:sz w:val="20"/>
                <w:szCs w:val="20"/>
                <w:color w:val="auto"/>
              </w:rPr>
            </w:pPr>
            <w:r>
              <w:rPr>
                <w:rFonts w:ascii="Arial" w:cs="Arial" w:eastAsia="Arial" w:hAnsi="Arial"/>
                <w:sz w:val="18"/>
                <w:szCs w:val="18"/>
                <w:color w:val="auto"/>
                <w:w w:val="91"/>
              </w:rPr>
              <w:t>December 31,</w:t>
            </w:r>
          </w:p>
        </w:tc>
        <w:tc>
          <w:tcPr>
            <w:tcW w:w="100" w:type="dxa"/>
            <w:vAlign w:val="bottom"/>
          </w:tcPr>
          <w:p>
            <w:pPr>
              <w:spacing w:after="0"/>
              <w:rPr>
                <w:sz w:val="17"/>
                <w:szCs w:val="17"/>
                <w:color w:val="auto"/>
              </w:rPr>
            </w:pPr>
          </w:p>
        </w:tc>
      </w:tr>
      <w:tr>
        <w:trPr>
          <w:trHeight w:val="237"/>
        </w:trPr>
        <w:tc>
          <w:tcPr>
            <w:tcW w:w="59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c>
          <w:tcPr>
            <w:tcW w:w="2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89"/>
              </w:rPr>
              <w:t>2020</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2021</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r>
      <w:tr>
        <w:trPr>
          <w:trHeight w:val="216"/>
        </w:trPr>
        <w:tc>
          <w:tcPr>
            <w:tcW w:w="5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300" w:type="dxa"/>
            <w:vAlign w:val="bottom"/>
            <w:gridSpan w:val="5"/>
          </w:tcPr>
          <w:p>
            <w:pPr>
              <w:jc w:val="right"/>
              <w:ind w:right="940"/>
              <w:spacing w:after="0"/>
              <w:rPr>
                <w:sz w:val="20"/>
                <w:szCs w:val="20"/>
                <w:color w:val="auto"/>
              </w:rPr>
            </w:pPr>
            <w:r>
              <w:rPr>
                <w:rFonts w:ascii="Arial" w:cs="Arial" w:eastAsia="Arial" w:hAnsi="Arial"/>
                <w:sz w:val="18"/>
                <w:szCs w:val="18"/>
                <w:color w:val="auto"/>
              </w:rPr>
              <w:t>(In thousands)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Total shareholders' equity Add (deduct)</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395,974</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1"/>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389,522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420,962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413,770</w:t>
            </w:r>
          </w:p>
        </w:tc>
      </w:tr>
      <w:tr>
        <w:trPr>
          <w:trHeight w:val="216"/>
        </w:trPr>
        <w:tc>
          <w:tcPr>
            <w:tcW w:w="5980" w:type="dxa"/>
            <w:vAlign w:val="bottom"/>
          </w:tcPr>
          <w:p>
            <w:pPr>
              <w:ind w:left="340"/>
              <w:spacing w:after="0"/>
              <w:rPr>
                <w:sz w:val="20"/>
                <w:szCs w:val="20"/>
                <w:color w:val="auto"/>
              </w:rPr>
            </w:pPr>
            <w:r>
              <w:rPr>
                <w:rFonts w:ascii="Arial" w:cs="Arial" w:eastAsia="Arial" w:hAnsi="Arial"/>
                <w:sz w:val="18"/>
                <w:szCs w:val="18"/>
                <w:color w:val="auto"/>
              </w:rPr>
              <w:t>Accumulated other comprehensive income for regulatory purposes</w:t>
            </w:r>
          </w:p>
        </w:tc>
        <w:tc>
          <w:tcPr>
            <w:tcW w:w="1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(14,213)</w:t>
            </w:r>
          </w:p>
        </w:tc>
        <w:tc>
          <w:tcPr>
            <w:tcW w:w="3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(15,821)</w:t>
            </w:r>
          </w:p>
        </w:tc>
        <w:tc>
          <w:tcPr>
            <w:tcW w:w="1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(14,213)</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(15,821)</w:t>
            </w:r>
          </w:p>
        </w:tc>
      </w:tr>
      <w:tr>
        <w:trPr>
          <w:trHeight w:val="216"/>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Goodwill and other intangibles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(32,121)</w:t>
            </w: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(32,606)</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(32,121)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(32,606)</w:t>
            </w:r>
          </w:p>
        </w:tc>
      </w:tr>
      <w:tr>
        <w:trPr>
          <w:trHeight w:val="223"/>
        </w:trPr>
        <w:tc>
          <w:tcPr>
            <w:tcW w:w="5980" w:type="dxa"/>
            <w:vAlign w:val="bottom"/>
          </w:tcPr>
          <w:p>
            <w:pPr>
              <w:ind w:left="340"/>
              <w:spacing w:after="0"/>
              <w:rPr>
                <w:sz w:val="20"/>
                <w:szCs w:val="20"/>
                <w:color w:val="auto"/>
              </w:rPr>
            </w:pPr>
            <w:r>
              <w:rPr>
                <w:rFonts w:ascii="Arial" w:cs="Arial" w:eastAsia="Arial" w:hAnsi="Arial"/>
                <w:sz w:val="18"/>
                <w:szCs w:val="18"/>
                <w:color w:val="auto"/>
              </w:rPr>
              <w:t>CECL (1)</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7,727</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7,727</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Common equity tier 1 capital</w:t>
            </w: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357,367</w:t>
            </w:r>
          </w:p>
        </w:tc>
        <w:tc>
          <w:tcPr>
            <w:tcW w:w="26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341,095</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382,355</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365,343</w:t>
            </w:r>
          </w:p>
        </w:tc>
        <w:tc>
          <w:tcPr>
            <w:tcW w:w="100" w:type="dxa"/>
            <w:vAlign w:val="bottom"/>
            <w:shd w:val="clear" w:color="auto" w:fill="CCEEFF"/>
          </w:tcPr>
          <w:p>
            <w:pPr>
              <w:spacing w:after="0"/>
              <w:rPr>
                <w:sz w:val="18"/>
                <w:szCs w:val="18"/>
                <w:color w:val="auto"/>
              </w:rPr>
            </w:pPr>
          </w:p>
        </w:tc>
      </w:tr>
      <w:tr>
        <w:trPr>
          <w:trHeight w:val="223"/>
        </w:trPr>
        <w:tc>
          <w:tcPr>
            <w:tcW w:w="5980" w:type="dxa"/>
            <w:vAlign w:val="bottom"/>
          </w:tcPr>
          <w:p>
            <w:pPr>
              <w:ind w:left="340"/>
              <w:spacing w:after="0"/>
              <w:rPr>
                <w:sz w:val="20"/>
                <w:szCs w:val="20"/>
                <w:color w:val="auto"/>
              </w:rPr>
            </w:pPr>
            <w:r>
              <w:rPr>
                <w:rFonts w:ascii="Arial" w:cs="Arial" w:eastAsia="Arial" w:hAnsi="Arial"/>
                <w:sz w:val="18"/>
                <w:szCs w:val="18"/>
                <w:color w:val="auto"/>
              </w:rPr>
              <w:t>Qualifying trust preferred securities</w:t>
            </w:r>
          </w:p>
        </w:tc>
        <w:tc>
          <w:tcPr>
            <w:tcW w:w="18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38,334</w:t>
            </w:r>
          </w:p>
        </w:tc>
        <w:tc>
          <w:tcPr>
            <w:tcW w:w="36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38,300</w:t>
            </w:r>
          </w:p>
        </w:tc>
        <w:tc>
          <w:tcPr>
            <w:tcW w:w="18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Tier 1 capital</w:t>
            </w: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395,701</w:t>
            </w:r>
          </w:p>
        </w:tc>
        <w:tc>
          <w:tcPr>
            <w:tcW w:w="26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379,395</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382,355</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365,343</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340"/>
              <w:spacing w:after="0"/>
              <w:rPr>
                <w:sz w:val="20"/>
                <w:szCs w:val="20"/>
                <w:color w:val="auto"/>
              </w:rPr>
            </w:pPr>
            <w:r>
              <w:rPr>
                <w:rFonts w:ascii="Arial" w:cs="Arial" w:eastAsia="Arial" w:hAnsi="Arial"/>
                <w:sz w:val="18"/>
                <w:szCs w:val="18"/>
                <w:color w:val="auto"/>
              </w:rPr>
              <w:t>Subordinated debt</w:t>
            </w:r>
          </w:p>
        </w:tc>
        <w:tc>
          <w:tcPr>
            <w:tcW w:w="1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40,000</w:t>
            </w:r>
          </w:p>
        </w:tc>
        <w:tc>
          <w:tcPr>
            <w:tcW w:w="3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40,000</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59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Allowance for credit losses and allowance for unfunded lending</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59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commitments limited to 1.25% of total risk-weighted assets (2)</w:t>
            </w: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38,399</w:t>
            </w:r>
          </w:p>
        </w:tc>
        <w:tc>
          <w:tcPr>
            <w:tcW w:w="3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35,677</w:t>
            </w:r>
          </w:p>
        </w:tc>
        <w:tc>
          <w:tcPr>
            <w:tcW w:w="1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38,369</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35,662</w:t>
            </w:r>
          </w:p>
        </w:tc>
      </w:tr>
      <w:tr>
        <w:trPr>
          <w:trHeight w:val="27"/>
        </w:trPr>
        <w:tc>
          <w:tcPr>
            <w:tcW w:w="59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80" w:type="dxa"/>
            <w:vAlign w:val="bottom"/>
          </w:tcPr>
          <w:p>
            <w:pPr>
              <w:ind w:left="460"/>
              <w:spacing w:after="0"/>
              <w:rPr>
                <w:sz w:val="20"/>
                <w:szCs w:val="20"/>
                <w:color w:val="auto"/>
              </w:rPr>
            </w:pPr>
            <w:r>
              <w:rPr>
                <w:rFonts w:ascii="Arial" w:cs="Arial" w:eastAsia="Arial" w:hAnsi="Arial"/>
                <w:sz w:val="18"/>
                <w:szCs w:val="18"/>
                <w:color w:val="auto"/>
              </w:rPr>
              <w:t>Total risk-based capital</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474,100</w:t>
            </w:r>
          </w:p>
        </w:tc>
        <w:tc>
          <w:tcPr>
            <w:tcW w:w="260" w:type="dxa"/>
            <w:vAlign w:val="bottom"/>
          </w:tcPr>
          <w:p>
            <w:pPr>
              <w:spacing w:after="0"/>
              <w:rPr>
                <w:sz w:val="18"/>
                <w:szCs w:val="18"/>
                <w:color w:val="auto"/>
              </w:rPr>
            </w:pPr>
          </w:p>
        </w:tc>
        <w:tc>
          <w:tcPr>
            <w:tcW w:w="360" w:type="dxa"/>
            <w:vAlign w:val="bottom"/>
          </w:tcPr>
          <w:p>
            <w:pPr>
              <w:jc w:val="right"/>
              <w:ind w:right="201"/>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455,072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420,724</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401,005</w:t>
            </w:r>
          </w:p>
        </w:tc>
      </w:tr>
      <w:tr>
        <w:trPr>
          <w:trHeight w:val="21"/>
        </w:trPr>
        <w:tc>
          <w:tcPr>
            <w:tcW w:w="59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left="260" w:hanging="252"/>
        <w:spacing w:after="0"/>
        <w:tabs>
          <w:tab w:leader="none" w:pos="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elected the three year CECL transition method for regulatory purposes.</w:t>
      </w:r>
    </w:p>
    <w:p>
      <w:pPr>
        <w:spacing w:after="0" w:line="23" w:lineRule="exact"/>
        <w:rPr>
          <w:rFonts w:ascii="Arial" w:cs="Arial" w:eastAsia="Arial" w:hAnsi="Arial"/>
          <w:sz w:val="18"/>
          <w:szCs w:val="18"/>
          <w:color w:val="auto"/>
        </w:rPr>
      </w:pPr>
    </w:p>
    <w:p>
      <w:pPr>
        <w:ind w:firstLine="8"/>
        <w:spacing w:after="0" w:line="260" w:lineRule="auto"/>
        <w:tabs>
          <w:tab w:leader="none" w:pos="2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Beginning January 1, 2021, calculation of allowances are based on CECL methodology. Prior to January 1, 2021, calculation was based on the probable incurred loss methodology.</w:t>
      </w:r>
    </w:p>
    <w:p>
      <w:pPr>
        <w:spacing w:after="0" w:line="212" w:lineRule="exact"/>
        <w:rPr>
          <w:sz w:val="20"/>
          <w:szCs w:val="20"/>
          <w:color w:val="auto"/>
        </w:rPr>
      </w:pPr>
    </w:p>
    <w:p>
      <w:pPr>
        <w:ind w:left="340" w:hanging="332"/>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Fair Value Disclosures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FASB ASC topic 820 defines fair value as the exchange price that would be received for an asset or paid to transfer a liability (an exit price) in the principal or most advantageous market for the asset or liability in an orderly transaction between market participants on the measurement date. FASB ASC topic 820 also establishes a fair value hierarchy which requires an entity to maximize the use of observable inputs and minimize the use of unobservable inputs when measuring fair value.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standard describes three levels of inputs that may be used to measure fair value:</w:t>
      </w:r>
    </w:p>
    <w:p>
      <w:pPr>
        <w:spacing w:after="0" w:line="252"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Level 1: Valuation is based upon quoted prices for identical instruments traded in active markets. Level 1 instruments include securities traded on active exchange markets, such as the New York Stock Exchange, as well as U.S. Treasury securities that are traded by dealers or brokers in active over-the-counter markets.</w:t>
      </w:r>
    </w:p>
    <w:p>
      <w:pPr>
        <w:spacing w:after="0" w:line="211"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Level 2: Valuation is based upon quoted prices for similar instruments in active markets, quoted prices for identical or similar instruments in markets that are not active, and model-based valuation techniques for which all significant assumptions are observable in the market. Level 2 instruments include securities traded in less active dealer or broker markets.</w:t>
      </w:r>
    </w:p>
    <w:p>
      <w:pPr>
        <w:spacing w:after="0" w:line="211" w:lineRule="exact"/>
        <w:rPr>
          <w:sz w:val="20"/>
          <w:szCs w:val="20"/>
          <w:color w:val="auto"/>
        </w:rPr>
      </w:pPr>
    </w:p>
    <w:p>
      <w:pPr>
        <w:jc w:val="both"/>
        <w:ind w:left="660" w:right="20"/>
        <w:spacing w:after="0" w:line="263" w:lineRule="auto"/>
        <w:rPr>
          <w:sz w:val="20"/>
          <w:szCs w:val="20"/>
          <w:color w:val="auto"/>
        </w:rPr>
      </w:pPr>
      <w:r>
        <w:rPr>
          <w:rFonts w:ascii="Arial" w:cs="Arial" w:eastAsia="Arial" w:hAnsi="Arial"/>
          <w:sz w:val="18"/>
          <w:szCs w:val="18"/>
          <w:color w:val="auto"/>
        </w:rPr>
        <w:t>Level 3: Valuation is generated from model-based techniques that use at least one significant assumption not observable in the market. These unobservable assumptions reflect estimates of assumptions that market participants would use in pricing the asset or liability. Valuation techniques include use of option pricing models, discounted cash flow models and similar techniques.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9" w:name="page50"/>
    <w:bookmarkEnd w:id="4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used the following methods and significant assumptions to estimate fair value:</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u w:val="single" w:color="auto"/>
          <w:color w:val="auto"/>
        </w:rPr>
        <w:t>Securities</w:t>
      </w:r>
      <w:r>
        <w:rPr>
          <w:rFonts w:ascii="Arial" w:cs="Arial" w:eastAsia="Arial" w:hAnsi="Arial"/>
          <w:sz w:val="18"/>
          <w:szCs w:val="18"/>
          <w:color w:val="auto"/>
        </w:rPr>
        <w:t>: Where quoted market prices are available in an active market, securities available for sale are classified as Level 1 of the valuation hierarchy. We currently do not have any Level 1 securities. If quoted market prices are not available for the specific security, then fair values are estimated by (1) using quoted market prices of securities with similar characteristics, (2) matrix pricing, which is a mathematical technique used widely in the industry to value debt securities without relying exclusively on quoted prices for specific securities but rather by relying on the securities’ relationship to other benchmark quoted prices, or (3) a discounted cash flow analysis whose significant fair value inputs can generally be verified and do not typically involve judgment by management. These securities are classified as Level 2 of the valuation hierarchy and primarily include agency securities, private label mortgage-backed securities, other asset backed securities, obligations of states and political subdivisions, trust preferred securities, corporate securities and foreign government securities.</w:t>
      </w:r>
    </w:p>
    <w:p>
      <w:pPr>
        <w:spacing w:after="0" w:line="2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u w:val="single" w:color="auto"/>
          <w:color w:val="auto"/>
        </w:rPr>
        <w:t>Loans held for sale</w:t>
      </w:r>
      <w:r>
        <w:rPr>
          <w:rFonts w:ascii="Arial" w:cs="Arial" w:eastAsia="Arial" w:hAnsi="Arial"/>
          <w:sz w:val="18"/>
          <w:szCs w:val="18"/>
          <w:color w:val="auto"/>
        </w:rPr>
        <w:t>: The fair value of mortgage loans held for sale, carried at fair value is based on agency cash window loan pricing for comparable assets (recurring Level 2).</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u w:val="single" w:color="auto"/>
          <w:color w:val="auto"/>
        </w:rPr>
        <w:t>Collateral dependent loans with specific loss allocations based on collateral value</w:t>
      </w:r>
      <w:r>
        <w:rPr>
          <w:rFonts w:ascii="Arial" w:cs="Arial" w:eastAsia="Arial" w:hAnsi="Arial"/>
          <w:sz w:val="18"/>
          <w:szCs w:val="18"/>
          <w:color w:val="auto"/>
        </w:rPr>
        <w:t>: From time to time, certain collateral dependent loans will have an ACL established. When the fair value of the collateral is based on an appraised value or when an appraised value is not available we record the collateral dependent loan as nonrecurring Level 3. These appraisals may utilize a single valuation approach or a combination of approaches including comparable sales and the income approach. Adjustments are routinely made in the appraisal process by the independent appraisers to adjust for differences between the comparable sales and income data available. Such adjustments can be significant and thus will typically result in a Level 3 classification of the inputs for determining fair value.</w:t>
      </w:r>
    </w:p>
    <w:p>
      <w:pPr>
        <w:spacing w:after="0" w:line="21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u w:val="single" w:color="auto"/>
          <w:color w:val="auto"/>
        </w:rPr>
        <w:t>Other real estate</w:t>
      </w:r>
      <w:r>
        <w:rPr>
          <w:rFonts w:ascii="Arial" w:cs="Arial" w:eastAsia="Arial" w:hAnsi="Arial"/>
          <w:sz w:val="16"/>
          <w:szCs w:val="16"/>
          <w:color w:val="auto"/>
        </w:rPr>
        <w:t>: At the time of acquisition, other real estate is recorded at fair value, less estimated costs to sell, which becomes the property’s new basis. Subsequent write-downs to reflect declines in value since the time of acquisition may occur from time to time and are recorded in net (gains) losses on other real estate and repossessed assets, which is part of non-interest expense - other in the Condensed Consolidated Statements of Operations. The fair value of the property used at and subsequent to the time of acquisition is typically determined by a third party appraisal of the property. These appraisals may utilize a single valuation approach or a combination of approaches including comparable sales and the income approach. Adjustments are routinely made in the appraisal process by the independent appraisers to adjust for differences between the comparable sales and income data available. Such adjustments can be significant and typically result in a Level 3 classification of the inputs for determining fair value.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0" w:name="page51"/>
    <w:bookmarkEnd w:id="5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Appraisals for both collateral-dependent loans and other real estate are performed by certified general appraisers (for commercial properties) or certified residential appraisers (for residential properties) whose qualifications and licenses have been reviewed and verified by us. Once received, an independent third party, or a member of our Collateral Evaluation Department (for commercial properties), or a member of our Special Assets Group (for residential properties) reviews the assumptions and approaches utilized in the appraisal as well as the overall resulting fair value in comparison with independent data sources such as recent market data or industry-wide statistics. We compare the actual selling price of collateral that has been sold to the most recent appraised value of our properties to determine what additional adjustment, if any, should be made to the appraisal value to arrive at fair value. For commercial and residential properties we typically discount an appraisal to account for various factors that the appraisal excludes in its assumptions. These additional discounts generally do not result in material adjustments to the appraised value.</w:t>
      </w:r>
    </w:p>
    <w:p>
      <w:pPr>
        <w:spacing w:after="0" w:line="20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u w:val="single" w:color="auto"/>
          <w:color w:val="auto"/>
        </w:rPr>
        <w:t>Capitalized mortgage loan servicing rights</w:t>
      </w:r>
      <w:r>
        <w:rPr>
          <w:rFonts w:ascii="Arial" w:cs="Arial" w:eastAsia="Arial" w:hAnsi="Arial"/>
          <w:sz w:val="18"/>
          <w:szCs w:val="18"/>
          <w:color w:val="auto"/>
        </w:rPr>
        <w:t>: The fair value of capitalized mortgage loan servicing rights is based on a valuation model used by an independent third party that calculates the present value of estimated net servicing income. The valuation model incorporates assumptions that market participants would use in estimating future net servicing income. Certain model assumptions are generally unobservable and are based upon the best information available including data relating to our own servicing portfolio, reviews of mortgage servicing assumption and valuation surveys and input from various mortgage servicers and, therefore, are recorded as Level 3. Management evaluates the third party valuation for reasonableness each quarter as part of our financial reporting control processes.</w:t>
      </w:r>
    </w:p>
    <w:p>
      <w:pPr>
        <w:spacing w:after="0" w:line="21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u w:val="single" w:color="auto"/>
          <w:color w:val="auto"/>
        </w:rPr>
        <w:t>Derivatives</w:t>
      </w:r>
      <w:r>
        <w:rPr>
          <w:rFonts w:ascii="Arial" w:cs="Arial" w:eastAsia="Arial" w:hAnsi="Arial"/>
          <w:sz w:val="18"/>
          <w:szCs w:val="18"/>
          <w:color w:val="auto"/>
        </w:rPr>
        <w:t>: The fair value of rate-lock mortgage loan commitments is based on agency cash window loan pricing for comparable assets and the fair value of mandatory commitments to sell mortgage loans is based on mortgage backed security pricing for comparable assets (recurring Level 2). The fair value of interest rate swap, interest rate cap and swaption agreements are derived from proprietary models which utilize current market data. The significant fair value inputs can generally be observed in the market place and do not typically involve judgment by management (recurring Level 2). The fair value of purchased and written options is based on prices of financial instruments with similar characteristics and do not typically involve judgment by management (recurring Level 2).</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1" w:name="page52"/>
    <w:bookmarkEnd w:id="5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Assets and liabilities measured at fair value, including financial assets for which we have elected the fair value option, were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5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0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color w:val="auto"/>
                <w:w w:val="90"/>
              </w:rPr>
              <w:t>Fair Value Measurements Using</w:t>
            </w:r>
          </w:p>
        </w:tc>
        <w:tc>
          <w:tcPr>
            <w:tcW w:w="0" w:type="dxa"/>
            <w:vAlign w:val="bottom"/>
          </w:tcPr>
          <w:p>
            <w:pPr>
              <w:spacing w:after="0"/>
              <w:rPr>
                <w:sz w:val="1"/>
                <w:szCs w:val="1"/>
                <w:color w:val="auto"/>
              </w:rPr>
            </w:pPr>
          </w:p>
        </w:tc>
      </w:tr>
      <w:tr>
        <w:trPr>
          <w:trHeight w:val="202"/>
        </w:trPr>
        <w:tc>
          <w:tcPr>
            <w:tcW w:w="45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00" w:type="dxa"/>
            <w:vAlign w:val="bottom"/>
          </w:tcPr>
          <w:p>
            <w:pPr>
              <w:jc w:val="center"/>
              <w:ind w:left="170"/>
              <w:spacing w:after="0" w:line="201" w:lineRule="exact"/>
              <w:rPr>
                <w:sz w:val="20"/>
                <w:szCs w:val="20"/>
                <w:color w:val="auto"/>
              </w:rPr>
            </w:pPr>
            <w:r>
              <w:rPr>
                <w:rFonts w:ascii="Arial" w:cs="Arial" w:eastAsia="Arial" w:hAnsi="Arial"/>
                <w:sz w:val="18"/>
                <w:szCs w:val="18"/>
                <w:color w:val="auto"/>
                <w:w w:val="87"/>
              </w:rPr>
              <w:t>Quoted</w:t>
            </w: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00" w:type="dxa"/>
            <w:vAlign w:val="bottom"/>
          </w:tcPr>
          <w:p>
            <w:pPr>
              <w:jc w:val="center"/>
              <w:ind w:left="170"/>
              <w:spacing w:after="0"/>
              <w:rPr>
                <w:sz w:val="20"/>
                <w:szCs w:val="20"/>
                <w:color w:val="auto"/>
              </w:rPr>
            </w:pPr>
            <w:r>
              <w:rPr>
                <w:rFonts w:ascii="Arial" w:cs="Arial" w:eastAsia="Arial" w:hAnsi="Arial"/>
                <w:sz w:val="18"/>
                <w:szCs w:val="18"/>
                <w:color w:val="auto"/>
                <w:w w:val="87"/>
              </w:rPr>
              <w:t>Prices</w:t>
            </w: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00" w:type="dxa"/>
            <w:vAlign w:val="bottom"/>
          </w:tcPr>
          <w:p>
            <w:pPr>
              <w:jc w:val="center"/>
              <w:ind w:left="170"/>
              <w:spacing w:after="0"/>
              <w:rPr>
                <w:sz w:val="20"/>
                <w:szCs w:val="20"/>
                <w:color w:val="auto"/>
              </w:rPr>
            </w:pPr>
            <w:r>
              <w:rPr>
                <w:rFonts w:ascii="Arial" w:cs="Arial" w:eastAsia="Arial" w:hAnsi="Arial"/>
                <w:sz w:val="18"/>
                <w:szCs w:val="18"/>
                <w:color w:val="auto"/>
                <w:w w:val="99"/>
              </w:rPr>
              <w:t>in Active</w:t>
            </w: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00" w:type="dxa"/>
            <w:vAlign w:val="bottom"/>
          </w:tcPr>
          <w:p>
            <w:pPr>
              <w:jc w:val="center"/>
              <w:ind w:left="170"/>
              <w:spacing w:after="0"/>
              <w:rPr>
                <w:sz w:val="20"/>
                <w:szCs w:val="20"/>
                <w:color w:val="auto"/>
              </w:rPr>
            </w:pPr>
            <w:r>
              <w:rPr>
                <w:rFonts w:ascii="Arial" w:cs="Arial" w:eastAsia="Arial" w:hAnsi="Arial"/>
                <w:sz w:val="18"/>
                <w:szCs w:val="18"/>
                <w:color w:val="auto"/>
                <w:w w:val="93"/>
              </w:rPr>
              <w:t>Markets</w:t>
            </w:r>
          </w:p>
        </w:tc>
        <w:tc>
          <w:tcPr>
            <w:tcW w:w="480" w:type="dxa"/>
            <w:vAlign w:val="bottom"/>
          </w:tcPr>
          <w:p>
            <w:pPr>
              <w:spacing w:after="0"/>
              <w:rPr>
                <w:sz w:val="18"/>
                <w:szCs w:val="18"/>
                <w:color w:val="auto"/>
              </w:rPr>
            </w:pPr>
          </w:p>
        </w:tc>
        <w:tc>
          <w:tcPr>
            <w:tcW w:w="1100" w:type="dxa"/>
            <w:vAlign w:val="bottom"/>
          </w:tcPr>
          <w:p>
            <w:pPr>
              <w:jc w:val="center"/>
              <w:ind w:right="130"/>
              <w:spacing w:after="0"/>
              <w:rPr>
                <w:sz w:val="20"/>
                <w:szCs w:val="20"/>
                <w:color w:val="auto"/>
              </w:rPr>
            </w:pPr>
            <w:r>
              <w:rPr>
                <w:rFonts w:ascii="Arial" w:cs="Arial" w:eastAsia="Arial" w:hAnsi="Arial"/>
                <w:sz w:val="18"/>
                <w:szCs w:val="18"/>
                <w:color w:val="auto"/>
                <w:w w:val="96"/>
              </w:rPr>
              <w:t>Significant</w:t>
            </w:r>
          </w:p>
        </w:tc>
        <w:tc>
          <w:tcPr>
            <w:tcW w:w="220" w:type="dxa"/>
            <w:vAlign w:val="bottom"/>
          </w:tcPr>
          <w:p>
            <w:pPr>
              <w:spacing w:after="0"/>
              <w:rPr>
                <w:sz w:val="18"/>
                <w:szCs w:val="18"/>
                <w:color w:val="auto"/>
              </w:rPr>
            </w:pPr>
          </w:p>
        </w:tc>
        <w:tc>
          <w:tcPr>
            <w:tcW w:w="1100" w:type="dxa"/>
            <w:vAlign w:val="bottom"/>
          </w:tcPr>
          <w:p>
            <w:pPr>
              <w:jc w:val="center"/>
              <w:ind w:right="130"/>
              <w:spacing w:after="0"/>
              <w:rPr>
                <w:sz w:val="20"/>
                <w:szCs w:val="20"/>
                <w:color w:val="auto"/>
              </w:rPr>
            </w:pPr>
            <w:r>
              <w:rPr>
                <w:rFonts w:ascii="Arial" w:cs="Arial" w:eastAsia="Arial" w:hAnsi="Arial"/>
                <w:sz w:val="18"/>
                <w:szCs w:val="18"/>
                <w:color w:val="auto"/>
                <w:w w:val="96"/>
              </w:rPr>
              <w:t>Significant</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00" w:type="dxa"/>
            <w:vAlign w:val="bottom"/>
          </w:tcPr>
          <w:p>
            <w:pPr>
              <w:jc w:val="center"/>
              <w:ind w:left="170"/>
              <w:spacing w:after="0"/>
              <w:rPr>
                <w:sz w:val="20"/>
                <w:szCs w:val="20"/>
                <w:color w:val="auto"/>
              </w:rPr>
            </w:pPr>
            <w:r>
              <w:rPr>
                <w:rFonts w:ascii="Arial" w:cs="Arial" w:eastAsia="Arial" w:hAnsi="Arial"/>
                <w:sz w:val="18"/>
                <w:szCs w:val="18"/>
                <w:color w:val="auto"/>
                <w:w w:val="94"/>
              </w:rPr>
              <w:t>for</w:t>
            </w:r>
          </w:p>
        </w:tc>
        <w:tc>
          <w:tcPr>
            <w:tcW w:w="480" w:type="dxa"/>
            <w:vAlign w:val="bottom"/>
          </w:tcPr>
          <w:p>
            <w:pPr>
              <w:spacing w:after="0"/>
              <w:rPr>
                <w:sz w:val="18"/>
                <w:szCs w:val="18"/>
                <w:color w:val="auto"/>
              </w:rPr>
            </w:pPr>
          </w:p>
        </w:tc>
        <w:tc>
          <w:tcPr>
            <w:tcW w:w="1100" w:type="dxa"/>
            <w:vAlign w:val="bottom"/>
          </w:tcPr>
          <w:p>
            <w:pPr>
              <w:jc w:val="center"/>
              <w:ind w:right="130"/>
              <w:spacing w:after="0"/>
              <w:rPr>
                <w:sz w:val="20"/>
                <w:szCs w:val="20"/>
                <w:color w:val="auto"/>
              </w:rPr>
            </w:pPr>
            <w:r>
              <w:rPr>
                <w:rFonts w:ascii="Arial" w:cs="Arial" w:eastAsia="Arial" w:hAnsi="Arial"/>
                <w:sz w:val="18"/>
                <w:szCs w:val="18"/>
                <w:color w:val="auto"/>
                <w:w w:val="88"/>
              </w:rPr>
              <w:t>Other</w:t>
            </w:r>
          </w:p>
        </w:tc>
        <w:tc>
          <w:tcPr>
            <w:tcW w:w="220" w:type="dxa"/>
            <w:vAlign w:val="bottom"/>
          </w:tcPr>
          <w:p>
            <w:pPr>
              <w:spacing w:after="0"/>
              <w:rPr>
                <w:sz w:val="18"/>
                <w:szCs w:val="18"/>
                <w:color w:val="auto"/>
              </w:rPr>
            </w:pPr>
          </w:p>
        </w:tc>
        <w:tc>
          <w:tcPr>
            <w:tcW w:w="1100" w:type="dxa"/>
            <w:vAlign w:val="bottom"/>
          </w:tcPr>
          <w:p>
            <w:pPr>
              <w:jc w:val="center"/>
              <w:ind w:right="130"/>
              <w:spacing w:after="0"/>
              <w:rPr>
                <w:sz w:val="20"/>
                <w:szCs w:val="20"/>
                <w:color w:val="auto"/>
              </w:rPr>
            </w:pPr>
            <w:r>
              <w:rPr>
                <w:rFonts w:ascii="Arial" w:cs="Arial" w:eastAsia="Arial" w:hAnsi="Arial"/>
                <w:sz w:val="18"/>
                <w:szCs w:val="18"/>
                <w:color w:val="auto"/>
                <w:w w:val="96"/>
              </w:rPr>
              <w:t>Un-</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center"/>
              <w:ind w:right="190"/>
              <w:spacing w:after="0"/>
              <w:rPr>
                <w:sz w:val="20"/>
                <w:szCs w:val="20"/>
                <w:color w:val="auto"/>
              </w:rPr>
            </w:pPr>
            <w:r>
              <w:rPr>
                <w:rFonts w:ascii="Arial" w:cs="Arial" w:eastAsia="Arial" w:hAnsi="Arial"/>
                <w:sz w:val="18"/>
                <w:szCs w:val="18"/>
                <w:color w:val="auto"/>
                <w:w w:val="92"/>
              </w:rPr>
              <w:t>Fair Value</w:t>
            </w:r>
          </w:p>
        </w:tc>
        <w:tc>
          <w:tcPr>
            <w:tcW w:w="1100" w:type="dxa"/>
            <w:vAlign w:val="bottom"/>
          </w:tcPr>
          <w:p>
            <w:pPr>
              <w:jc w:val="center"/>
              <w:ind w:left="170"/>
              <w:spacing w:after="0"/>
              <w:rPr>
                <w:sz w:val="20"/>
                <w:szCs w:val="20"/>
                <w:color w:val="auto"/>
              </w:rPr>
            </w:pPr>
            <w:r>
              <w:rPr>
                <w:rFonts w:ascii="Arial" w:cs="Arial" w:eastAsia="Arial" w:hAnsi="Arial"/>
                <w:sz w:val="18"/>
                <w:szCs w:val="18"/>
                <w:color w:val="auto"/>
                <w:w w:val="95"/>
              </w:rPr>
              <w:t>Identical</w:t>
            </w:r>
          </w:p>
        </w:tc>
        <w:tc>
          <w:tcPr>
            <w:tcW w:w="480" w:type="dxa"/>
            <w:vAlign w:val="bottom"/>
          </w:tcPr>
          <w:p>
            <w:pPr>
              <w:spacing w:after="0"/>
              <w:rPr>
                <w:sz w:val="18"/>
                <w:szCs w:val="18"/>
                <w:color w:val="auto"/>
              </w:rPr>
            </w:pPr>
          </w:p>
        </w:tc>
        <w:tc>
          <w:tcPr>
            <w:tcW w:w="1100" w:type="dxa"/>
            <w:vAlign w:val="bottom"/>
          </w:tcPr>
          <w:p>
            <w:pPr>
              <w:jc w:val="center"/>
              <w:ind w:right="150"/>
              <w:spacing w:after="0"/>
              <w:rPr>
                <w:sz w:val="20"/>
                <w:szCs w:val="20"/>
                <w:color w:val="auto"/>
              </w:rPr>
            </w:pPr>
            <w:r>
              <w:rPr>
                <w:rFonts w:ascii="Arial" w:cs="Arial" w:eastAsia="Arial" w:hAnsi="Arial"/>
                <w:sz w:val="18"/>
                <w:szCs w:val="18"/>
                <w:color w:val="auto"/>
                <w:w w:val="89"/>
              </w:rPr>
              <w:t>Observable</w:t>
            </w:r>
          </w:p>
        </w:tc>
        <w:tc>
          <w:tcPr>
            <w:tcW w:w="220" w:type="dxa"/>
            <w:vAlign w:val="bottom"/>
          </w:tcPr>
          <w:p>
            <w:pPr>
              <w:spacing w:after="0"/>
              <w:rPr>
                <w:sz w:val="18"/>
                <w:szCs w:val="18"/>
                <w:color w:val="auto"/>
              </w:rPr>
            </w:pPr>
          </w:p>
        </w:tc>
        <w:tc>
          <w:tcPr>
            <w:tcW w:w="1100" w:type="dxa"/>
            <w:vAlign w:val="bottom"/>
          </w:tcPr>
          <w:p>
            <w:pPr>
              <w:jc w:val="center"/>
              <w:ind w:right="150"/>
              <w:spacing w:after="0"/>
              <w:rPr>
                <w:sz w:val="20"/>
                <w:szCs w:val="20"/>
                <w:color w:val="auto"/>
              </w:rPr>
            </w:pPr>
            <w:r>
              <w:rPr>
                <w:rFonts w:ascii="Arial" w:cs="Arial" w:eastAsia="Arial" w:hAnsi="Arial"/>
                <w:sz w:val="18"/>
                <w:szCs w:val="18"/>
                <w:color w:val="auto"/>
                <w:w w:val="88"/>
              </w:rPr>
              <w:t>observable</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center"/>
              <w:ind w:right="190"/>
              <w:spacing w:after="0"/>
              <w:rPr>
                <w:sz w:val="20"/>
                <w:szCs w:val="20"/>
                <w:color w:val="auto"/>
              </w:rPr>
            </w:pPr>
            <w:r>
              <w:rPr>
                <w:rFonts w:ascii="Arial" w:cs="Arial" w:eastAsia="Arial" w:hAnsi="Arial"/>
                <w:sz w:val="18"/>
                <w:szCs w:val="18"/>
                <w:color w:val="auto"/>
                <w:w w:val="89"/>
              </w:rPr>
              <w:t>Measure-</w:t>
            </w:r>
          </w:p>
        </w:tc>
        <w:tc>
          <w:tcPr>
            <w:tcW w:w="1100" w:type="dxa"/>
            <w:vAlign w:val="bottom"/>
          </w:tcPr>
          <w:p>
            <w:pPr>
              <w:jc w:val="center"/>
              <w:ind w:left="170"/>
              <w:spacing w:after="0"/>
              <w:rPr>
                <w:sz w:val="20"/>
                <w:szCs w:val="20"/>
                <w:color w:val="auto"/>
              </w:rPr>
            </w:pPr>
            <w:r>
              <w:rPr>
                <w:rFonts w:ascii="Arial" w:cs="Arial" w:eastAsia="Arial" w:hAnsi="Arial"/>
                <w:sz w:val="18"/>
                <w:szCs w:val="18"/>
                <w:color w:val="auto"/>
                <w:w w:val="88"/>
              </w:rPr>
              <w:t>Assets</w:t>
            </w:r>
          </w:p>
        </w:tc>
        <w:tc>
          <w:tcPr>
            <w:tcW w:w="480" w:type="dxa"/>
            <w:vAlign w:val="bottom"/>
          </w:tcPr>
          <w:p>
            <w:pPr>
              <w:spacing w:after="0"/>
              <w:rPr>
                <w:sz w:val="18"/>
                <w:szCs w:val="18"/>
                <w:color w:val="auto"/>
              </w:rPr>
            </w:pPr>
          </w:p>
        </w:tc>
        <w:tc>
          <w:tcPr>
            <w:tcW w:w="1100" w:type="dxa"/>
            <w:vAlign w:val="bottom"/>
          </w:tcPr>
          <w:p>
            <w:pPr>
              <w:jc w:val="center"/>
              <w:ind w:right="130"/>
              <w:spacing w:after="0"/>
              <w:rPr>
                <w:sz w:val="20"/>
                <w:szCs w:val="20"/>
                <w:color w:val="auto"/>
              </w:rPr>
            </w:pPr>
            <w:r>
              <w:rPr>
                <w:rFonts w:ascii="Arial" w:cs="Arial" w:eastAsia="Arial" w:hAnsi="Arial"/>
                <w:sz w:val="18"/>
                <w:szCs w:val="18"/>
                <w:color w:val="auto"/>
                <w:w w:val="89"/>
              </w:rPr>
              <w:t>Inputs</w:t>
            </w:r>
          </w:p>
        </w:tc>
        <w:tc>
          <w:tcPr>
            <w:tcW w:w="220" w:type="dxa"/>
            <w:vAlign w:val="bottom"/>
          </w:tcPr>
          <w:p>
            <w:pPr>
              <w:spacing w:after="0"/>
              <w:rPr>
                <w:sz w:val="18"/>
                <w:szCs w:val="18"/>
                <w:color w:val="auto"/>
              </w:rPr>
            </w:pPr>
          </w:p>
        </w:tc>
        <w:tc>
          <w:tcPr>
            <w:tcW w:w="1100" w:type="dxa"/>
            <w:vAlign w:val="bottom"/>
          </w:tcPr>
          <w:p>
            <w:pPr>
              <w:jc w:val="center"/>
              <w:ind w:right="130"/>
              <w:spacing w:after="0"/>
              <w:rPr>
                <w:sz w:val="20"/>
                <w:szCs w:val="20"/>
                <w:color w:val="auto"/>
              </w:rPr>
            </w:pPr>
            <w:r>
              <w:rPr>
                <w:rFonts w:ascii="Arial" w:cs="Arial" w:eastAsia="Arial" w:hAnsi="Arial"/>
                <w:sz w:val="18"/>
                <w:szCs w:val="18"/>
                <w:color w:val="auto"/>
                <w:w w:val="89"/>
              </w:rPr>
              <w:t>Inputs</w:t>
            </w:r>
          </w:p>
        </w:tc>
        <w:tc>
          <w:tcPr>
            <w:tcW w:w="0" w:type="dxa"/>
            <w:vAlign w:val="bottom"/>
          </w:tcPr>
          <w:p>
            <w:pPr>
              <w:spacing w:after="0"/>
              <w:rPr>
                <w:sz w:val="1"/>
                <w:szCs w:val="1"/>
                <w:color w:val="auto"/>
              </w:rPr>
            </w:pPr>
          </w:p>
        </w:tc>
      </w:tr>
      <w:tr>
        <w:trPr>
          <w:trHeight w:val="237"/>
        </w:trPr>
        <w:tc>
          <w:tcPr>
            <w:tcW w:w="45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color w:val="auto"/>
                <w:w w:val="89"/>
              </w:rPr>
              <w:t>ments</w:t>
            </w:r>
          </w:p>
        </w:tc>
        <w:tc>
          <w:tcPr>
            <w:tcW w:w="1100" w:type="dxa"/>
            <w:vAlign w:val="bottom"/>
            <w:tcBorders>
              <w:bottom w:val="single" w:sz="8" w:color="auto"/>
            </w:tcBorders>
          </w:tcPr>
          <w:p>
            <w:pPr>
              <w:jc w:val="center"/>
              <w:ind w:left="170"/>
              <w:spacing w:after="0"/>
              <w:rPr>
                <w:sz w:val="20"/>
                <w:szCs w:val="20"/>
                <w:color w:val="auto"/>
              </w:rPr>
            </w:pPr>
            <w:r>
              <w:rPr>
                <w:rFonts w:ascii="Arial" w:cs="Arial" w:eastAsia="Arial" w:hAnsi="Arial"/>
                <w:sz w:val="18"/>
                <w:szCs w:val="18"/>
                <w:color w:val="auto"/>
                <w:w w:val="97"/>
              </w:rPr>
              <w:t>(Level 1)</w:t>
            </w:r>
          </w:p>
        </w:tc>
        <w:tc>
          <w:tcPr>
            <w:tcW w:w="4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94"/>
              </w:rPr>
              <w:t>(Level 2)</w:t>
            </w: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97"/>
              </w:rPr>
              <w:t>(Level 3)</w:t>
            </w:r>
          </w:p>
        </w:tc>
        <w:tc>
          <w:tcPr>
            <w:tcW w:w="0" w:type="dxa"/>
            <w:vAlign w:val="bottom"/>
          </w:tcPr>
          <w:p>
            <w:pPr>
              <w:spacing w:after="0"/>
              <w:rPr>
                <w:sz w:val="1"/>
                <w:szCs w:val="1"/>
                <w:color w:val="auto"/>
              </w:rPr>
            </w:pPr>
          </w:p>
        </w:tc>
      </w:tr>
      <w:tr>
        <w:trPr>
          <w:trHeight w:val="230"/>
        </w:trPr>
        <w:tc>
          <w:tcPr>
            <w:tcW w:w="5860" w:type="dxa"/>
            <w:vAlign w:val="bottom"/>
            <w:gridSpan w:val="2"/>
            <w:vMerge w:val="restart"/>
          </w:tcPr>
          <w:p>
            <w:pPr>
              <w:spacing w:after="0"/>
              <w:rPr>
                <w:sz w:val="20"/>
                <w:szCs w:val="20"/>
                <w:color w:val="auto"/>
              </w:rPr>
            </w:pPr>
            <w:r>
              <w:rPr>
                <w:rFonts w:ascii="Arial" w:cs="Arial" w:eastAsia="Arial" w:hAnsi="Arial"/>
                <w:sz w:val="18"/>
                <w:szCs w:val="18"/>
                <w:color w:val="auto"/>
              </w:rPr>
              <w:t>June 30, 2021:</w:t>
            </w: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80" w:type="dxa"/>
            <w:vAlign w:val="bottom"/>
            <w:gridSpan w:val="3"/>
          </w:tcPr>
          <w:p>
            <w:pPr>
              <w:jc w:val="right"/>
              <w:ind w:right="750"/>
              <w:spacing w:after="0"/>
              <w:rPr>
                <w:sz w:val="20"/>
                <w:szCs w:val="20"/>
                <w:color w:val="auto"/>
              </w:rPr>
            </w:pPr>
            <w:r>
              <w:rPr>
                <w:rFonts w:ascii="Arial" w:cs="Arial" w:eastAsia="Arial" w:hAnsi="Arial"/>
                <w:sz w:val="18"/>
                <w:szCs w:val="18"/>
                <w:color w:val="auto"/>
              </w:rPr>
              <w:t>(In thousands)</w:t>
            </w: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860" w:type="dxa"/>
            <w:vAlign w:val="bottom"/>
            <w:tcBorders>
              <w:bottom w:val="single" w:sz="8" w:color="auto"/>
            </w:tcBorders>
            <w:gridSpan w:val="2"/>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860" w:type="dxa"/>
            <w:vAlign w:val="bottom"/>
            <w:gridSpan w:val="2"/>
          </w:tcPr>
          <w:p>
            <w:pPr>
              <w:spacing w:after="0" w:line="201" w:lineRule="exact"/>
              <w:rPr>
                <w:sz w:val="20"/>
                <w:szCs w:val="20"/>
                <w:color w:val="auto"/>
              </w:rPr>
            </w:pPr>
            <w:r>
              <w:rPr>
                <w:rFonts w:ascii="Arial" w:cs="Arial" w:eastAsia="Arial" w:hAnsi="Arial"/>
                <w:sz w:val="18"/>
                <w:szCs w:val="18"/>
                <w:color w:val="auto"/>
              </w:rPr>
              <w:t>Measured at Fair Value on a Recurring Basis</w:t>
            </w: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60" w:type="dxa"/>
            <w:vAlign w:val="bottom"/>
            <w:gridSpan w:val="2"/>
          </w:tcPr>
          <w:p>
            <w:pPr>
              <w:ind w:left="140"/>
              <w:spacing w:after="0"/>
              <w:rPr>
                <w:sz w:val="20"/>
                <w:szCs w:val="20"/>
                <w:color w:val="auto"/>
              </w:rPr>
            </w:pPr>
            <w:r>
              <w:rPr>
                <w:rFonts w:ascii="Arial" w:cs="Arial" w:eastAsia="Arial" w:hAnsi="Arial"/>
                <w:sz w:val="18"/>
                <w:szCs w:val="18"/>
                <w:color w:val="auto"/>
              </w:rPr>
              <w:t>Assets</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60" w:type="dxa"/>
            <w:vAlign w:val="bottom"/>
            <w:gridSpan w:val="2"/>
          </w:tcPr>
          <w:p>
            <w:pPr>
              <w:ind w:left="340"/>
              <w:spacing w:after="0"/>
              <w:rPr>
                <w:sz w:val="20"/>
                <w:szCs w:val="20"/>
                <w:color w:val="auto"/>
              </w:rPr>
            </w:pPr>
            <w:r>
              <w:rPr>
                <w:rFonts w:ascii="Arial" w:cs="Arial" w:eastAsia="Arial" w:hAnsi="Arial"/>
                <w:sz w:val="18"/>
                <w:szCs w:val="18"/>
                <w:color w:val="auto"/>
              </w:rPr>
              <w:t>Securities available for sale</w:t>
            </w: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U.S. agency</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8,596</w:t>
            </w:r>
          </w:p>
        </w:tc>
        <w:tc>
          <w:tcPr>
            <w:tcW w:w="11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ind w:left="80"/>
              <w:spacing w:after="0"/>
              <w:rPr>
                <w:sz w:val="20"/>
                <w:szCs w:val="20"/>
                <w:color w:val="auto"/>
              </w:rPr>
            </w:pPr>
            <w:r>
              <w:rPr>
                <w:rFonts w:ascii="Arial" w:cs="Arial" w:eastAsia="Arial" w:hAnsi="Arial"/>
                <w:sz w:val="18"/>
                <w:szCs w:val="18"/>
                <w:color w:val="auto"/>
              </w:rPr>
              <w:t>-   $</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8,596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60" w:type="dxa"/>
            <w:vAlign w:val="bottom"/>
            <w:gridSpan w:val="2"/>
          </w:tcPr>
          <w:p>
            <w:pPr>
              <w:ind w:left="480"/>
              <w:spacing w:after="0"/>
              <w:rPr>
                <w:sz w:val="20"/>
                <w:szCs w:val="20"/>
                <w:color w:val="auto"/>
              </w:rPr>
            </w:pPr>
            <w:r>
              <w:rPr>
                <w:rFonts w:ascii="Arial" w:cs="Arial" w:eastAsia="Arial" w:hAnsi="Arial"/>
                <w:sz w:val="18"/>
                <w:szCs w:val="18"/>
                <w:color w:val="auto"/>
              </w:rPr>
              <w:t>U.S. agency residential mortgage-backed</w:t>
            </w:r>
          </w:p>
        </w:tc>
        <w:tc>
          <w:tcPr>
            <w:tcW w:w="26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365,367</w:t>
            </w:r>
          </w:p>
        </w:tc>
        <w:tc>
          <w:tcPr>
            <w:tcW w:w="1100" w:type="dxa"/>
            <w:vAlign w:val="bottom"/>
          </w:tcPr>
          <w:p>
            <w:pPr>
              <w:spacing w:after="0"/>
              <w:rPr>
                <w:sz w:val="18"/>
                <w:szCs w:val="18"/>
                <w:color w:val="auto"/>
              </w:rPr>
            </w:pPr>
          </w:p>
        </w:tc>
        <w:tc>
          <w:tcPr>
            <w:tcW w:w="480" w:type="dxa"/>
            <w:vAlign w:val="bottom"/>
          </w:tcPr>
          <w:p>
            <w:pPr>
              <w:ind w:left="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365,367</w:t>
            </w:r>
          </w:p>
        </w:tc>
        <w:tc>
          <w:tcPr>
            <w:tcW w:w="2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U.S. agency commercial mortgage-backed</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19,010</w:t>
            </w: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19,010</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60" w:type="dxa"/>
            <w:vAlign w:val="bottom"/>
            <w:gridSpan w:val="2"/>
          </w:tcPr>
          <w:p>
            <w:pPr>
              <w:ind w:left="480"/>
              <w:spacing w:after="0"/>
              <w:rPr>
                <w:sz w:val="20"/>
                <w:szCs w:val="20"/>
                <w:color w:val="auto"/>
              </w:rPr>
            </w:pPr>
            <w:r>
              <w:rPr>
                <w:rFonts w:ascii="Arial" w:cs="Arial" w:eastAsia="Arial" w:hAnsi="Arial"/>
                <w:sz w:val="18"/>
                <w:szCs w:val="18"/>
                <w:color w:val="auto"/>
              </w:rPr>
              <w:t>Private label mortgage-backed</w:t>
            </w:r>
          </w:p>
        </w:tc>
        <w:tc>
          <w:tcPr>
            <w:tcW w:w="26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69,264</w:t>
            </w:r>
          </w:p>
        </w:tc>
        <w:tc>
          <w:tcPr>
            <w:tcW w:w="1100" w:type="dxa"/>
            <w:vAlign w:val="bottom"/>
          </w:tcPr>
          <w:p>
            <w:pPr>
              <w:spacing w:after="0"/>
              <w:rPr>
                <w:sz w:val="18"/>
                <w:szCs w:val="18"/>
                <w:color w:val="auto"/>
              </w:rPr>
            </w:pPr>
          </w:p>
        </w:tc>
        <w:tc>
          <w:tcPr>
            <w:tcW w:w="480" w:type="dxa"/>
            <w:vAlign w:val="bottom"/>
          </w:tcPr>
          <w:p>
            <w:pPr>
              <w:ind w:left="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69,264</w:t>
            </w:r>
          </w:p>
        </w:tc>
        <w:tc>
          <w:tcPr>
            <w:tcW w:w="2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Other asset backed</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195,226</w:t>
            </w: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195,226</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60" w:type="dxa"/>
            <w:vAlign w:val="bottom"/>
            <w:gridSpan w:val="2"/>
          </w:tcPr>
          <w:p>
            <w:pPr>
              <w:ind w:left="480"/>
              <w:spacing w:after="0"/>
              <w:rPr>
                <w:sz w:val="20"/>
                <w:szCs w:val="20"/>
                <w:color w:val="auto"/>
              </w:rPr>
            </w:pPr>
            <w:r>
              <w:rPr>
                <w:rFonts w:ascii="Arial" w:cs="Arial" w:eastAsia="Arial" w:hAnsi="Arial"/>
                <w:sz w:val="18"/>
                <w:szCs w:val="18"/>
                <w:color w:val="auto"/>
              </w:rPr>
              <w:t>Obligations of states and political subdivisions</w:t>
            </w:r>
          </w:p>
        </w:tc>
        <w:tc>
          <w:tcPr>
            <w:tcW w:w="26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519,216</w:t>
            </w:r>
          </w:p>
        </w:tc>
        <w:tc>
          <w:tcPr>
            <w:tcW w:w="1100" w:type="dxa"/>
            <w:vAlign w:val="bottom"/>
          </w:tcPr>
          <w:p>
            <w:pPr>
              <w:spacing w:after="0"/>
              <w:rPr>
                <w:sz w:val="18"/>
                <w:szCs w:val="18"/>
                <w:color w:val="auto"/>
              </w:rPr>
            </w:pPr>
          </w:p>
        </w:tc>
        <w:tc>
          <w:tcPr>
            <w:tcW w:w="480" w:type="dxa"/>
            <w:vAlign w:val="bottom"/>
          </w:tcPr>
          <w:p>
            <w:pPr>
              <w:ind w:left="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519,216</w:t>
            </w:r>
          </w:p>
        </w:tc>
        <w:tc>
          <w:tcPr>
            <w:tcW w:w="2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Corporate</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151,603</w:t>
            </w: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151,603</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60" w:type="dxa"/>
            <w:vAlign w:val="bottom"/>
            <w:gridSpan w:val="2"/>
          </w:tcPr>
          <w:p>
            <w:pPr>
              <w:ind w:left="480"/>
              <w:spacing w:after="0"/>
              <w:rPr>
                <w:sz w:val="20"/>
                <w:szCs w:val="20"/>
                <w:color w:val="auto"/>
              </w:rPr>
            </w:pPr>
            <w:r>
              <w:rPr>
                <w:rFonts w:ascii="Arial" w:cs="Arial" w:eastAsia="Arial" w:hAnsi="Arial"/>
                <w:sz w:val="18"/>
                <w:szCs w:val="18"/>
                <w:color w:val="auto"/>
              </w:rPr>
              <w:t>Trust preferred</w:t>
            </w:r>
          </w:p>
        </w:tc>
        <w:tc>
          <w:tcPr>
            <w:tcW w:w="26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1,867</w:t>
            </w:r>
          </w:p>
        </w:tc>
        <w:tc>
          <w:tcPr>
            <w:tcW w:w="1100" w:type="dxa"/>
            <w:vAlign w:val="bottom"/>
          </w:tcPr>
          <w:p>
            <w:pPr>
              <w:spacing w:after="0"/>
              <w:rPr>
                <w:sz w:val="18"/>
                <w:szCs w:val="18"/>
                <w:color w:val="auto"/>
              </w:rPr>
            </w:pPr>
          </w:p>
        </w:tc>
        <w:tc>
          <w:tcPr>
            <w:tcW w:w="480" w:type="dxa"/>
            <w:vAlign w:val="bottom"/>
          </w:tcPr>
          <w:p>
            <w:pPr>
              <w:ind w:left="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1,867</w:t>
            </w:r>
          </w:p>
        </w:tc>
        <w:tc>
          <w:tcPr>
            <w:tcW w:w="2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Foreign government</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511</w:t>
            </w: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511</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60" w:type="dxa"/>
            <w:vAlign w:val="bottom"/>
            <w:gridSpan w:val="2"/>
          </w:tcPr>
          <w:p>
            <w:pPr>
              <w:ind w:left="340"/>
              <w:spacing w:after="0"/>
              <w:rPr>
                <w:sz w:val="20"/>
                <w:szCs w:val="20"/>
                <w:color w:val="auto"/>
              </w:rPr>
            </w:pPr>
            <w:r>
              <w:rPr>
                <w:rFonts w:ascii="Arial" w:cs="Arial" w:eastAsia="Arial" w:hAnsi="Arial"/>
                <w:sz w:val="18"/>
                <w:szCs w:val="18"/>
                <w:color w:val="auto"/>
              </w:rPr>
              <w:t>Loans held for sale, carried at fair value</w:t>
            </w:r>
          </w:p>
        </w:tc>
        <w:tc>
          <w:tcPr>
            <w:tcW w:w="26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59,752</w:t>
            </w:r>
          </w:p>
        </w:tc>
        <w:tc>
          <w:tcPr>
            <w:tcW w:w="1100" w:type="dxa"/>
            <w:vAlign w:val="bottom"/>
          </w:tcPr>
          <w:p>
            <w:pPr>
              <w:spacing w:after="0"/>
              <w:rPr>
                <w:sz w:val="18"/>
                <w:szCs w:val="18"/>
                <w:color w:val="auto"/>
              </w:rPr>
            </w:pPr>
          </w:p>
        </w:tc>
        <w:tc>
          <w:tcPr>
            <w:tcW w:w="480" w:type="dxa"/>
            <w:vAlign w:val="bottom"/>
          </w:tcPr>
          <w:p>
            <w:pPr>
              <w:ind w:left="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59,752</w:t>
            </w:r>
          </w:p>
        </w:tc>
        <w:tc>
          <w:tcPr>
            <w:tcW w:w="2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Capitalized mortgage loan servicing rights</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22,431</w:t>
            </w: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22,431</w:t>
            </w:r>
          </w:p>
        </w:tc>
        <w:tc>
          <w:tcPr>
            <w:tcW w:w="0" w:type="dxa"/>
            <w:vAlign w:val="bottom"/>
          </w:tcPr>
          <w:p>
            <w:pPr>
              <w:spacing w:after="0"/>
              <w:rPr>
                <w:sz w:val="1"/>
                <w:szCs w:val="1"/>
                <w:color w:val="auto"/>
              </w:rPr>
            </w:pPr>
          </w:p>
        </w:tc>
      </w:tr>
      <w:tr>
        <w:trPr>
          <w:trHeight w:val="216"/>
        </w:trPr>
        <w:tc>
          <w:tcPr>
            <w:tcW w:w="5860" w:type="dxa"/>
            <w:vAlign w:val="bottom"/>
            <w:gridSpan w:val="2"/>
          </w:tcPr>
          <w:p>
            <w:pPr>
              <w:ind w:left="340"/>
              <w:spacing w:after="0"/>
              <w:rPr>
                <w:sz w:val="20"/>
                <w:szCs w:val="20"/>
                <w:color w:val="auto"/>
              </w:rPr>
            </w:pPr>
            <w:r>
              <w:rPr>
                <w:rFonts w:ascii="Arial" w:cs="Arial" w:eastAsia="Arial" w:hAnsi="Arial"/>
                <w:sz w:val="18"/>
                <w:szCs w:val="18"/>
                <w:color w:val="auto"/>
              </w:rPr>
              <w:t>Derivatives (1)</w:t>
            </w:r>
          </w:p>
        </w:tc>
        <w:tc>
          <w:tcPr>
            <w:tcW w:w="26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14,222</w:t>
            </w:r>
          </w:p>
        </w:tc>
        <w:tc>
          <w:tcPr>
            <w:tcW w:w="1100" w:type="dxa"/>
            <w:vAlign w:val="bottom"/>
          </w:tcPr>
          <w:p>
            <w:pPr>
              <w:spacing w:after="0"/>
              <w:rPr>
                <w:sz w:val="18"/>
                <w:szCs w:val="18"/>
                <w:color w:val="auto"/>
              </w:rPr>
            </w:pPr>
          </w:p>
        </w:tc>
        <w:tc>
          <w:tcPr>
            <w:tcW w:w="480" w:type="dxa"/>
            <w:vAlign w:val="bottom"/>
          </w:tcPr>
          <w:p>
            <w:pPr>
              <w:ind w:left="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14,222</w:t>
            </w:r>
          </w:p>
        </w:tc>
        <w:tc>
          <w:tcPr>
            <w:tcW w:w="2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Liabilities</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gridSpan w:val="2"/>
          </w:tcPr>
          <w:p>
            <w:pPr>
              <w:ind w:left="340"/>
              <w:spacing w:after="0"/>
              <w:rPr>
                <w:sz w:val="20"/>
                <w:szCs w:val="20"/>
                <w:color w:val="auto"/>
              </w:rPr>
            </w:pPr>
            <w:r>
              <w:rPr>
                <w:rFonts w:ascii="Arial" w:cs="Arial" w:eastAsia="Arial" w:hAnsi="Arial"/>
                <w:sz w:val="18"/>
                <w:szCs w:val="18"/>
                <w:color w:val="auto"/>
              </w:rPr>
              <w:t>Derivatives (2)</w:t>
            </w:r>
          </w:p>
        </w:tc>
        <w:tc>
          <w:tcPr>
            <w:tcW w:w="26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7,738</w:t>
            </w:r>
          </w:p>
        </w:tc>
        <w:tc>
          <w:tcPr>
            <w:tcW w:w="1100" w:type="dxa"/>
            <w:vAlign w:val="bottom"/>
          </w:tcPr>
          <w:p>
            <w:pPr>
              <w:spacing w:after="0"/>
              <w:rPr>
                <w:sz w:val="18"/>
                <w:szCs w:val="18"/>
                <w:color w:val="auto"/>
              </w:rPr>
            </w:pPr>
          </w:p>
        </w:tc>
        <w:tc>
          <w:tcPr>
            <w:tcW w:w="480" w:type="dxa"/>
            <w:vAlign w:val="bottom"/>
          </w:tcPr>
          <w:p>
            <w:pPr>
              <w:ind w:left="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7,738</w:t>
            </w:r>
          </w:p>
        </w:tc>
        <w:tc>
          <w:tcPr>
            <w:tcW w:w="2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gridSpan w:val="2"/>
          </w:tcPr>
          <w:p>
            <w:pPr>
              <w:spacing w:after="0"/>
              <w:rPr>
                <w:sz w:val="20"/>
                <w:szCs w:val="20"/>
                <w:color w:val="auto"/>
              </w:rPr>
            </w:pPr>
            <w:r>
              <w:rPr>
                <w:rFonts w:ascii="Arial" w:cs="Arial" w:eastAsia="Arial" w:hAnsi="Arial"/>
                <w:sz w:val="18"/>
                <w:szCs w:val="18"/>
                <w:color w:val="auto"/>
              </w:rPr>
              <w:t>Measured at Fair Value on a Non-recurring Basis:</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Assets</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gridSpan w:val="2"/>
          </w:tcPr>
          <w:p>
            <w:pPr>
              <w:ind w:left="340"/>
              <w:spacing w:after="0"/>
              <w:rPr>
                <w:sz w:val="20"/>
                <w:szCs w:val="20"/>
                <w:color w:val="auto"/>
              </w:rPr>
            </w:pPr>
            <w:r>
              <w:rPr>
                <w:rFonts w:ascii="Arial" w:cs="Arial" w:eastAsia="Arial" w:hAnsi="Arial"/>
                <w:sz w:val="18"/>
                <w:szCs w:val="18"/>
                <w:color w:val="auto"/>
              </w:rPr>
              <w:t>Collateral dependent loans (3)</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Commercial</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gridSpan w:val="2"/>
          </w:tcPr>
          <w:p>
            <w:pPr>
              <w:ind w:left="660"/>
              <w:spacing w:after="0"/>
              <w:rPr>
                <w:sz w:val="20"/>
                <w:szCs w:val="20"/>
                <w:color w:val="auto"/>
              </w:rPr>
            </w:pPr>
            <w:r>
              <w:rPr>
                <w:rFonts w:ascii="Arial" w:cs="Arial" w:eastAsia="Arial" w:hAnsi="Arial"/>
                <w:sz w:val="18"/>
                <w:szCs w:val="18"/>
                <w:color w:val="auto"/>
              </w:rPr>
              <w:t>Commercial and industrial</w:t>
            </w:r>
          </w:p>
        </w:tc>
        <w:tc>
          <w:tcPr>
            <w:tcW w:w="26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462</w:t>
            </w:r>
          </w:p>
        </w:tc>
        <w:tc>
          <w:tcPr>
            <w:tcW w:w="1100" w:type="dxa"/>
            <w:vAlign w:val="bottom"/>
          </w:tcPr>
          <w:p>
            <w:pPr>
              <w:spacing w:after="0"/>
              <w:rPr>
                <w:sz w:val="18"/>
                <w:szCs w:val="18"/>
                <w:color w:val="auto"/>
              </w:rPr>
            </w:pPr>
          </w:p>
        </w:tc>
        <w:tc>
          <w:tcPr>
            <w:tcW w:w="480" w:type="dxa"/>
            <w:vAlign w:val="bottom"/>
          </w:tcPr>
          <w:p>
            <w:pPr>
              <w:ind w:left="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Commercial real estate</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105</w:t>
            </w: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5860" w:type="dxa"/>
            <w:vAlign w:val="bottom"/>
            <w:gridSpan w:val="2"/>
          </w:tcPr>
          <w:p>
            <w:pPr>
              <w:ind w:left="480"/>
              <w:spacing w:after="0"/>
              <w:rPr>
                <w:sz w:val="20"/>
                <w:szCs w:val="20"/>
                <w:color w:val="auto"/>
              </w:rPr>
            </w:pPr>
            <w:r>
              <w:rPr>
                <w:rFonts w:ascii="Arial" w:cs="Arial" w:eastAsia="Arial" w:hAnsi="Arial"/>
                <w:sz w:val="18"/>
                <w:szCs w:val="18"/>
                <w:color w:val="auto"/>
              </w:rPr>
              <w:t>Mortgage</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1-4 family owner occupied - non-jumbo</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566</w:t>
            </w: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216"/>
        </w:trPr>
        <w:tc>
          <w:tcPr>
            <w:tcW w:w="5860" w:type="dxa"/>
            <w:vAlign w:val="bottom"/>
            <w:gridSpan w:val="2"/>
          </w:tcPr>
          <w:p>
            <w:pPr>
              <w:ind w:left="660"/>
              <w:spacing w:after="0"/>
              <w:rPr>
                <w:sz w:val="20"/>
                <w:szCs w:val="20"/>
                <w:color w:val="auto"/>
              </w:rPr>
            </w:pPr>
            <w:r>
              <w:rPr>
                <w:rFonts w:ascii="Arial" w:cs="Arial" w:eastAsia="Arial" w:hAnsi="Arial"/>
                <w:sz w:val="18"/>
                <w:szCs w:val="18"/>
                <w:color w:val="auto"/>
              </w:rPr>
              <w:t>1-4 family non-owner occupied</w:t>
            </w:r>
          </w:p>
        </w:tc>
        <w:tc>
          <w:tcPr>
            <w:tcW w:w="26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143</w:t>
            </w:r>
          </w:p>
        </w:tc>
        <w:tc>
          <w:tcPr>
            <w:tcW w:w="1100" w:type="dxa"/>
            <w:vAlign w:val="bottom"/>
          </w:tcPr>
          <w:p>
            <w:pPr>
              <w:spacing w:after="0"/>
              <w:rPr>
                <w:sz w:val="18"/>
                <w:szCs w:val="18"/>
                <w:color w:val="auto"/>
              </w:rPr>
            </w:pPr>
          </w:p>
        </w:tc>
        <w:tc>
          <w:tcPr>
            <w:tcW w:w="480" w:type="dxa"/>
            <w:vAlign w:val="bottom"/>
          </w:tcPr>
          <w:p>
            <w:pPr>
              <w:ind w:left="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1-4 family - 2nd lien</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168</w:t>
            </w: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6"/>
        </w:trPr>
        <w:tc>
          <w:tcPr>
            <w:tcW w:w="5860" w:type="dxa"/>
            <w:vAlign w:val="bottom"/>
            <w:gridSpan w:val="2"/>
          </w:tcPr>
          <w:p>
            <w:pPr>
              <w:ind w:left="660"/>
              <w:spacing w:after="0"/>
              <w:rPr>
                <w:sz w:val="20"/>
                <w:szCs w:val="20"/>
                <w:color w:val="auto"/>
              </w:rPr>
            </w:pPr>
            <w:r>
              <w:rPr>
                <w:rFonts w:ascii="Arial" w:cs="Arial" w:eastAsia="Arial" w:hAnsi="Arial"/>
                <w:sz w:val="18"/>
                <w:szCs w:val="18"/>
                <w:color w:val="auto"/>
              </w:rPr>
              <w:t>Resort lending</w:t>
            </w:r>
          </w:p>
        </w:tc>
        <w:tc>
          <w:tcPr>
            <w:tcW w:w="26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214</w:t>
            </w:r>
          </w:p>
        </w:tc>
        <w:tc>
          <w:tcPr>
            <w:tcW w:w="1100" w:type="dxa"/>
            <w:vAlign w:val="bottom"/>
          </w:tcPr>
          <w:p>
            <w:pPr>
              <w:spacing w:after="0"/>
              <w:rPr>
                <w:sz w:val="18"/>
                <w:szCs w:val="18"/>
                <w:color w:val="auto"/>
              </w:rPr>
            </w:pPr>
          </w:p>
        </w:tc>
        <w:tc>
          <w:tcPr>
            <w:tcW w:w="480" w:type="dxa"/>
            <w:vAlign w:val="bottom"/>
          </w:tcPr>
          <w:p>
            <w:pPr>
              <w:ind w:left="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Installment</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gridSpan w:val="2"/>
          </w:tcPr>
          <w:p>
            <w:pPr>
              <w:ind w:left="660"/>
              <w:spacing w:after="0"/>
              <w:rPr>
                <w:sz w:val="20"/>
                <w:szCs w:val="20"/>
                <w:color w:val="auto"/>
              </w:rPr>
            </w:pPr>
            <w:r>
              <w:rPr>
                <w:rFonts w:ascii="Arial" w:cs="Arial" w:eastAsia="Arial" w:hAnsi="Arial"/>
                <w:sz w:val="18"/>
                <w:szCs w:val="18"/>
                <w:color w:val="auto"/>
              </w:rPr>
              <w:t>Boat lending</w:t>
            </w:r>
          </w:p>
        </w:tc>
        <w:tc>
          <w:tcPr>
            <w:tcW w:w="26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36</w:t>
            </w:r>
          </w:p>
        </w:tc>
        <w:tc>
          <w:tcPr>
            <w:tcW w:w="1100" w:type="dxa"/>
            <w:vAlign w:val="bottom"/>
          </w:tcPr>
          <w:p>
            <w:pPr>
              <w:spacing w:after="0"/>
              <w:rPr>
                <w:sz w:val="18"/>
                <w:szCs w:val="18"/>
                <w:color w:val="auto"/>
              </w:rPr>
            </w:pPr>
          </w:p>
        </w:tc>
        <w:tc>
          <w:tcPr>
            <w:tcW w:w="480" w:type="dxa"/>
            <w:vAlign w:val="bottom"/>
          </w:tcPr>
          <w:p>
            <w:pPr>
              <w:ind w:left="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Recreational vehicle lending</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19</w:t>
            </w: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5860" w:type="dxa"/>
            <w:vAlign w:val="bottom"/>
            <w:gridSpan w:val="2"/>
          </w:tcPr>
          <w:p>
            <w:pPr>
              <w:ind w:left="66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0"/>
                <w:szCs w:val="20"/>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94</w:t>
            </w:r>
          </w:p>
        </w:tc>
        <w:tc>
          <w:tcPr>
            <w:tcW w:w="1100" w:type="dxa"/>
            <w:vAlign w:val="bottom"/>
          </w:tcPr>
          <w:p>
            <w:pPr>
              <w:spacing w:after="0"/>
              <w:rPr>
                <w:sz w:val="20"/>
                <w:szCs w:val="20"/>
                <w:color w:val="auto"/>
              </w:rPr>
            </w:pPr>
          </w:p>
        </w:tc>
        <w:tc>
          <w:tcPr>
            <w:tcW w:w="480" w:type="dxa"/>
            <w:vAlign w:val="bottom"/>
          </w:tcPr>
          <w:p>
            <w:pPr>
              <w:ind w:left="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87"/>
        </w:trPr>
        <w:tc>
          <w:tcPr>
            <w:tcW w:w="4500" w:type="dxa"/>
            <w:vAlign w:val="bottom"/>
            <w:tcBorders>
              <w:bottom w:val="single" w:sz="8" w:color="auto"/>
            </w:tcBorders>
          </w:tcPr>
          <w:p>
            <w:pPr>
              <w:spacing w:after="0"/>
              <w:rPr>
                <w:sz w:val="7"/>
                <w:szCs w:val="7"/>
                <w:color w:val="auto"/>
              </w:rPr>
            </w:pPr>
          </w:p>
        </w:tc>
        <w:tc>
          <w:tcPr>
            <w:tcW w:w="13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left="340" w:hanging="332"/>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Included in accrued income and other assets</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Included in accrued expenses and other liabilities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Only includes individually evaluated loans with specific loss allocations based on collateral value.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Only includes other real estate with subsequent write downs to fair value.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2" w:name="page53"/>
    <w:bookmarkEnd w:id="5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5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0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color w:val="auto"/>
                <w:w w:val="90"/>
              </w:rPr>
              <w:t>Fair Value Measurements Using</w:t>
            </w:r>
          </w:p>
        </w:tc>
        <w:tc>
          <w:tcPr>
            <w:tcW w:w="0" w:type="dxa"/>
            <w:vAlign w:val="bottom"/>
          </w:tcPr>
          <w:p>
            <w:pPr>
              <w:spacing w:after="0"/>
              <w:rPr>
                <w:sz w:val="1"/>
                <w:szCs w:val="1"/>
                <w:color w:val="auto"/>
              </w:rPr>
            </w:pPr>
          </w:p>
        </w:tc>
      </w:tr>
      <w:tr>
        <w:trPr>
          <w:trHeight w:val="202"/>
        </w:trPr>
        <w:tc>
          <w:tcPr>
            <w:tcW w:w="45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00" w:type="dxa"/>
            <w:vAlign w:val="bottom"/>
          </w:tcPr>
          <w:p>
            <w:pPr>
              <w:jc w:val="center"/>
              <w:ind w:left="170"/>
              <w:spacing w:after="0" w:line="201" w:lineRule="exact"/>
              <w:rPr>
                <w:sz w:val="20"/>
                <w:szCs w:val="20"/>
                <w:color w:val="auto"/>
              </w:rPr>
            </w:pPr>
            <w:r>
              <w:rPr>
                <w:rFonts w:ascii="Arial" w:cs="Arial" w:eastAsia="Arial" w:hAnsi="Arial"/>
                <w:sz w:val="18"/>
                <w:szCs w:val="18"/>
                <w:color w:val="auto"/>
                <w:w w:val="87"/>
              </w:rPr>
              <w:t>Quoted</w:t>
            </w: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00" w:type="dxa"/>
            <w:vAlign w:val="bottom"/>
          </w:tcPr>
          <w:p>
            <w:pPr>
              <w:jc w:val="center"/>
              <w:ind w:left="170"/>
              <w:spacing w:after="0"/>
              <w:rPr>
                <w:sz w:val="20"/>
                <w:szCs w:val="20"/>
                <w:color w:val="auto"/>
              </w:rPr>
            </w:pPr>
            <w:r>
              <w:rPr>
                <w:rFonts w:ascii="Arial" w:cs="Arial" w:eastAsia="Arial" w:hAnsi="Arial"/>
                <w:sz w:val="18"/>
                <w:szCs w:val="18"/>
                <w:color w:val="auto"/>
                <w:w w:val="87"/>
              </w:rPr>
              <w:t>Prices</w:t>
            </w: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00" w:type="dxa"/>
            <w:vAlign w:val="bottom"/>
          </w:tcPr>
          <w:p>
            <w:pPr>
              <w:jc w:val="center"/>
              <w:ind w:left="170"/>
              <w:spacing w:after="0"/>
              <w:rPr>
                <w:sz w:val="20"/>
                <w:szCs w:val="20"/>
                <w:color w:val="auto"/>
              </w:rPr>
            </w:pPr>
            <w:r>
              <w:rPr>
                <w:rFonts w:ascii="Arial" w:cs="Arial" w:eastAsia="Arial" w:hAnsi="Arial"/>
                <w:sz w:val="18"/>
                <w:szCs w:val="18"/>
                <w:color w:val="auto"/>
                <w:w w:val="99"/>
              </w:rPr>
              <w:t>in Active</w:t>
            </w: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00" w:type="dxa"/>
            <w:vAlign w:val="bottom"/>
          </w:tcPr>
          <w:p>
            <w:pPr>
              <w:jc w:val="center"/>
              <w:ind w:left="170"/>
              <w:spacing w:after="0"/>
              <w:rPr>
                <w:sz w:val="20"/>
                <w:szCs w:val="20"/>
                <w:color w:val="auto"/>
              </w:rPr>
            </w:pPr>
            <w:r>
              <w:rPr>
                <w:rFonts w:ascii="Arial" w:cs="Arial" w:eastAsia="Arial" w:hAnsi="Arial"/>
                <w:sz w:val="18"/>
                <w:szCs w:val="18"/>
                <w:color w:val="auto"/>
                <w:w w:val="93"/>
              </w:rPr>
              <w:t>Markets</w:t>
            </w:r>
          </w:p>
        </w:tc>
        <w:tc>
          <w:tcPr>
            <w:tcW w:w="480" w:type="dxa"/>
            <w:vAlign w:val="bottom"/>
          </w:tcPr>
          <w:p>
            <w:pPr>
              <w:spacing w:after="0"/>
              <w:rPr>
                <w:sz w:val="18"/>
                <w:szCs w:val="18"/>
                <w:color w:val="auto"/>
              </w:rPr>
            </w:pPr>
          </w:p>
        </w:tc>
        <w:tc>
          <w:tcPr>
            <w:tcW w:w="1100" w:type="dxa"/>
            <w:vAlign w:val="bottom"/>
          </w:tcPr>
          <w:p>
            <w:pPr>
              <w:jc w:val="center"/>
              <w:ind w:right="130"/>
              <w:spacing w:after="0"/>
              <w:rPr>
                <w:sz w:val="20"/>
                <w:szCs w:val="20"/>
                <w:color w:val="auto"/>
              </w:rPr>
            </w:pPr>
            <w:r>
              <w:rPr>
                <w:rFonts w:ascii="Arial" w:cs="Arial" w:eastAsia="Arial" w:hAnsi="Arial"/>
                <w:sz w:val="18"/>
                <w:szCs w:val="18"/>
                <w:color w:val="auto"/>
                <w:w w:val="96"/>
              </w:rPr>
              <w:t>Significant</w:t>
            </w:r>
          </w:p>
        </w:tc>
        <w:tc>
          <w:tcPr>
            <w:tcW w:w="220" w:type="dxa"/>
            <w:vAlign w:val="bottom"/>
          </w:tcPr>
          <w:p>
            <w:pPr>
              <w:spacing w:after="0"/>
              <w:rPr>
                <w:sz w:val="18"/>
                <w:szCs w:val="18"/>
                <w:color w:val="auto"/>
              </w:rPr>
            </w:pPr>
          </w:p>
        </w:tc>
        <w:tc>
          <w:tcPr>
            <w:tcW w:w="1100" w:type="dxa"/>
            <w:vAlign w:val="bottom"/>
          </w:tcPr>
          <w:p>
            <w:pPr>
              <w:jc w:val="center"/>
              <w:ind w:right="130"/>
              <w:spacing w:after="0"/>
              <w:rPr>
                <w:sz w:val="20"/>
                <w:szCs w:val="20"/>
                <w:color w:val="auto"/>
              </w:rPr>
            </w:pPr>
            <w:r>
              <w:rPr>
                <w:rFonts w:ascii="Arial" w:cs="Arial" w:eastAsia="Arial" w:hAnsi="Arial"/>
                <w:sz w:val="18"/>
                <w:szCs w:val="18"/>
                <w:color w:val="auto"/>
                <w:w w:val="96"/>
              </w:rPr>
              <w:t>Significant</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00" w:type="dxa"/>
            <w:vAlign w:val="bottom"/>
          </w:tcPr>
          <w:p>
            <w:pPr>
              <w:jc w:val="center"/>
              <w:ind w:left="170"/>
              <w:spacing w:after="0"/>
              <w:rPr>
                <w:sz w:val="20"/>
                <w:szCs w:val="20"/>
                <w:color w:val="auto"/>
              </w:rPr>
            </w:pPr>
            <w:r>
              <w:rPr>
                <w:rFonts w:ascii="Arial" w:cs="Arial" w:eastAsia="Arial" w:hAnsi="Arial"/>
                <w:sz w:val="18"/>
                <w:szCs w:val="18"/>
                <w:color w:val="auto"/>
                <w:w w:val="94"/>
              </w:rPr>
              <w:t>for</w:t>
            </w:r>
          </w:p>
        </w:tc>
        <w:tc>
          <w:tcPr>
            <w:tcW w:w="480" w:type="dxa"/>
            <w:vAlign w:val="bottom"/>
          </w:tcPr>
          <w:p>
            <w:pPr>
              <w:spacing w:after="0"/>
              <w:rPr>
                <w:sz w:val="18"/>
                <w:szCs w:val="18"/>
                <w:color w:val="auto"/>
              </w:rPr>
            </w:pPr>
          </w:p>
        </w:tc>
        <w:tc>
          <w:tcPr>
            <w:tcW w:w="1100" w:type="dxa"/>
            <w:vAlign w:val="bottom"/>
          </w:tcPr>
          <w:p>
            <w:pPr>
              <w:jc w:val="center"/>
              <w:ind w:right="130"/>
              <w:spacing w:after="0"/>
              <w:rPr>
                <w:sz w:val="20"/>
                <w:szCs w:val="20"/>
                <w:color w:val="auto"/>
              </w:rPr>
            </w:pPr>
            <w:r>
              <w:rPr>
                <w:rFonts w:ascii="Arial" w:cs="Arial" w:eastAsia="Arial" w:hAnsi="Arial"/>
                <w:sz w:val="18"/>
                <w:szCs w:val="18"/>
                <w:color w:val="auto"/>
                <w:w w:val="88"/>
              </w:rPr>
              <w:t>Other</w:t>
            </w:r>
          </w:p>
        </w:tc>
        <w:tc>
          <w:tcPr>
            <w:tcW w:w="220" w:type="dxa"/>
            <w:vAlign w:val="bottom"/>
          </w:tcPr>
          <w:p>
            <w:pPr>
              <w:spacing w:after="0"/>
              <w:rPr>
                <w:sz w:val="18"/>
                <w:szCs w:val="18"/>
                <w:color w:val="auto"/>
              </w:rPr>
            </w:pPr>
          </w:p>
        </w:tc>
        <w:tc>
          <w:tcPr>
            <w:tcW w:w="1100" w:type="dxa"/>
            <w:vAlign w:val="bottom"/>
          </w:tcPr>
          <w:p>
            <w:pPr>
              <w:jc w:val="center"/>
              <w:ind w:right="130"/>
              <w:spacing w:after="0"/>
              <w:rPr>
                <w:sz w:val="20"/>
                <w:szCs w:val="20"/>
                <w:color w:val="auto"/>
              </w:rPr>
            </w:pPr>
            <w:r>
              <w:rPr>
                <w:rFonts w:ascii="Arial" w:cs="Arial" w:eastAsia="Arial" w:hAnsi="Arial"/>
                <w:sz w:val="18"/>
                <w:szCs w:val="18"/>
                <w:color w:val="auto"/>
                <w:w w:val="96"/>
              </w:rPr>
              <w:t>Un-</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center"/>
              <w:ind w:right="190"/>
              <w:spacing w:after="0"/>
              <w:rPr>
                <w:sz w:val="20"/>
                <w:szCs w:val="20"/>
                <w:color w:val="auto"/>
              </w:rPr>
            </w:pPr>
            <w:r>
              <w:rPr>
                <w:rFonts w:ascii="Arial" w:cs="Arial" w:eastAsia="Arial" w:hAnsi="Arial"/>
                <w:sz w:val="18"/>
                <w:szCs w:val="18"/>
                <w:color w:val="auto"/>
                <w:w w:val="92"/>
              </w:rPr>
              <w:t>Fair Value</w:t>
            </w:r>
          </w:p>
        </w:tc>
        <w:tc>
          <w:tcPr>
            <w:tcW w:w="1100" w:type="dxa"/>
            <w:vAlign w:val="bottom"/>
          </w:tcPr>
          <w:p>
            <w:pPr>
              <w:jc w:val="center"/>
              <w:ind w:left="170"/>
              <w:spacing w:after="0"/>
              <w:rPr>
                <w:sz w:val="20"/>
                <w:szCs w:val="20"/>
                <w:color w:val="auto"/>
              </w:rPr>
            </w:pPr>
            <w:r>
              <w:rPr>
                <w:rFonts w:ascii="Arial" w:cs="Arial" w:eastAsia="Arial" w:hAnsi="Arial"/>
                <w:sz w:val="18"/>
                <w:szCs w:val="18"/>
                <w:color w:val="auto"/>
                <w:w w:val="95"/>
              </w:rPr>
              <w:t>Identical</w:t>
            </w:r>
          </w:p>
        </w:tc>
        <w:tc>
          <w:tcPr>
            <w:tcW w:w="480" w:type="dxa"/>
            <w:vAlign w:val="bottom"/>
          </w:tcPr>
          <w:p>
            <w:pPr>
              <w:spacing w:after="0"/>
              <w:rPr>
                <w:sz w:val="18"/>
                <w:szCs w:val="18"/>
                <w:color w:val="auto"/>
              </w:rPr>
            </w:pPr>
          </w:p>
        </w:tc>
        <w:tc>
          <w:tcPr>
            <w:tcW w:w="1100" w:type="dxa"/>
            <w:vAlign w:val="bottom"/>
          </w:tcPr>
          <w:p>
            <w:pPr>
              <w:jc w:val="center"/>
              <w:ind w:right="150"/>
              <w:spacing w:after="0"/>
              <w:rPr>
                <w:sz w:val="20"/>
                <w:szCs w:val="20"/>
                <w:color w:val="auto"/>
              </w:rPr>
            </w:pPr>
            <w:r>
              <w:rPr>
                <w:rFonts w:ascii="Arial" w:cs="Arial" w:eastAsia="Arial" w:hAnsi="Arial"/>
                <w:sz w:val="18"/>
                <w:szCs w:val="18"/>
                <w:color w:val="auto"/>
                <w:w w:val="89"/>
              </w:rPr>
              <w:t>Observable</w:t>
            </w:r>
          </w:p>
        </w:tc>
        <w:tc>
          <w:tcPr>
            <w:tcW w:w="220" w:type="dxa"/>
            <w:vAlign w:val="bottom"/>
          </w:tcPr>
          <w:p>
            <w:pPr>
              <w:spacing w:after="0"/>
              <w:rPr>
                <w:sz w:val="18"/>
                <w:szCs w:val="18"/>
                <w:color w:val="auto"/>
              </w:rPr>
            </w:pPr>
          </w:p>
        </w:tc>
        <w:tc>
          <w:tcPr>
            <w:tcW w:w="1100" w:type="dxa"/>
            <w:vAlign w:val="bottom"/>
          </w:tcPr>
          <w:p>
            <w:pPr>
              <w:jc w:val="center"/>
              <w:ind w:right="150"/>
              <w:spacing w:after="0"/>
              <w:rPr>
                <w:sz w:val="20"/>
                <w:szCs w:val="20"/>
                <w:color w:val="auto"/>
              </w:rPr>
            </w:pPr>
            <w:r>
              <w:rPr>
                <w:rFonts w:ascii="Arial" w:cs="Arial" w:eastAsia="Arial" w:hAnsi="Arial"/>
                <w:sz w:val="18"/>
                <w:szCs w:val="18"/>
                <w:color w:val="auto"/>
                <w:w w:val="88"/>
              </w:rPr>
              <w:t>observable</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center"/>
              <w:ind w:right="190"/>
              <w:spacing w:after="0"/>
              <w:rPr>
                <w:sz w:val="20"/>
                <w:szCs w:val="20"/>
                <w:color w:val="auto"/>
              </w:rPr>
            </w:pPr>
            <w:r>
              <w:rPr>
                <w:rFonts w:ascii="Arial" w:cs="Arial" w:eastAsia="Arial" w:hAnsi="Arial"/>
                <w:sz w:val="18"/>
                <w:szCs w:val="18"/>
                <w:color w:val="auto"/>
                <w:w w:val="89"/>
              </w:rPr>
              <w:t>Measure-</w:t>
            </w:r>
          </w:p>
        </w:tc>
        <w:tc>
          <w:tcPr>
            <w:tcW w:w="1100" w:type="dxa"/>
            <w:vAlign w:val="bottom"/>
          </w:tcPr>
          <w:p>
            <w:pPr>
              <w:jc w:val="center"/>
              <w:ind w:left="170"/>
              <w:spacing w:after="0"/>
              <w:rPr>
                <w:sz w:val="20"/>
                <w:szCs w:val="20"/>
                <w:color w:val="auto"/>
              </w:rPr>
            </w:pPr>
            <w:r>
              <w:rPr>
                <w:rFonts w:ascii="Arial" w:cs="Arial" w:eastAsia="Arial" w:hAnsi="Arial"/>
                <w:sz w:val="18"/>
                <w:szCs w:val="18"/>
                <w:color w:val="auto"/>
                <w:w w:val="88"/>
              </w:rPr>
              <w:t>Assets</w:t>
            </w:r>
          </w:p>
        </w:tc>
        <w:tc>
          <w:tcPr>
            <w:tcW w:w="480" w:type="dxa"/>
            <w:vAlign w:val="bottom"/>
          </w:tcPr>
          <w:p>
            <w:pPr>
              <w:spacing w:after="0"/>
              <w:rPr>
                <w:sz w:val="18"/>
                <w:szCs w:val="18"/>
                <w:color w:val="auto"/>
              </w:rPr>
            </w:pPr>
          </w:p>
        </w:tc>
        <w:tc>
          <w:tcPr>
            <w:tcW w:w="1100" w:type="dxa"/>
            <w:vAlign w:val="bottom"/>
          </w:tcPr>
          <w:p>
            <w:pPr>
              <w:jc w:val="center"/>
              <w:ind w:right="130"/>
              <w:spacing w:after="0"/>
              <w:rPr>
                <w:sz w:val="20"/>
                <w:szCs w:val="20"/>
                <w:color w:val="auto"/>
              </w:rPr>
            </w:pPr>
            <w:r>
              <w:rPr>
                <w:rFonts w:ascii="Arial" w:cs="Arial" w:eastAsia="Arial" w:hAnsi="Arial"/>
                <w:sz w:val="18"/>
                <w:szCs w:val="18"/>
                <w:color w:val="auto"/>
                <w:w w:val="89"/>
              </w:rPr>
              <w:t>Inputs</w:t>
            </w:r>
          </w:p>
        </w:tc>
        <w:tc>
          <w:tcPr>
            <w:tcW w:w="220" w:type="dxa"/>
            <w:vAlign w:val="bottom"/>
          </w:tcPr>
          <w:p>
            <w:pPr>
              <w:spacing w:after="0"/>
              <w:rPr>
                <w:sz w:val="18"/>
                <w:szCs w:val="18"/>
                <w:color w:val="auto"/>
              </w:rPr>
            </w:pPr>
          </w:p>
        </w:tc>
        <w:tc>
          <w:tcPr>
            <w:tcW w:w="1100" w:type="dxa"/>
            <w:vAlign w:val="bottom"/>
          </w:tcPr>
          <w:p>
            <w:pPr>
              <w:jc w:val="center"/>
              <w:ind w:right="130"/>
              <w:spacing w:after="0"/>
              <w:rPr>
                <w:sz w:val="20"/>
                <w:szCs w:val="20"/>
                <w:color w:val="auto"/>
              </w:rPr>
            </w:pPr>
            <w:r>
              <w:rPr>
                <w:rFonts w:ascii="Arial" w:cs="Arial" w:eastAsia="Arial" w:hAnsi="Arial"/>
                <w:sz w:val="18"/>
                <w:szCs w:val="18"/>
                <w:color w:val="auto"/>
                <w:w w:val="89"/>
              </w:rPr>
              <w:t>Inputs</w:t>
            </w:r>
          </w:p>
        </w:tc>
        <w:tc>
          <w:tcPr>
            <w:tcW w:w="0" w:type="dxa"/>
            <w:vAlign w:val="bottom"/>
          </w:tcPr>
          <w:p>
            <w:pPr>
              <w:spacing w:after="0"/>
              <w:rPr>
                <w:sz w:val="1"/>
                <w:szCs w:val="1"/>
                <w:color w:val="auto"/>
              </w:rPr>
            </w:pPr>
          </w:p>
        </w:tc>
      </w:tr>
      <w:tr>
        <w:trPr>
          <w:trHeight w:val="237"/>
        </w:trPr>
        <w:tc>
          <w:tcPr>
            <w:tcW w:w="45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color w:val="auto"/>
                <w:w w:val="89"/>
              </w:rPr>
              <w:t>ments</w:t>
            </w:r>
          </w:p>
        </w:tc>
        <w:tc>
          <w:tcPr>
            <w:tcW w:w="1100" w:type="dxa"/>
            <w:vAlign w:val="bottom"/>
            <w:tcBorders>
              <w:bottom w:val="single" w:sz="8" w:color="auto"/>
            </w:tcBorders>
          </w:tcPr>
          <w:p>
            <w:pPr>
              <w:jc w:val="center"/>
              <w:ind w:left="170"/>
              <w:spacing w:after="0"/>
              <w:rPr>
                <w:sz w:val="20"/>
                <w:szCs w:val="20"/>
                <w:color w:val="auto"/>
              </w:rPr>
            </w:pPr>
            <w:r>
              <w:rPr>
                <w:rFonts w:ascii="Arial" w:cs="Arial" w:eastAsia="Arial" w:hAnsi="Arial"/>
                <w:sz w:val="18"/>
                <w:szCs w:val="18"/>
                <w:color w:val="auto"/>
                <w:w w:val="97"/>
              </w:rPr>
              <w:t>(Level 1)</w:t>
            </w:r>
          </w:p>
        </w:tc>
        <w:tc>
          <w:tcPr>
            <w:tcW w:w="4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94"/>
              </w:rPr>
              <w:t>(Level 2)</w:t>
            </w: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97"/>
              </w:rPr>
              <w:t>(Level 3)</w:t>
            </w:r>
          </w:p>
        </w:tc>
        <w:tc>
          <w:tcPr>
            <w:tcW w:w="0" w:type="dxa"/>
            <w:vAlign w:val="bottom"/>
          </w:tcPr>
          <w:p>
            <w:pPr>
              <w:spacing w:after="0"/>
              <w:rPr>
                <w:sz w:val="1"/>
                <w:szCs w:val="1"/>
                <w:color w:val="auto"/>
              </w:rPr>
            </w:pPr>
          </w:p>
        </w:tc>
      </w:tr>
      <w:tr>
        <w:trPr>
          <w:trHeight w:val="230"/>
        </w:trPr>
        <w:tc>
          <w:tcPr>
            <w:tcW w:w="5860" w:type="dxa"/>
            <w:vAlign w:val="bottom"/>
            <w:gridSpan w:val="2"/>
            <w:vMerge w:val="restart"/>
          </w:tcPr>
          <w:p>
            <w:pPr>
              <w:spacing w:after="0"/>
              <w:rPr>
                <w:sz w:val="20"/>
                <w:szCs w:val="20"/>
                <w:color w:val="auto"/>
              </w:rPr>
            </w:pPr>
            <w:r>
              <w:rPr>
                <w:rFonts w:ascii="Arial" w:cs="Arial" w:eastAsia="Arial" w:hAnsi="Arial"/>
                <w:sz w:val="18"/>
                <w:szCs w:val="18"/>
                <w:color w:val="auto"/>
              </w:rPr>
              <w:t>December 31, 2020:</w:t>
            </w: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80" w:type="dxa"/>
            <w:vAlign w:val="bottom"/>
            <w:gridSpan w:val="3"/>
          </w:tcPr>
          <w:p>
            <w:pPr>
              <w:jc w:val="right"/>
              <w:ind w:right="750"/>
              <w:spacing w:after="0"/>
              <w:rPr>
                <w:sz w:val="20"/>
                <w:szCs w:val="20"/>
                <w:color w:val="auto"/>
              </w:rPr>
            </w:pPr>
            <w:r>
              <w:rPr>
                <w:rFonts w:ascii="Arial" w:cs="Arial" w:eastAsia="Arial" w:hAnsi="Arial"/>
                <w:sz w:val="18"/>
                <w:szCs w:val="18"/>
                <w:color w:val="auto"/>
              </w:rPr>
              <w:t>(In thousands)</w:t>
            </w: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860" w:type="dxa"/>
            <w:vAlign w:val="bottom"/>
            <w:tcBorders>
              <w:bottom w:val="single" w:sz="8" w:color="auto"/>
            </w:tcBorders>
            <w:gridSpan w:val="2"/>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860" w:type="dxa"/>
            <w:vAlign w:val="bottom"/>
            <w:gridSpan w:val="2"/>
          </w:tcPr>
          <w:p>
            <w:pPr>
              <w:spacing w:after="0" w:line="201" w:lineRule="exact"/>
              <w:rPr>
                <w:sz w:val="20"/>
                <w:szCs w:val="20"/>
                <w:color w:val="auto"/>
              </w:rPr>
            </w:pPr>
            <w:r>
              <w:rPr>
                <w:rFonts w:ascii="Arial" w:cs="Arial" w:eastAsia="Arial" w:hAnsi="Arial"/>
                <w:sz w:val="18"/>
                <w:szCs w:val="18"/>
                <w:color w:val="auto"/>
              </w:rPr>
              <w:t>Measured at Fair Value on a Recurring Basis</w:t>
            </w: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60" w:type="dxa"/>
            <w:vAlign w:val="bottom"/>
            <w:gridSpan w:val="2"/>
          </w:tcPr>
          <w:p>
            <w:pPr>
              <w:ind w:left="140"/>
              <w:spacing w:after="0"/>
              <w:rPr>
                <w:sz w:val="20"/>
                <w:szCs w:val="20"/>
                <w:color w:val="auto"/>
              </w:rPr>
            </w:pPr>
            <w:r>
              <w:rPr>
                <w:rFonts w:ascii="Arial" w:cs="Arial" w:eastAsia="Arial" w:hAnsi="Arial"/>
                <w:sz w:val="18"/>
                <w:szCs w:val="18"/>
                <w:color w:val="auto"/>
              </w:rPr>
              <w:t>Assets</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60" w:type="dxa"/>
            <w:vAlign w:val="bottom"/>
            <w:gridSpan w:val="2"/>
          </w:tcPr>
          <w:p>
            <w:pPr>
              <w:ind w:left="340"/>
              <w:spacing w:after="0"/>
              <w:rPr>
                <w:sz w:val="20"/>
                <w:szCs w:val="20"/>
                <w:color w:val="auto"/>
              </w:rPr>
            </w:pPr>
            <w:r>
              <w:rPr>
                <w:rFonts w:ascii="Arial" w:cs="Arial" w:eastAsia="Arial" w:hAnsi="Arial"/>
                <w:sz w:val="18"/>
                <w:szCs w:val="18"/>
                <w:color w:val="auto"/>
              </w:rPr>
              <w:t>Securities available for sale</w:t>
            </w: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U.S. agency</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10,748</w:t>
            </w:r>
          </w:p>
        </w:tc>
        <w:tc>
          <w:tcPr>
            <w:tcW w:w="11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ind w:left="80"/>
              <w:spacing w:after="0"/>
              <w:rPr>
                <w:sz w:val="20"/>
                <w:szCs w:val="20"/>
                <w:color w:val="auto"/>
              </w:rPr>
            </w:pPr>
            <w:r>
              <w:rPr>
                <w:rFonts w:ascii="Arial" w:cs="Arial" w:eastAsia="Arial" w:hAnsi="Arial"/>
                <w:sz w:val="18"/>
                <w:szCs w:val="18"/>
                <w:color w:val="auto"/>
              </w:rPr>
              <w:t>-   $</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10,748</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60" w:type="dxa"/>
            <w:vAlign w:val="bottom"/>
            <w:gridSpan w:val="2"/>
          </w:tcPr>
          <w:p>
            <w:pPr>
              <w:ind w:left="480"/>
              <w:spacing w:after="0"/>
              <w:rPr>
                <w:sz w:val="20"/>
                <w:szCs w:val="20"/>
                <w:color w:val="auto"/>
              </w:rPr>
            </w:pPr>
            <w:r>
              <w:rPr>
                <w:rFonts w:ascii="Arial" w:cs="Arial" w:eastAsia="Arial" w:hAnsi="Arial"/>
                <w:sz w:val="18"/>
                <w:szCs w:val="18"/>
                <w:color w:val="auto"/>
              </w:rPr>
              <w:t>U.S. agency residential mortgage-backed</w:t>
            </w:r>
          </w:p>
        </w:tc>
        <w:tc>
          <w:tcPr>
            <w:tcW w:w="26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344,582</w:t>
            </w:r>
          </w:p>
        </w:tc>
        <w:tc>
          <w:tcPr>
            <w:tcW w:w="1100" w:type="dxa"/>
            <w:vAlign w:val="bottom"/>
          </w:tcPr>
          <w:p>
            <w:pPr>
              <w:spacing w:after="0"/>
              <w:rPr>
                <w:sz w:val="18"/>
                <w:szCs w:val="18"/>
                <w:color w:val="auto"/>
              </w:rPr>
            </w:pPr>
          </w:p>
        </w:tc>
        <w:tc>
          <w:tcPr>
            <w:tcW w:w="480" w:type="dxa"/>
            <w:vAlign w:val="bottom"/>
          </w:tcPr>
          <w:p>
            <w:pPr>
              <w:ind w:left="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344,582</w:t>
            </w:r>
          </w:p>
        </w:tc>
        <w:tc>
          <w:tcPr>
            <w:tcW w:w="2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U.S. agency commercial mortgage-backed</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7,195</w:t>
            </w: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7,195</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60" w:type="dxa"/>
            <w:vAlign w:val="bottom"/>
            <w:gridSpan w:val="2"/>
          </w:tcPr>
          <w:p>
            <w:pPr>
              <w:ind w:left="480"/>
              <w:spacing w:after="0"/>
              <w:rPr>
                <w:sz w:val="20"/>
                <w:szCs w:val="20"/>
                <w:color w:val="auto"/>
              </w:rPr>
            </w:pPr>
            <w:r>
              <w:rPr>
                <w:rFonts w:ascii="Arial" w:cs="Arial" w:eastAsia="Arial" w:hAnsi="Arial"/>
                <w:sz w:val="18"/>
                <w:szCs w:val="18"/>
                <w:color w:val="auto"/>
              </w:rPr>
              <w:t>Private label mortgage-backed</w:t>
            </w:r>
          </w:p>
        </w:tc>
        <w:tc>
          <w:tcPr>
            <w:tcW w:w="26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42,829</w:t>
            </w:r>
          </w:p>
        </w:tc>
        <w:tc>
          <w:tcPr>
            <w:tcW w:w="1100" w:type="dxa"/>
            <w:vAlign w:val="bottom"/>
          </w:tcPr>
          <w:p>
            <w:pPr>
              <w:spacing w:after="0"/>
              <w:rPr>
                <w:sz w:val="18"/>
                <w:szCs w:val="18"/>
                <w:color w:val="auto"/>
              </w:rPr>
            </w:pPr>
          </w:p>
        </w:tc>
        <w:tc>
          <w:tcPr>
            <w:tcW w:w="480" w:type="dxa"/>
            <w:vAlign w:val="bottom"/>
          </w:tcPr>
          <w:p>
            <w:pPr>
              <w:ind w:left="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42,829</w:t>
            </w:r>
          </w:p>
        </w:tc>
        <w:tc>
          <w:tcPr>
            <w:tcW w:w="2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Other asset backed</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254,181</w:t>
            </w: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254,181</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60" w:type="dxa"/>
            <w:vAlign w:val="bottom"/>
            <w:gridSpan w:val="2"/>
          </w:tcPr>
          <w:p>
            <w:pPr>
              <w:ind w:left="480"/>
              <w:spacing w:after="0"/>
              <w:rPr>
                <w:sz w:val="20"/>
                <w:szCs w:val="20"/>
                <w:color w:val="auto"/>
              </w:rPr>
            </w:pPr>
            <w:r>
              <w:rPr>
                <w:rFonts w:ascii="Arial" w:cs="Arial" w:eastAsia="Arial" w:hAnsi="Arial"/>
                <w:sz w:val="18"/>
                <w:szCs w:val="18"/>
                <w:color w:val="auto"/>
              </w:rPr>
              <w:t>Obligations of states and political subdivisions</w:t>
            </w:r>
          </w:p>
        </w:tc>
        <w:tc>
          <w:tcPr>
            <w:tcW w:w="26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324,293</w:t>
            </w:r>
          </w:p>
        </w:tc>
        <w:tc>
          <w:tcPr>
            <w:tcW w:w="1100" w:type="dxa"/>
            <w:vAlign w:val="bottom"/>
          </w:tcPr>
          <w:p>
            <w:pPr>
              <w:spacing w:after="0"/>
              <w:rPr>
                <w:sz w:val="18"/>
                <w:szCs w:val="18"/>
                <w:color w:val="auto"/>
              </w:rPr>
            </w:pPr>
          </w:p>
        </w:tc>
        <w:tc>
          <w:tcPr>
            <w:tcW w:w="480" w:type="dxa"/>
            <w:vAlign w:val="bottom"/>
          </w:tcPr>
          <w:p>
            <w:pPr>
              <w:ind w:left="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324,293</w:t>
            </w:r>
          </w:p>
        </w:tc>
        <w:tc>
          <w:tcPr>
            <w:tcW w:w="2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Corporate</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86,017</w:t>
            </w: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86,017</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60" w:type="dxa"/>
            <w:vAlign w:val="bottom"/>
            <w:gridSpan w:val="2"/>
          </w:tcPr>
          <w:p>
            <w:pPr>
              <w:ind w:left="480"/>
              <w:spacing w:after="0"/>
              <w:rPr>
                <w:sz w:val="20"/>
                <w:szCs w:val="20"/>
                <w:color w:val="auto"/>
              </w:rPr>
            </w:pPr>
            <w:r>
              <w:rPr>
                <w:rFonts w:ascii="Arial" w:cs="Arial" w:eastAsia="Arial" w:hAnsi="Arial"/>
                <w:sz w:val="18"/>
                <w:szCs w:val="18"/>
                <w:color w:val="auto"/>
              </w:rPr>
              <w:t>Trust preferred</w:t>
            </w:r>
          </w:p>
        </w:tc>
        <w:tc>
          <w:tcPr>
            <w:tcW w:w="26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1,798</w:t>
            </w:r>
          </w:p>
        </w:tc>
        <w:tc>
          <w:tcPr>
            <w:tcW w:w="1100" w:type="dxa"/>
            <w:vAlign w:val="bottom"/>
          </w:tcPr>
          <w:p>
            <w:pPr>
              <w:spacing w:after="0"/>
              <w:rPr>
                <w:sz w:val="18"/>
                <w:szCs w:val="18"/>
                <w:color w:val="auto"/>
              </w:rPr>
            </w:pPr>
          </w:p>
        </w:tc>
        <w:tc>
          <w:tcPr>
            <w:tcW w:w="480" w:type="dxa"/>
            <w:vAlign w:val="bottom"/>
          </w:tcPr>
          <w:p>
            <w:pPr>
              <w:ind w:left="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1,798</w:t>
            </w:r>
          </w:p>
        </w:tc>
        <w:tc>
          <w:tcPr>
            <w:tcW w:w="2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Foreign government</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516</w:t>
            </w: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516</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60" w:type="dxa"/>
            <w:vAlign w:val="bottom"/>
            <w:gridSpan w:val="2"/>
          </w:tcPr>
          <w:p>
            <w:pPr>
              <w:ind w:left="340"/>
              <w:spacing w:after="0"/>
              <w:rPr>
                <w:sz w:val="20"/>
                <w:szCs w:val="20"/>
                <w:color w:val="auto"/>
              </w:rPr>
            </w:pPr>
            <w:r>
              <w:rPr>
                <w:rFonts w:ascii="Arial" w:cs="Arial" w:eastAsia="Arial" w:hAnsi="Arial"/>
                <w:sz w:val="18"/>
                <w:szCs w:val="18"/>
                <w:color w:val="auto"/>
              </w:rPr>
              <w:t>Loans held for sale, carried at fair value</w:t>
            </w:r>
          </w:p>
        </w:tc>
        <w:tc>
          <w:tcPr>
            <w:tcW w:w="26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92,434</w:t>
            </w:r>
          </w:p>
        </w:tc>
        <w:tc>
          <w:tcPr>
            <w:tcW w:w="1100" w:type="dxa"/>
            <w:vAlign w:val="bottom"/>
          </w:tcPr>
          <w:p>
            <w:pPr>
              <w:spacing w:after="0"/>
              <w:rPr>
                <w:sz w:val="18"/>
                <w:szCs w:val="18"/>
                <w:color w:val="auto"/>
              </w:rPr>
            </w:pPr>
          </w:p>
        </w:tc>
        <w:tc>
          <w:tcPr>
            <w:tcW w:w="480" w:type="dxa"/>
            <w:vAlign w:val="bottom"/>
          </w:tcPr>
          <w:p>
            <w:pPr>
              <w:ind w:left="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92,434</w:t>
            </w:r>
          </w:p>
        </w:tc>
        <w:tc>
          <w:tcPr>
            <w:tcW w:w="2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Capitalized mortgage loan servicing rights</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16,904</w:t>
            </w: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16,904</w:t>
            </w:r>
          </w:p>
        </w:tc>
        <w:tc>
          <w:tcPr>
            <w:tcW w:w="0" w:type="dxa"/>
            <w:vAlign w:val="bottom"/>
          </w:tcPr>
          <w:p>
            <w:pPr>
              <w:spacing w:after="0"/>
              <w:rPr>
                <w:sz w:val="1"/>
                <w:szCs w:val="1"/>
                <w:color w:val="auto"/>
              </w:rPr>
            </w:pPr>
          </w:p>
        </w:tc>
      </w:tr>
      <w:tr>
        <w:trPr>
          <w:trHeight w:val="216"/>
        </w:trPr>
        <w:tc>
          <w:tcPr>
            <w:tcW w:w="5860" w:type="dxa"/>
            <w:vAlign w:val="bottom"/>
            <w:gridSpan w:val="2"/>
          </w:tcPr>
          <w:p>
            <w:pPr>
              <w:ind w:left="340"/>
              <w:spacing w:after="0"/>
              <w:rPr>
                <w:sz w:val="20"/>
                <w:szCs w:val="20"/>
                <w:color w:val="auto"/>
              </w:rPr>
            </w:pPr>
            <w:r>
              <w:rPr>
                <w:rFonts w:ascii="Arial" w:cs="Arial" w:eastAsia="Arial" w:hAnsi="Arial"/>
                <w:sz w:val="18"/>
                <w:szCs w:val="18"/>
                <w:color w:val="auto"/>
              </w:rPr>
              <w:t>Derivatives (1)</w:t>
            </w:r>
          </w:p>
        </w:tc>
        <w:tc>
          <w:tcPr>
            <w:tcW w:w="26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16,782</w:t>
            </w:r>
          </w:p>
        </w:tc>
        <w:tc>
          <w:tcPr>
            <w:tcW w:w="1100" w:type="dxa"/>
            <w:vAlign w:val="bottom"/>
          </w:tcPr>
          <w:p>
            <w:pPr>
              <w:spacing w:after="0"/>
              <w:rPr>
                <w:sz w:val="18"/>
                <w:szCs w:val="18"/>
                <w:color w:val="auto"/>
              </w:rPr>
            </w:pPr>
          </w:p>
        </w:tc>
        <w:tc>
          <w:tcPr>
            <w:tcW w:w="480" w:type="dxa"/>
            <w:vAlign w:val="bottom"/>
          </w:tcPr>
          <w:p>
            <w:pPr>
              <w:ind w:left="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16,782</w:t>
            </w:r>
          </w:p>
        </w:tc>
        <w:tc>
          <w:tcPr>
            <w:tcW w:w="2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Liabilities</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gridSpan w:val="2"/>
          </w:tcPr>
          <w:p>
            <w:pPr>
              <w:ind w:left="340"/>
              <w:spacing w:after="0"/>
              <w:rPr>
                <w:sz w:val="20"/>
                <w:szCs w:val="20"/>
                <w:color w:val="auto"/>
              </w:rPr>
            </w:pPr>
            <w:r>
              <w:rPr>
                <w:rFonts w:ascii="Arial" w:cs="Arial" w:eastAsia="Arial" w:hAnsi="Arial"/>
                <w:sz w:val="18"/>
                <w:szCs w:val="18"/>
                <w:color w:val="auto"/>
              </w:rPr>
              <w:t>Derivatives (2)</w:t>
            </w:r>
          </w:p>
        </w:tc>
        <w:tc>
          <w:tcPr>
            <w:tcW w:w="26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11,754</w:t>
            </w:r>
          </w:p>
        </w:tc>
        <w:tc>
          <w:tcPr>
            <w:tcW w:w="1100" w:type="dxa"/>
            <w:vAlign w:val="bottom"/>
          </w:tcPr>
          <w:p>
            <w:pPr>
              <w:spacing w:after="0"/>
              <w:rPr>
                <w:sz w:val="18"/>
                <w:szCs w:val="18"/>
                <w:color w:val="auto"/>
              </w:rPr>
            </w:pPr>
          </w:p>
        </w:tc>
        <w:tc>
          <w:tcPr>
            <w:tcW w:w="480" w:type="dxa"/>
            <w:vAlign w:val="bottom"/>
          </w:tcPr>
          <w:p>
            <w:pPr>
              <w:ind w:left="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11,754</w:t>
            </w:r>
          </w:p>
        </w:tc>
        <w:tc>
          <w:tcPr>
            <w:tcW w:w="2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gridSpan w:val="2"/>
          </w:tcPr>
          <w:p>
            <w:pPr>
              <w:spacing w:after="0"/>
              <w:rPr>
                <w:sz w:val="20"/>
                <w:szCs w:val="20"/>
                <w:color w:val="auto"/>
              </w:rPr>
            </w:pPr>
            <w:r>
              <w:rPr>
                <w:rFonts w:ascii="Arial" w:cs="Arial" w:eastAsia="Arial" w:hAnsi="Arial"/>
                <w:sz w:val="18"/>
                <w:szCs w:val="18"/>
                <w:color w:val="auto"/>
              </w:rPr>
              <w:t>Measured at Fair Value on a Non-recurring Basis:</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Assets</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gridSpan w:val="2"/>
          </w:tcPr>
          <w:p>
            <w:pPr>
              <w:ind w:left="340"/>
              <w:spacing w:after="0"/>
              <w:rPr>
                <w:sz w:val="20"/>
                <w:szCs w:val="20"/>
                <w:color w:val="auto"/>
              </w:rPr>
            </w:pPr>
            <w:r>
              <w:rPr>
                <w:rFonts w:ascii="Arial" w:cs="Arial" w:eastAsia="Arial" w:hAnsi="Arial"/>
                <w:sz w:val="18"/>
                <w:szCs w:val="18"/>
                <w:color w:val="auto"/>
              </w:rPr>
              <w:t>Impaired loans (3)</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Commercial</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gridSpan w:val="2"/>
          </w:tcPr>
          <w:p>
            <w:pPr>
              <w:ind w:left="660"/>
              <w:spacing w:after="0"/>
              <w:rPr>
                <w:sz w:val="20"/>
                <w:szCs w:val="20"/>
                <w:color w:val="auto"/>
              </w:rPr>
            </w:pPr>
            <w:r>
              <w:rPr>
                <w:rFonts w:ascii="Arial" w:cs="Arial" w:eastAsia="Arial" w:hAnsi="Arial"/>
                <w:sz w:val="18"/>
                <w:szCs w:val="18"/>
                <w:color w:val="auto"/>
              </w:rPr>
              <w:t>Commercial and industrial</w:t>
            </w:r>
          </w:p>
        </w:tc>
        <w:tc>
          <w:tcPr>
            <w:tcW w:w="26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1,468</w:t>
            </w:r>
          </w:p>
        </w:tc>
        <w:tc>
          <w:tcPr>
            <w:tcW w:w="1100" w:type="dxa"/>
            <w:vAlign w:val="bottom"/>
          </w:tcPr>
          <w:p>
            <w:pPr>
              <w:spacing w:after="0"/>
              <w:rPr>
                <w:sz w:val="18"/>
                <w:szCs w:val="18"/>
                <w:color w:val="auto"/>
              </w:rPr>
            </w:pPr>
          </w:p>
        </w:tc>
        <w:tc>
          <w:tcPr>
            <w:tcW w:w="480" w:type="dxa"/>
            <w:vAlign w:val="bottom"/>
          </w:tcPr>
          <w:p>
            <w:pPr>
              <w:ind w:left="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1,468</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Commercial real estate</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6,586</w:t>
            </w: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6,586</w:t>
            </w:r>
          </w:p>
        </w:tc>
        <w:tc>
          <w:tcPr>
            <w:tcW w:w="0" w:type="dxa"/>
            <w:vAlign w:val="bottom"/>
          </w:tcPr>
          <w:p>
            <w:pPr>
              <w:spacing w:after="0"/>
              <w:rPr>
                <w:sz w:val="1"/>
                <w:szCs w:val="1"/>
                <w:color w:val="auto"/>
              </w:rPr>
            </w:pPr>
          </w:p>
        </w:tc>
      </w:tr>
      <w:tr>
        <w:trPr>
          <w:trHeight w:val="216"/>
        </w:trPr>
        <w:tc>
          <w:tcPr>
            <w:tcW w:w="5860" w:type="dxa"/>
            <w:vAlign w:val="bottom"/>
            <w:gridSpan w:val="2"/>
          </w:tcPr>
          <w:p>
            <w:pPr>
              <w:ind w:left="480"/>
              <w:spacing w:after="0"/>
              <w:rPr>
                <w:sz w:val="20"/>
                <w:szCs w:val="20"/>
                <w:color w:val="auto"/>
              </w:rPr>
            </w:pPr>
            <w:r>
              <w:rPr>
                <w:rFonts w:ascii="Arial" w:cs="Arial" w:eastAsia="Arial" w:hAnsi="Arial"/>
                <w:sz w:val="18"/>
                <w:szCs w:val="18"/>
                <w:color w:val="auto"/>
              </w:rPr>
              <w:t>Mortgage</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1-4 family owner occupied - jumbo</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60" w:type="dxa"/>
            <w:vAlign w:val="bottom"/>
            <w:gridSpan w:val="2"/>
          </w:tcPr>
          <w:p>
            <w:pPr>
              <w:ind w:left="660"/>
              <w:spacing w:after="0"/>
              <w:rPr>
                <w:sz w:val="20"/>
                <w:szCs w:val="20"/>
                <w:color w:val="auto"/>
              </w:rPr>
            </w:pPr>
            <w:r>
              <w:rPr>
                <w:rFonts w:ascii="Arial" w:cs="Arial" w:eastAsia="Arial" w:hAnsi="Arial"/>
                <w:sz w:val="18"/>
                <w:szCs w:val="18"/>
                <w:color w:val="auto"/>
              </w:rPr>
              <w:t>1-4 family owner occupied - non-jumbo</w:t>
            </w:r>
          </w:p>
        </w:tc>
        <w:tc>
          <w:tcPr>
            <w:tcW w:w="26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321</w:t>
            </w:r>
          </w:p>
        </w:tc>
        <w:tc>
          <w:tcPr>
            <w:tcW w:w="1100" w:type="dxa"/>
            <w:vAlign w:val="bottom"/>
          </w:tcPr>
          <w:p>
            <w:pPr>
              <w:spacing w:after="0"/>
              <w:rPr>
                <w:sz w:val="18"/>
                <w:szCs w:val="18"/>
                <w:color w:val="auto"/>
              </w:rPr>
            </w:pPr>
          </w:p>
        </w:tc>
        <w:tc>
          <w:tcPr>
            <w:tcW w:w="480" w:type="dxa"/>
            <w:vAlign w:val="bottom"/>
          </w:tcPr>
          <w:p>
            <w:pPr>
              <w:ind w:left="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1-4 family non-owner occupied</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155</w:t>
            </w: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6"/>
        </w:trPr>
        <w:tc>
          <w:tcPr>
            <w:tcW w:w="5860" w:type="dxa"/>
            <w:vAlign w:val="bottom"/>
            <w:gridSpan w:val="2"/>
          </w:tcPr>
          <w:p>
            <w:pPr>
              <w:ind w:left="660"/>
              <w:spacing w:after="0"/>
              <w:rPr>
                <w:sz w:val="20"/>
                <w:szCs w:val="20"/>
                <w:color w:val="auto"/>
              </w:rPr>
            </w:pPr>
            <w:r>
              <w:rPr>
                <w:rFonts w:ascii="Arial" w:cs="Arial" w:eastAsia="Arial" w:hAnsi="Arial"/>
                <w:sz w:val="18"/>
                <w:szCs w:val="18"/>
                <w:color w:val="auto"/>
              </w:rPr>
              <w:t>1-4 family - 2nd lien</w:t>
            </w:r>
          </w:p>
        </w:tc>
        <w:tc>
          <w:tcPr>
            <w:tcW w:w="26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324</w:t>
            </w:r>
          </w:p>
        </w:tc>
        <w:tc>
          <w:tcPr>
            <w:tcW w:w="1100" w:type="dxa"/>
            <w:vAlign w:val="bottom"/>
          </w:tcPr>
          <w:p>
            <w:pPr>
              <w:spacing w:after="0"/>
              <w:rPr>
                <w:sz w:val="18"/>
                <w:szCs w:val="18"/>
                <w:color w:val="auto"/>
              </w:rPr>
            </w:pPr>
          </w:p>
        </w:tc>
        <w:tc>
          <w:tcPr>
            <w:tcW w:w="480" w:type="dxa"/>
            <w:vAlign w:val="bottom"/>
          </w:tcPr>
          <w:p>
            <w:pPr>
              <w:ind w:left="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Resort lending</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61</w:t>
            </w: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5860" w:type="dxa"/>
            <w:vAlign w:val="bottom"/>
            <w:gridSpan w:val="2"/>
          </w:tcPr>
          <w:p>
            <w:pPr>
              <w:ind w:left="480"/>
              <w:spacing w:after="0"/>
              <w:rPr>
                <w:sz w:val="20"/>
                <w:szCs w:val="20"/>
                <w:color w:val="auto"/>
              </w:rPr>
            </w:pPr>
            <w:r>
              <w:rPr>
                <w:rFonts w:ascii="Arial" w:cs="Arial" w:eastAsia="Arial" w:hAnsi="Arial"/>
                <w:sz w:val="18"/>
                <w:szCs w:val="18"/>
                <w:color w:val="auto"/>
              </w:rPr>
              <w:t>Installment</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Boat lending</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w:t>
            </w: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5860" w:type="dxa"/>
            <w:vAlign w:val="bottom"/>
            <w:gridSpan w:val="2"/>
          </w:tcPr>
          <w:p>
            <w:pPr>
              <w:ind w:left="660"/>
              <w:spacing w:after="0"/>
              <w:rPr>
                <w:sz w:val="20"/>
                <w:szCs w:val="20"/>
                <w:color w:val="auto"/>
              </w:rPr>
            </w:pPr>
            <w:r>
              <w:rPr>
                <w:rFonts w:ascii="Arial" w:cs="Arial" w:eastAsia="Arial" w:hAnsi="Arial"/>
                <w:sz w:val="18"/>
                <w:szCs w:val="18"/>
                <w:color w:val="auto"/>
              </w:rPr>
              <w:t>Recreational vehicle lending</w:t>
            </w:r>
          </w:p>
        </w:tc>
        <w:tc>
          <w:tcPr>
            <w:tcW w:w="26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31</w:t>
            </w:r>
          </w:p>
        </w:tc>
        <w:tc>
          <w:tcPr>
            <w:tcW w:w="1100" w:type="dxa"/>
            <w:vAlign w:val="bottom"/>
          </w:tcPr>
          <w:p>
            <w:pPr>
              <w:spacing w:after="0"/>
              <w:rPr>
                <w:sz w:val="18"/>
                <w:szCs w:val="18"/>
                <w:color w:val="auto"/>
              </w:rPr>
            </w:pPr>
          </w:p>
        </w:tc>
        <w:tc>
          <w:tcPr>
            <w:tcW w:w="480" w:type="dxa"/>
            <w:vAlign w:val="bottom"/>
          </w:tcPr>
          <w:p>
            <w:pPr>
              <w:ind w:left="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124</w:t>
            </w: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5860" w:type="dxa"/>
            <w:vAlign w:val="bottom"/>
            <w:gridSpan w:val="2"/>
          </w:tcPr>
          <w:p>
            <w:pPr>
              <w:ind w:left="480"/>
              <w:spacing w:after="0"/>
              <w:rPr>
                <w:sz w:val="20"/>
                <w:szCs w:val="20"/>
                <w:color w:val="auto"/>
              </w:rPr>
            </w:pPr>
            <w:r>
              <w:rPr>
                <w:rFonts w:ascii="Arial" w:cs="Arial" w:eastAsia="Arial" w:hAnsi="Arial"/>
                <w:sz w:val="18"/>
                <w:szCs w:val="18"/>
                <w:color w:val="auto"/>
              </w:rPr>
              <w:t>Other real estate (4)</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1-4 family owner occupied - non-jumbo</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102</w:t>
            </w: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101"/>
        </w:trPr>
        <w:tc>
          <w:tcPr>
            <w:tcW w:w="4500" w:type="dxa"/>
            <w:vAlign w:val="bottom"/>
            <w:tcBorders>
              <w:bottom w:val="single" w:sz="8" w:color="auto"/>
            </w:tcBorders>
          </w:tcPr>
          <w:p>
            <w:pPr>
              <w:spacing w:after="0"/>
              <w:rPr>
                <w:sz w:val="8"/>
                <w:szCs w:val="8"/>
                <w:color w:val="auto"/>
              </w:rPr>
            </w:pPr>
          </w:p>
        </w:tc>
        <w:tc>
          <w:tcPr>
            <w:tcW w:w="1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Included in accrued income and other assets</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Included in accrued expenses and other liabilities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Only includes impaired loans with specific loss allocations based on collateral value.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Only includes other real estate with subsequent write downs to fair value.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3" w:name="page54"/>
    <w:bookmarkEnd w:id="5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Changes in fair values for financial assets which we have elected the fair value option for the periods presented were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20" w:type="dxa"/>
            <w:vAlign w:val="bottom"/>
            <w:gridSpan w:val="5"/>
          </w:tcPr>
          <w:p>
            <w:pPr>
              <w:jc w:val="center"/>
              <w:ind w:right="110"/>
              <w:spacing w:after="0"/>
              <w:rPr>
                <w:sz w:val="20"/>
                <w:szCs w:val="20"/>
                <w:color w:val="auto"/>
              </w:rPr>
            </w:pPr>
            <w:r>
              <w:rPr>
                <w:rFonts w:ascii="Arial" w:cs="Arial" w:eastAsia="Arial" w:hAnsi="Arial"/>
                <w:sz w:val="18"/>
                <w:szCs w:val="18"/>
                <w:color w:val="auto"/>
                <w:w w:val="90"/>
              </w:rPr>
              <w:t>Changes in Fair Values for the Six-Month Periods</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20" w:type="dxa"/>
            <w:vAlign w:val="bottom"/>
            <w:gridSpan w:val="5"/>
          </w:tcPr>
          <w:p>
            <w:pPr>
              <w:jc w:val="center"/>
              <w:ind w:right="130"/>
              <w:spacing w:after="0"/>
              <w:rPr>
                <w:sz w:val="20"/>
                <w:szCs w:val="20"/>
                <w:color w:val="auto"/>
              </w:rPr>
            </w:pPr>
            <w:r>
              <w:rPr>
                <w:rFonts w:ascii="Arial" w:cs="Arial" w:eastAsia="Arial" w:hAnsi="Arial"/>
                <w:sz w:val="18"/>
                <w:szCs w:val="18"/>
                <w:color w:val="auto"/>
                <w:w w:val="89"/>
              </w:rPr>
              <w:t>Ended June 30 for Items Measured at Fair Value</w:t>
            </w:r>
          </w:p>
        </w:tc>
        <w:tc>
          <w:tcPr>
            <w:tcW w:w="0" w:type="dxa"/>
            <w:vAlign w:val="bottom"/>
          </w:tcPr>
          <w:p>
            <w:pPr>
              <w:spacing w:after="0"/>
              <w:rPr>
                <w:sz w:val="1"/>
                <w:szCs w:val="1"/>
                <w:color w:val="auto"/>
              </w:rPr>
            </w:pPr>
          </w:p>
        </w:tc>
      </w:tr>
      <w:tr>
        <w:trPr>
          <w:trHeight w:val="237"/>
        </w:trPr>
        <w:tc>
          <w:tcPr>
            <w:tcW w:w="7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820" w:type="dxa"/>
            <w:vAlign w:val="bottom"/>
            <w:tcBorders>
              <w:bottom w:val="single" w:sz="8" w:color="auto"/>
            </w:tcBorders>
            <w:gridSpan w:val="5"/>
          </w:tcPr>
          <w:p>
            <w:pPr>
              <w:jc w:val="center"/>
              <w:ind w:right="110"/>
              <w:spacing w:after="0"/>
              <w:rPr>
                <w:sz w:val="20"/>
                <w:szCs w:val="20"/>
                <w:color w:val="auto"/>
              </w:rPr>
            </w:pPr>
            <w:r>
              <w:rPr>
                <w:rFonts w:ascii="Arial" w:cs="Arial" w:eastAsia="Arial" w:hAnsi="Arial"/>
                <w:sz w:val="18"/>
                <w:szCs w:val="18"/>
                <w:color w:val="auto"/>
                <w:w w:val="91"/>
              </w:rPr>
              <w:t>Pursuant to Election of the Fair Value Option</w:t>
            </w:r>
          </w:p>
        </w:tc>
        <w:tc>
          <w:tcPr>
            <w:tcW w:w="0" w:type="dxa"/>
            <w:vAlign w:val="bottom"/>
          </w:tcPr>
          <w:p>
            <w:pPr>
              <w:spacing w:after="0"/>
              <w:rPr>
                <w:sz w:val="1"/>
                <w:szCs w:val="1"/>
                <w:color w:val="auto"/>
              </w:rPr>
            </w:pPr>
          </w:p>
        </w:tc>
      </w:tr>
      <w:tr>
        <w:trPr>
          <w:trHeight w:val="202"/>
        </w:trPr>
        <w:tc>
          <w:tcPr>
            <w:tcW w:w="7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center"/>
              <w:ind w:right="150"/>
              <w:spacing w:after="0" w:line="201" w:lineRule="exact"/>
              <w:rPr>
                <w:sz w:val="20"/>
                <w:szCs w:val="20"/>
                <w:color w:val="auto"/>
              </w:rPr>
            </w:pPr>
            <w:r>
              <w:rPr>
                <w:rFonts w:ascii="Arial" w:cs="Arial" w:eastAsia="Arial" w:hAnsi="Arial"/>
                <w:sz w:val="18"/>
                <w:szCs w:val="18"/>
                <w:color w:val="auto"/>
                <w:w w:val="89"/>
              </w:rPr>
              <w:t>Total</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center"/>
              <w:ind w:right="150"/>
              <w:spacing w:after="0"/>
              <w:rPr>
                <w:sz w:val="20"/>
                <w:szCs w:val="20"/>
                <w:color w:val="auto"/>
              </w:rPr>
            </w:pPr>
            <w:r>
              <w:rPr>
                <w:rFonts w:ascii="Arial" w:cs="Arial" w:eastAsia="Arial" w:hAnsi="Arial"/>
                <w:sz w:val="18"/>
                <w:szCs w:val="18"/>
                <w:color w:val="auto"/>
                <w:w w:val="88"/>
              </w:rPr>
              <w:t>Change</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center"/>
              <w:ind w:right="150"/>
              <w:spacing w:after="0"/>
              <w:rPr>
                <w:sz w:val="20"/>
                <w:szCs w:val="20"/>
                <w:color w:val="auto"/>
              </w:rPr>
            </w:pPr>
            <w:r>
              <w:rPr>
                <w:rFonts w:ascii="Arial" w:cs="Arial" w:eastAsia="Arial" w:hAnsi="Arial"/>
                <w:sz w:val="18"/>
                <w:szCs w:val="18"/>
                <w:color w:val="auto"/>
                <w:w w:val="95"/>
              </w:rPr>
              <w:t>in Fair</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vMerge w:val="restart"/>
          </w:tcPr>
          <w:p>
            <w:pPr>
              <w:jc w:val="center"/>
              <w:ind w:right="130"/>
              <w:spacing w:after="0"/>
              <w:rPr>
                <w:sz w:val="20"/>
                <w:szCs w:val="20"/>
                <w:color w:val="auto"/>
              </w:rPr>
            </w:pPr>
            <w:r>
              <w:rPr>
                <w:rFonts w:ascii="Arial" w:cs="Arial" w:eastAsia="Arial" w:hAnsi="Arial"/>
                <w:sz w:val="18"/>
                <w:szCs w:val="18"/>
                <w:color w:val="auto"/>
                <w:w w:val="92"/>
              </w:rPr>
              <w:t>Net Gains</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center"/>
              <w:ind w:right="150"/>
              <w:spacing w:after="0"/>
              <w:rPr>
                <w:sz w:val="20"/>
                <w:szCs w:val="20"/>
                <w:color w:val="auto"/>
              </w:rPr>
            </w:pPr>
            <w:r>
              <w:rPr>
                <w:rFonts w:ascii="Arial" w:cs="Arial" w:eastAsia="Arial" w:hAnsi="Arial"/>
                <w:sz w:val="18"/>
                <w:szCs w:val="18"/>
                <w:color w:val="auto"/>
                <w:w w:val="87"/>
              </w:rPr>
              <w:t>Values</w:t>
            </w:r>
          </w:p>
        </w:tc>
        <w:tc>
          <w:tcPr>
            <w:tcW w:w="0" w:type="dxa"/>
            <w:vAlign w:val="bottom"/>
          </w:tcPr>
          <w:p>
            <w:pPr>
              <w:spacing w:after="0"/>
              <w:rPr>
                <w:sz w:val="1"/>
                <w:szCs w:val="1"/>
                <w:color w:val="auto"/>
              </w:rPr>
            </w:pPr>
          </w:p>
        </w:tc>
      </w:tr>
      <w:tr>
        <w:trPr>
          <w:trHeight w:val="189"/>
        </w:trPr>
        <w:tc>
          <w:tcPr>
            <w:tcW w:w="7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center"/>
              <w:ind w:right="150"/>
              <w:spacing w:after="0" w:line="189" w:lineRule="exact"/>
              <w:rPr>
                <w:sz w:val="20"/>
                <w:szCs w:val="20"/>
                <w:color w:val="auto"/>
              </w:rPr>
            </w:pPr>
            <w:r>
              <w:rPr>
                <w:rFonts w:ascii="Arial" w:cs="Arial" w:eastAsia="Arial" w:hAnsi="Arial"/>
                <w:sz w:val="18"/>
                <w:szCs w:val="18"/>
                <w:color w:val="auto"/>
                <w:w w:val="93"/>
              </w:rPr>
              <w:t>Included</w:t>
            </w:r>
          </w:p>
        </w:tc>
        <w:tc>
          <w:tcPr>
            <w:tcW w:w="0" w:type="dxa"/>
            <w:vAlign w:val="bottom"/>
          </w:tcPr>
          <w:p>
            <w:pPr>
              <w:spacing w:after="0"/>
              <w:rPr>
                <w:sz w:val="1"/>
                <w:szCs w:val="1"/>
                <w:color w:val="auto"/>
              </w:rPr>
            </w:pPr>
          </w:p>
        </w:tc>
      </w:tr>
      <w:tr>
        <w:trPr>
          <w:trHeight w:val="237"/>
        </w:trPr>
        <w:tc>
          <w:tcPr>
            <w:tcW w:w="7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8"/>
              </w:rPr>
              <w:t>on Assets</w:t>
            </w:r>
          </w:p>
        </w:tc>
        <w:tc>
          <w:tcPr>
            <w:tcW w:w="260" w:type="dxa"/>
            <w:vAlign w:val="bottom"/>
          </w:tcPr>
          <w:p>
            <w:pPr>
              <w:spacing w:after="0"/>
              <w:rPr>
                <w:sz w:val="20"/>
                <w:szCs w:val="20"/>
                <w:color w:val="auto"/>
              </w:rPr>
            </w:pPr>
          </w:p>
        </w:tc>
        <w:tc>
          <w:tcPr>
            <w:tcW w:w="1100" w:type="dxa"/>
            <w:vAlign w:val="bottom"/>
          </w:tcPr>
          <w:p>
            <w:pPr>
              <w:jc w:val="center"/>
              <w:ind w:right="190"/>
              <w:spacing w:after="0"/>
              <w:rPr>
                <w:sz w:val="20"/>
                <w:szCs w:val="20"/>
                <w:color w:val="auto"/>
              </w:rPr>
            </w:pPr>
            <w:r>
              <w:rPr>
                <w:rFonts w:ascii="Arial" w:cs="Arial" w:eastAsia="Arial" w:hAnsi="Arial"/>
                <w:sz w:val="18"/>
                <w:szCs w:val="18"/>
                <w:color w:val="auto"/>
                <w:w w:val="92"/>
              </w:rPr>
              <w:t>Mortgage</w:t>
            </w:r>
          </w:p>
        </w:tc>
        <w:tc>
          <w:tcPr>
            <w:tcW w:w="220" w:type="dxa"/>
            <w:vAlign w:val="bottom"/>
          </w:tcPr>
          <w:p>
            <w:pPr>
              <w:spacing w:after="0"/>
              <w:rPr>
                <w:sz w:val="20"/>
                <w:szCs w:val="20"/>
                <w:color w:val="auto"/>
              </w:rPr>
            </w:pPr>
          </w:p>
        </w:tc>
        <w:tc>
          <w:tcPr>
            <w:tcW w:w="1080" w:type="dxa"/>
            <w:vAlign w:val="bottom"/>
          </w:tcPr>
          <w:p>
            <w:pPr>
              <w:jc w:val="center"/>
              <w:ind w:right="150"/>
              <w:spacing w:after="0"/>
              <w:rPr>
                <w:sz w:val="20"/>
                <w:szCs w:val="20"/>
                <w:color w:val="auto"/>
              </w:rPr>
            </w:pPr>
            <w:r>
              <w:rPr>
                <w:rFonts w:ascii="Arial" w:cs="Arial" w:eastAsia="Arial" w:hAnsi="Arial"/>
                <w:sz w:val="18"/>
                <w:szCs w:val="18"/>
                <w:color w:val="auto"/>
                <w:w w:val="91"/>
              </w:rPr>
              <w:t>in Current</w:t>
            </w:r>
          </w:p>
        </w:tc>
        <w:tc>
          <w:tcPr>
            <w:tcW w:w="0" w:type="dxa"/>
            <w:vAlign w:val="bottom"/>
          </w:tcPr>
          <w:p>
            <w:pPr>
              <w:spacing w:after="0"/>
              <w:rPr>
                <w:sz w:val="1"/>
                <w:szCs w:val="1"/>
                <w:color w:val="auto"/>
              </w:rPr>
            </w:pPr>
          </w:p>
        </w:tc>
      </w:tr>
      <w:tr>
        <w:trPr>
          <w:trHeight w:val="202"/>
        </w:trPr>
        <w:tc>
          <w:tcPr>
            <w:tcW w:w="7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jc w:val="center"/>
              <w:ind w:right="130"/>
              <w:spacing w:after="0" w:line="201" w:lineRule="exact"/>
              <w:rPr>
                <w:sz w:val="20"/>
                <w:szCs w:val="20"/>
                <w:color w:val="auto"/>
              </w:rPr>
            </w:pPr>
            <w:r>
              <w:rPr>
                <w:rFonts w:ascii="Arial" w:cs="Arial" w:eastAsia="Arial" w:hAnsi="Arial"/>
                <w:sz w:val="18"/>
                <w:szCs w:val="18"/>
                <w:color w:val="auto"/>
                <w:w w:val="92"/>
              </w:rPr>
              <w:t>Mortgage</w:t>
            </w:r>
          </w:p>
        </w:tc>
        <w:tc>
          <w:tcPr>
            <w:tcW w:w="260" w:type="dxa"/>
            <w:vAlign w:val="bottom"/>
          </w:tcPr>
          <w:p>
            <w:pPr>
              <w:spacing w:after="0"/>
              <w:rPr>
                <w:sz w:val="17"/>
                <w:szCs w:val="17"/>
                <w:color w:val="auto"/>
              </w:rPr>
            </w:pPr>
          </w:p>
        </w:tc>
        <w:tc>
          <w:tcPr>
            <w:tcW w:w="1100" w:type="dxa"/>
            <w:vAlign w:val="bottom"/>
          </w:tcPr>
          <w:p>
            <w:pPr>
              <w:jc w:val="center"/>
              <w:ind w:right="170"/>
              <w:spacing w:after="0" w:line="201" w:lineRule="exact"/>
              <w:rPr>
                <w:sz w:val="20"/>
                <w:szCs w:val="20"/>
                <w:color w:val="auto"/>
              </w:rPr>
            </w:pPr>
            <w:r>
              <w:rPr>
                <w:rFonts w:ascii="Arial" w:cs="Arial" w:eastAsia="Arial" w:hAnsi="Arial"/>
                <w:sz w:val="18"/>
                <w:szCs w:val="18"/>
                <w:color w:val="auto"/>
                <w:w w:val="89"/>
              </w:rPr>
              <w:t>Loan</w:t>
            </w:r>
          </w:p>
        </w:tc>
        <w:tc>
          <w:tcPr>
            <w:tcW w:w="220" w:type="dxa"/>
            <w:vAlign w:val="bottom"/>
          </w:tcPr>
          <w:p>
            <w:pPr>
              <w:spacing w:after="0"/>
              <w:rPr>
                <w:sz w:val="17"/>
                <w:szCs w:val="17"/>
                <w:color w:val="auto"/>
              </w:rPr>
            </w:pPr>
          </w:p>
        </w:tc>
        <w:tc>
          <w:tcPr>
            <w:tcW w:w="1080" w:type="dxa"/>
            <w:vAlign w:val="bottom"/>
          </w:tcPr>
          <w:p>
            <w:pPr>
              <w:jc w:val="center"/>
              <w:ind w:right="150"/>
              <w:spacing w:after="0" w:line="201" w:lineRule="exact"/>
              <w:rPr>
                <w:sz w:val="20"/>
                <w:szCs w:val="20"/>
                <w:color w:val="auto"/>
              </w:rPr>
            </w:pPr>
            <w:r>
              <w:rPr>
                <w:rFonts w:ascii="Arial" w:cs="Arial" w:eastAsia="Arial" w:hAnsi="Arial"/>
                <w:sz w:val="18"/>
                <w:szCs w:val="18"/>
                <w:color w:val="auto"/>
                <w:w w:val="92"/>
              </w:rPr>
              <w:t>Period</w:t>
            </w:r>
          </w:p>
        </w:tc>
        <w:tc>
          <w:tcPr>
            <w:tcW w:w="0" w:type="dxa"/>
            <w:vAlign w:val="bottom"/>
          </w:tcPr>
          <w:p>
            <w:pPr>
              <w:spacing w:after="0"/>
              <w:rPr>
                <w:sz w:val="1"/>
                <w:szCs w:val="1"/>
                <w:color w:val="auto"/>
              </w:rPr>
            </w:pPr>
          </w:p>
        </w:tc>
      </w:tr>
      <w:tr>
        <w:trPr>
          <w:trHeight w:val="237"/>
        </w:trPr>
        <w:tc>
          <w:tcPr>
            <w:tcW w:w="7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9"/>
              </w:rPr>
              <w:t>Loans</w:t>
            </w:r>
          </w:p>
        </w:tc>
        <w:tc>
          <w:tcPr>
            <w:tcW w:w="13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1"/>
              </w:rPr>
              <w:t>Servicing, net</w:t>
            </w: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90"/>
              </w:rPr>
              <w:t>Earnings</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60" w:type="dxa"/>
            <w:vAlign w:val="bottom"/>
            <w:gridSpan w:val="2"/>
          </w:tcPr>
          <w:p>
            <w:pPr>
              <w:jc w:val="center"/>
              <w:spacing w:after="0"/>
              <w:rPr>
                <w:sz w:val="20"/>
                <w:szCs w:val="20"/>
                <w:color w:val="auto"/>
              </w:rPr>
            </w:pPr>
            <w:r>
              <w:rPr>
                <w:rFonts w:ascii="Arial" w:cs="Arial" w:eastAsia="Arial" w:hAnsi="Arial"/>
                <w:sz w:val="18"/>
                <w:szCs w:val="18"/>
                <w:color w:val="auto"/>
                <w:w w:val="88"/>
              </w:rPr>
              <w:t>(In thousands)</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ind w:left="140"/>
              <w:spacing w:after="0"/>
              <w:rPr>
                <w:sz w:val="20"/>
                <w:szCs w:val="20"/>
                <w:color w:val="auto"/>
              </w:rPr>
            </w:pPr>
            <w:r>
              <w:rPr>
                <w:rFonts w:ascii="Arial" w:cs="Arial" w:eastAsia="Arial" w:hAnsi="Arial"/>
                <w:sz w:val="18"/>
                <w:szCs w:val="18"/>
                <w:color w:val="auto"/>
              </w:rPr>
              <w:t>Loans held for sale</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(2,400)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(2,400)</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Capitalized mortgage loan servicing rights</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ind w:left="140"/>
              <w:spacing w:after="0"/>
              <w:rPr>
                <w:sz w:val="20"/>
                <w:szCs w:val="20"/>
                <w:color w:val="auto"/>
              </w:rPr>
            </w:pPr>
            <w:r>
              <w:rPr>
                <w:rFonts w:ascii="Arial" w:cs="Arial" w:eastAsia="Arial" w:hAnsi="Arial"/>
                <w:sz w:val="18"/>
                <w:szCs w:val="18"/>
                <w:color w:val="auto"/>
              </w:rPr>
              <w:t>Loans held for sale</w:t>
            </w:r>
          </w:p>
        </w:tc>
        <w:tc>
          <w:tcPr>
            <w:tcW w:w="22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1,387</w:t>
            </w:r>
          </w:p>
        </w:tc>
        <w:tc>
          <w:tcPr>
            <w:tcW w:w="26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1,387</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Capitalized mortgage loan servicing rights</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(11,641)</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(11,641)</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those items measured at fair value pursuant to our election of the fair value option, interest income is recorded within the Condensed Consolidated Statements of Operations based on the contractual amount of interest income earned on these financial assets and dividend income is recorded based on cash dividends received.</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represent impairment charges recognized during the three and six month periods ended June 30, 2021 and 2020 relating to assets measured at fair value on a non-recurring basis:</w:t>
      </w:r>
    </w:p>
    <w:p>
      <w:pPr>
        <w:spacing w:after="0" w:line="197" w:lineRule="exact"/>
        <w:rPr>
          <w:sz w:val="20"/>
          <w:szCs w:val="20"/>
          <w:color w:val="auto"/>
        </w:rPr>
      </w:pPr>
    </w:p>
    <w:p>
      <w:pPr>
        <w:jc w:val="both"/>
        <w:ind w:left="660" w:hanging="328"/>
        <w:spacing w:after="0" w:line="268" w:lineRule="auto"/>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Loans that are individually evaluated using the fair value of collateral for collateral dependent loans had a carrying amount of $1.8 million, which is net of a valuation allowance of $0.9 million at June 30, 2021, and had a carrying amount of $9.1 million, which is net of a valuation allowance of $1.8 million at December 31, 2020. The provision for credit losses included in our results of operations relating to collateral dependent loans was a net expense of $0.1 million and $3.4 million for the three month periods ending June 30, 2021 and 2020, respectively, and a net expense of $0.1 million and $5.5 million for the six month periods ending June 30, 2021 and 2020, respectively.</w:t>
      </w:r>
    </w:p>
    <w:p>
      <w:pPr>
        <w:spacing w:after="0" w:line="2" w:lineRule="exact"/>
        <w:rPr>
          <w:rFonts w:ascii="Arial" w:cs="Arial" w:eastAsia="Arial" w:hAnsi="Arial"/>
          <w:sz w:val="17"/>
          <w:szCs w:val="17"/>
          <w:color w:val="auto"/>
        </w:rPr>
      </w:pPr>
    </w:p>
    <w:p>
      <w:pPr>
        <w:jc w:val="both"/>
        <w:ind w:left="660" w:hanging="328"/>
        <w:spacing w:after="0" w:line="273" w:lineRule="auto"/>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Other real estate, which is measured using the fair value of the property, had a carrying amount of zero which is net of a valuation allowance of $0.06 million at June 30, 2021, and a carrying amount of $0.10 million which is net of a valuation allowance of $0.09 million, at December 31, 2020. Charges included in our results of operations relating to other real estate measured at fair value were zero during both the three and six month periods ended June 30, 2021, and were zero and $0.09 million during the three and six month periods ended June 30, 2020.</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4" w:name="page55"/>
    <w:bookmarkEnd w:id="5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for all assets measured at fair value on a recurring basis using significant unobservable inputs (Level 3)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080" w:type="dxa"/>
            <w:vAlign w:val="bottom"/>
            <w:tcBorders>
              <w:bottom w:val="single" w:sz="8" w:color="auto"/>
            </w:tcBorders>
            <w:gridSpan w:val="9"/>
          </w:tcPr>
          <w:p>
            <w:pPr>
              <w:jc w:val="right"/>
              <w:ind w:right="50"/>
              <w:spacing w:after="0"/>
              <w:rPr>
                <w:sz w:val="20"/>
                <w:szCs w:val="20"/>
                <w:color w:val="auto"/>
              </w:rPr>
            </w:pPr>
            <w:r>
              <w:rPr>
                <w:rFonts w:ascii="Arial" w:cs="Arial" w:eastAsia="Arial" w:hAnsi="Arial"/>
                <w:sz w:val="18"/>
                <w:szCs w:val="18"/>
                <w:color w:val="auto"/>
              </w:rPr>
              <w:t>Capitalized Mortgage Loan Servicing Rights</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2"/>
        </w:trPr>
        <w:tc>
          <w:tcPr>
            <w:tcW w:w="5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80" w:type="dxa"/>
            <w:vAlign w:val="bottom"/>
            <w:gridSpan w:val="5"/>
          </w:tcPr>
          <w:p>
            <w:pPr>
              <w:jc w:val="right"/>
              <w:ind w:right="700"/>
              <w:spacing w:after="0" w:line="201" w:lineRule="exact"/>
              <w:rPr>
                <w:sz w:val="20"/>
                <w:szCs w:val="20"/>
                <w:color w:val="auto"/>
              </w:rPr>
            </w:pPr>
            <w:r>
              <w:rPr>
                <w:rFonts w:ascii="Arial" w:cs="Arial" w:eastAsia="Arial" w:hAnsi="Arial"/>
                <w:sz w:val="18"/>
                <w:szCs w:val="18"/>
                <w:color w:val="auto"/>
              </w:rPr>
              <w:t>Three Months Ended</w:t>
            </w:r>
          </w:p>
        </w:tc>
        <w:tc>
          <w:tcPr>
            <w:tcW w:w="240" w:type="dxa"/>
            <w:vAlign w:val="bottom"/>
          </w:tcPr>
          <w:p>
            <w:pPr>
              <w:spacing w:after="0"/>
              <w:rPr>
                <w:sz w:val="17"/>
                <w:szCs w:val="17"/>
                <w:color w:val="auto"/>
              </w:rPr>
            </w:pPr>
          </w:p>
        </w:tc>
        <w:tc>
          <w:tcPr>
            <w:tcW w:w="2200" w:type="dxa"/>
            <w:vAlign w:val="bottom"/>
            <w:gridSpan w:val="4"/>
          </w:tcPr>
          <w:p>
            <w:pPr>
              <w:jc w:val="right"/>
              <w:ind w:right="470"/>
              <w:spacing w:after="0" w:line="201" w:lineRule="exact"/>
              <w:rPr>
                <w:sz w:val="20"/>
                <w:szCs w:val="20"/>
                <w:color w:val="auto"/>
              </w:rPr>
            </w:pPr>
            <w:r>
              <w:rPr>
                <w:rFonts w:ascii="Arial" w:cs="Arial" w:eastAsia="Arial" w:hAnsi="Arial"/>
                <w:sz w:val="18"/>
                <w:szCs w:val="18"/>
                <w:color w:val="auto"/>
              </w:rPr>
              <w:t>Six Months Ended</w:t>
            </w:r>
          </w:p>
        </w:tc>
        <w:tc>
          <w:tcPr>
            <w:tcW w:w="100" w:type="dxa"/>
            <w:vAlign w:val="bottom"/>
          </w:tcPr>
          <w:p>
            <w:pPr>
              <w:spacing w:after="0"/>
              <w:rPr>
                <w:sz w:val="17"/>
                <w:szCs w:val="17"/>
                <w:color w:val="auto"/>
              </w:rPr>
            </w:pPr>
          </w:p>
        </w:tc>
      </w:t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3"/>
          </w:tcPr>
          <w:p>
            <w:pPr>
              <w:jc w:val="right"/>
              <w:ind w:right="27"/>
              <w:spacing w:after="0"/>
              <w:rPr>
                <w:sz w:val="20"/>
                <w:szCs w:val="20"/>
                <w:color w:val="auto"/>
              </w:rPr>
            </w:pPr>
            <w:r>
              <w:rPr>
                <w:rFonts w:ascii="Arial" w:cs="Arial" w:eastAsia="Arial" w:hAnsi="Arial"/>
                <w:sz w:val="18"/>
                <w:szCs w:val="18"/>
                <w:color w:val="auto"/>
              </w:rPr>
              <w:t>June 30,</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June 30,</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c>
          <w:tcPr>
            <w:tcW w:w="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2021</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(In</w:t>
            </w:r>
          </w:p>
        </w:tc>
        <w:tc>
          <w:tcPr>
            <w:tcW w:w="1380" w:type="dxa"/>
            <w:vAlign w:val="bottom"/>
            <w:gridSpan w:val="3"/>
          </w:tcPr>
          <w:p>
            <w:pPr>
              <w:jc w:val="right"/>
              <w:ind w:right="650"/>
              <w:spacing w:after="0"/>
              <w:rPr>
                <w:sz w:val="20"/>
                <w:szCs w:val="20"/>
                <w:color w:val="auto"/>
              </w:rPr>
            </w:pPr>
            <w:r>
              <w:rPr>
                <w:rFonts w:ascii="Arial" w:cs="Arial" w:eastAsia="Arial" w:hAnsi="Arial"/>
                <w:sz w:val="17"/>
                <w:szCs w:val="17"/>
                <w:color w:val="auto"/>
                <w:w w:val="73"/>
              </w:rPr>
              <w:t>thousands)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(In</w:t>
            </w:r>
          </w:p>
        </w:tc>
        <w:tc>
          <w:tcPr>
            <w:tcW w:w="1340" w:type="dxa"/>
            <w:vAlign w:val="bottom"/>
            <w:gridSpan w:val="3"/>
          </w:tcPr>
          <w:p>
            <w:pPr>
              <w:jc w:val="right"/>
              <w:ind w:right="610"/>
              <w:spacing w:after="0"/>
              <w:rPr>
                <w:sz w:val="20"/>
                <w:szCs w:val="20"/>
                <w:color w:val="auto"/>
              </w:rPr>
            </w:pPr>
            <w:r>
              <w:rPr>
                <w:rFonts w:ascii="Arial" w:cs="Arial" w:eastAsia="Arial" w:hAnsi="Arial"/>
                <w:sz w:val="17"/>
                <w:szCs w:val="17"/>
                <w:color w:val="auto"/>
                <w:w w:val="73"/>
              </w:rPr>
              <w:t>thousands)</w:t>
            </w: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76"/>
              <w:spacing w:after="0"/>
              <w:rPr>
                <w:sz w:val="20"/>
                <w:szCs w:val="20"/>
                <w:color w:val="auto"/>
              </w:rPr>
            </w:pPr>
            <w:r>
              <w:rPr>
                <w:rFonts w:ascii="Arial" w:cs="Arial" w:eastAsia="Arial" w:hAnsi="Arial"/>
                <w:sz w:val="18"/>
                <w:szCs w:val="18"/>
                <w:color w:val="auto"/>
              </w:rPr>
              <w:t>23,530</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14,829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36"/>
              <w:spacing w:after="0"/>
              <w:rPr>
                <w:sz w:val="20"/>
                <w:szCs w:val="20"/>
                <w:color w:val="auto"/>
              </w:rPr>
            </w:pPr>
            <w:r>
              <w:rPr>
                <w:rFonts w:ascii="Arial" w:cs="Arial" w:eastAsia="Arial" w:hAnsi="Arial"/>
                <w:sz w:val="18"/>
                <w:szCs w:val="18"/>
                <w:color w:val="auto"/>
              </w:rPr>
              <w:t>16,904</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19,171</w:t>
            </w:r>
          </w:p>
        </w:tc>
      </w:tr>
      <w:tr>
        <w:trPr>
          <w:trHeight w:val="216"/>
        </w:trPr>
        <w:tc>
          <w:tcPr>
            <w:tcW w:w="5980" w:type="dxa"/>
            <w:vAlign w:val="bottom"/>
          </w:tcPr>
          <w:p>
            <w:pPr>
              <w:ind w:left="140"/>
              <w:spacing w:after="0"/>
              <w:rPr>
                <w:sz w:val="20"/>
                <w:szCs w:val="20"/>
                <w:color w:val="auto"/>
              </w:rPr>
            </w:pPr>
            <w:r>
              <w:rPr>
                <w:rFonts w:ascii="Arial" w:cs="Arial" w:eastAsia="Arial" w:hAnsi="Arial"/>
                <w:sz w:val="18"/>
                <w:szCs w:val="18"/>
                <w:color w:val="auto"/>
              </w:rPr>
              <w:t>Total losses realized and unrealized:</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Included in results of operations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16"/>
              <w:spacing w:after="0"/>
              <w:rPr>
                <w:sz w:val="20"/>
                <w:szCs w:val="20"/>
                <w:color w:val="auto"/>
              </w:rPr>
            </w:pPr>
            <w:r>
              <w:rPr>
                <w:rFonts w:ascii="Arial" w:cs="Arial" w:eastAsia="Arial" w:hAnsi="Arial"/>
                <w:sz w:val="18"/>
                <w:szCs w:val="18"/>
                <w:color w:val="auto"/>
              </w:rPr>
              <w:t>(3,838)</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(4,667)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76"/>
              <w:spacing w:after="0"/>
              <w:rPr>
                <w:sz w:val="20"/>
                <w:szCs w:val="20"/>
                <w:color w:val="auto"/>
              </w:rPr>
            </w:pPr>
            <w:r>
              <w:rPr>
                <w:rFonts w:ascii="Arial" w:cs="Arial" w:eastAsia="Arial" w:hAnsi="Arial"/>
                <w:sz w:val="18"/>
                <w:szCs w:val="18"/>
                <w:color w:val="auto"/>
              </w:rPr>
              <w:t>(581)</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(11,641)</w:t>
            </w:r>
          </w:p>
        </w:tc>
      </w:tr>
      <w:tr>
        <w:trPr>
          <w:trHeight w:val="216"/>
        </w:trPr>
        <w:tc>
          <w:tcPr>
            <w:tcW w:w="5980" w:type="dxa"/>
            <w:vAlign w:val="bottom"/>
          </w:tcPr>
          <w:p>
            <w:pPr>
              <w:ind w:left="340"/>
              <w:spacing w:after="0"/>
              <w:rPr>
                <w:sz w:val="20"/>
                <w:szCs w:val="20"/>
                <w:color w:val="auto"/>
              </w:rPr>
            </w:pPr>
            <w:r>
              <w:rPr>
                <w:rFonts w:ascii="Arial" w:cs="Arial" w:eastAsia="Arial" w:hAnsi="Arial"/>
                <w:sz w:val="18"/>
                <w:szCs w:val="18"/>
                <w:color w:val="auto"/>
              </w:rPr>
              <w:t>Included in other comprehensive income (loss)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136"/>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Purchases, issuances, settlements, maturities and calls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2,739</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3,611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36"/>
              <w:spacing w:after="0"/>
              <w:rPr>
                <w:sz w:val="20"/>
                <w:szCs w:val="20"/>
                <w:color w:val="auto"/>
              </w:rPr>
            </w:pPr>
            <w:r>
              <w:rPr>
                <w:rFonts w:ascii="Arial" w:cs="Arial" w:eastAsia="Arial" w:hAnsi="Arial"/>
                <w:sz w:val="18"/>
                <w:szCs w:val="18"/>
                <w:color w:val="auto"/>
              </w:rPr>
              <w:t>6,108</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6,243</w:t>
            </w:r>
          </w:p>
        </w:tc>
      </w:tr>
      <w:tr>
        <w:trPr>
          <w:trHeight w:val="223"/>
        </w:trPr>
        <w:tc>
          <w:tcPr>
            <w:tcW w:w="5980" w:type="dxa"/>
            <w:vAlign w:val="bottom"/>
          </w:tcPr>
          <w:p>
            <w:pPr>
              <w:ind w:left="140"/>
              <w:spacing w:after="0"/>
              <w:rPr>
                <w:sz w:val="20"/>
                <w:szCs w:val="20"/>
                <w:color w:val="auto"/>
              </w:rPr>
            </w:pPr>
            <w:r>
              <w:rPr>
                <w:rFonts w:ascii="Arial" w:cs="Arial" w:eastAsia="Arial" w:hAnsi="Arial"/>
                <w:sz w:val="18"/>
                <w:szCs w:val="18"/>
                <w:color w:val="auto"/>
              </w:rPr>
              <w:t>Transfers in and/or out of Level 3</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80" w:type="dxa"/>
            <w:vAlign w:val="bottom"/>
            <w:gridSpan w:val="2"/>
          </w:tcPr>
          <w:p>
            <w:pPr>
              <w:jc w:val="right"/>
              <w:ind w:right="136"/>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6"/>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22,431</w:t>
            </w:r>
          </w:p>
        </w:tc>
        <w:tc>
          <w:tcPr>
            <w:tcW w:w="2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13,773</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22,431</w:t>
            </w:r>
          </w:p>
        </w:tc>
        <w:tc>
          <w:tcPr>
            <w:tcW w:w="2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13,773</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5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Amount of total losses for the period included in earnings attributable to the</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3"/>
              </w:rPr>
              <w:t>change in unrealized gains (losses) relating to assets and liabilities still held at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51"/>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June 30</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16"/>
              <w:spacing w:after="0"/>
              <w:rPr>
                <w:sz w:val="20"/>
                <w:szCs w:val="20"/>
                <w:color w:val="auto"/>
              </w:rPr>
            </w:pPr>
            <w:r>
              <w:rPr>
                <w:rFonts w:ascii="Arial" w:cs="Arial" w:eastAsia="Arial" w:hAnsi="Arial"/>
                <w:sz w:val="18"/>
                <w:szCs w:val="18"/>
                <w:color w:val="auto"/>
              </w:rPr>
              <w:t>(3,838)</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(4,667)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76"/>
              <w:spacing w:after="0"/>
              <w:rPr>
                <w:sz w:val="20"/>
                <w:szCs w:val="20"/>
                <w:color w:val="auto"/>
              </w:rPr>
            </w:pPr>
            <w:r>
              <w:rPr>
                <w:rFonts w:ascii="Arial" w:cs="Arial" w:eastAsia="Arial" w:hAnsi="Arial"/>
                <w:sz w:val="18"/>
                <w:szCs w:val="18"/>
                <w:color w:val="auto"/>
              </w:rPr>
              <w:t>(581)</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(11,641)</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fair value of our capitalized mortgage loan servicing rights has been determined based on a valuation model used by an independent third party as discussed above. The significant unobservable inputs used in the fair value measurement of the capitalized mortgage loan servicing rights are discount rate, cost to service, ancillary income, float rate and prepayment rate. Significant changes in all five of these assumptions in isolation would result in significant changes to the value of our capitalized mortgage loan servicing rights. Quantitative information about our Level 3 fair value measurements measured on a recurring basis follows: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center"/>
              <w:ind w:right="130"/>
              <w:spacing w:after="0"/>
              <w:rPr>
                <w:sz w:val="20"/>
                <w:szCs w:val="20"/>
                <w:color w:val="auto"/>
              </w:rPr>
            </w:pPr>
            <w:r>
              <w:rPr>
                <w:rFonts w:ascii="Arial" w:cs="Arial" w:eastAsia="Arial" w:hAnsi="Arial"/>
                <w:sz w:val="18"/>
                <w:szCs w:val="18"/>
                <w:color w:val="auto"/>
                <w:w w:val="88"/>
              </w:rPr>
              <w:t>Asset</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center"/>
              <w:ind w:right="130"/>
              <w:spacing w:after="0"/>
              <w:rPr>
                <w:sz w:val="20"/>
                <w:szCs w:val="20"/>
                <w:color w:val="auto"/>
              </w:rPr>
            </w:pPr>
            <w:r>
              <w:rPr>
                <w:rFonts w:ascii="Arial" w:cs="Arial" w:eastAsia="Arial" w:hAnsi="Arial"/>
                <w:sz w:val="18"/>
                <w:szCs w:val="18"/>
                <w:color w:val="auto"/>
                <w:w w:val="90"/>
              </w:rPr>
              <w:t>Fair</w:t>
            </w:r>
          </w:p>
        </w:tc>
        <w:tc>
          <w:tcPr>
            <w:tcW w:w="22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Valuation</w:t>
            </w:r>
          </w:p>
        </w:tc>
        <w:tc>
          <w:tcPr>
            <w:tcW w:w="2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Unobservable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w w:val="94"/>
              </w:rPr>
              <w:t>Weighted</w:t>
            </w:r>
          </w:p>
        </w:tc>
      </w:tr>
      <w:tr>
        <w:trPr>
          <w:trHeight w:val="237"/>
        </w:trPr>
        <w:tc>
          <w:tcPr>
            <w:tcW w:w="4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center"/>
              <w:ind w:right="130"/>
              <w:spacing w:after="0"/>
              <w:rPr>
                <w:sz w:val="20"/>
                <w:szCs w:val="20"/>
                <w:color w:val="auto"/>
              </w:rPr>
            </w:pPr>
            <w:r>
              <w:rPr>
                <w:rFonts w:ascii="Arial" w:cs="Arial" w:eastAsia="Arial" w:hAnsi="Arial"/>
                <w:sz w:val="18"/>
                <w:szCs w:val="18"/>
                <w:color w:val="auto"/>
                <w:w w:val="86"/>
              </w:rPr>
              <w:t>Value</w:t>
            </w:r>
          </w:p>
        </w:tc>
        <w:tc>
          <w:tcPr>
            <w:tcW w:w="22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Technique</w:t>
            </w:r>
          </w:p>
        </w:tc>
        <w:tc>
          <w:tcPr>
            <w:tcW w:w="22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Inputs</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2"/>
          </w:tcPr>
          <w:p>
            <w:pPr>
              <w:jc w:val="right"/>
              <w:ind w:right="660"/>
              <w:spacing w:after="0"/>
              <w:rPr>
                <w:sz w:val="20"/>
                <w:szCs w:val="20"/>
                <w:color w:val="auto"/>
              </w:rPr>
            </w:pPr>
            <w:r>
              <w:rPr>
                <w:rFonts w:ascii="Arial" w:cs="Arial" w:eastAsia="Arial" w:hAnsi="Arial"/>
                <w:sz w:val="18"/>
                <w:szCs w:val="18"/>
                <w:color w:val="auto"/>
              </w:rPr>
              <w:t>Range</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w w:val="98"/>
              </w:rPr>
              <w:t>Average</w:t>
            </w:r>
          </w:p>
        </w:tc>
      </w:tr>
      <w:tr>
        <w:trPr>
          <w:trHeight w:val="202"/>
        </w:trPr>
        <w:tc>
          <w:tcPr>
            <w:tcW w:w="4400" w:type="dxa"/>
            <w:vAlign w:val="bottom"/>
          </w:tcPr>
          <w:p>
            <w:pPr>
              <w:spacing w:after="0"/>
              <w:rPr>
                <w:sz w:val="17"/>
                <w:szCs w:val="17"/>
                <w:color w:val="auto"/>
              </w:rPr>
            </w:pPr>
          </w:p>
        </w:tc>
        <w:tc>
          <w:tcPr>
            <w:tcW w:w="1120" w:type="dxa"/>
            <w:vAlign w:val="bottom"/>
            <w:tcBorders>
              <w:top w:val="single" w:sz="8" w:color="auto"/>
            </w:tcBorders>
            <w:gridSpan w:val="2"/>
          </w:tcPr>
          <w:p>
            <w:pPr>
              <w:jc w:val="center"/>
              <w:spacing w:after="0" w:line="201" w:lineRule="exact"/>
              <w:rPr>
                <w:sz w:val="20"/>
                <w:szCs w:val="20"/>
                <w:color w:val="auto"/>
              </w:rPr>
            </w:pPr>
            <w:r>
              <w:rPr>
                <w:rFonts w:ascii="Arial" w:cs="Arial" w:eastAsia="Arial" w:hAnsi="Arial"/>
                <w:sz w:val="18"/>
                <w:szCs w:val="18"/>
                <w:color w:val="auto"/>
                <w:w w:val="90"/>
              </w:rPr>
              <w:t>(In thousands)</w:t>
            </w:r>
          </w:p>
        </w:tc>
        <w:tc>
          <w:tcPr>
            <w:tcW w:w="220" w:type="dxa"/>
            <w:vAlign w:val="bottom"/>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r>
      <w:tr>
        <w:trPr>
          <w:trHeight w:val="230"/>
        </w:trPr>
        <w:tc>
          <w:tcPr>
            <w:tcW w:w="4620" w:type="dxa"/>
            <w:vAlign w:val="bottom"/>
            <w:gridSpan w:val="2"/>
          </w:tcPr>
          <w:p>
            <w:pPr>
              <w:spacing w:after="0"/>
              <w:rPr>
                <w:sz w:val="20"/>
                <w:szCs w:val="20"/>
                <w:color w:val="auto"/>
              </w:rPr>
            </w:pPr>
            <w:r>
              <w:rPr>
                <w:rFonts w:ascii="Arial" w:cs="Arial" w:eastAsia="Arial" w:hAnsi="Arial"/>
                <w:sz w:val="18"/>
                <w:szCs w:val="18"/>
                <w:color w:val="auto"/>
              </w:rPr>
              <w:t>June 30, 2021</w:t>
            </w: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02"/>
        </w:trPr>
        <w:tc>
          <w:tcPr>
            <w:tcW w:w="4620" w:type="dxa"/>
            <w:vAlign w:val="bottom"/>
            <w:gridSpan w:val="2"/>
            <w:shd w:val="clear" w:color="auto" w:fill="CCEEFF"/>
          </w:tcPr>
          <w:p>
            <w:pPr>
              <w:jc w:val="right"/>
              <w:ind w:right="1330"/>
              <w:spacing w:after="0" w:line="201" w:lineRule="exact"/>
              <w:rPr>
                <w:sz w:val="20"/>
                <w:szCs w:val="20"/>
                <w:color w:val="auto"/>
              </w:rPr>
            </w:pPr>
            <w:r>
              <w:rPr>
                <w:rFonts w:ascii="Arial" w:cs="Arial" w:eastAsia="Arial" w:hAnsi="Arial"/>
                <w:sz w:val="18"/>
                <w:szCs w:val="18"/>
                <w:color w:val="auto"/>
                <w:w w:val="95"/>
              </w:rPr>
              <w:t>Capitalized mortgage loan servicing rights</w:t>
            </w: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7"/>
              </w:rPr>
              <w:t>Present value</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46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22,431</w:t>
            </w: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of net</w:t>
            </w:r>
          </w:p>
        </w:tc>
        <w:tc>
          <w:tcPr>
            <w:tcW w:w="1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Discount rate</w:t>
            </w:r>
          </w:p>
        </w:tc>
        <w:tc>
          <w:tcPr>
            <w:tcW w:w="220" w:type="dxa"/>
            <w:vAlign w:val="bottom"/>
            <w:shd w:val="clear" w:color="auto" w:fill="CCEEFF"/>
          </w:tcPr>
          <w:p>
            <w:pPr>
              <w:spacing w:after="0"/>
              <w:rPr>
                <w:sz w:val="20"/>
                <w:szCs w:val="20"/>
                <w:color w:val="auto"/>
              </w:rPr>
            </w:pPr>
          </w:p>
        </w:tc>
        <w:tc>
          <w:tcPr>
            <w:tcW w:w="15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91"/>
              </w:rPr>
              <w:t>10.00% to 13.00%</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10.09%</w:t>
            </w:r>
          </w:p>
        </w:tc>
      </w:tr>
      <w:tr>
        <w:trPr>
          <w:trHeight w:val="202"/>
        </w:trPr>
        <w:tc>
          <w:tcPr>
            <w:tcW w:w="4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center"/>
              <w:spacing w:after="0" w:line="201" w:lineRule="exact"/>
              <w:rPr>
                <w:sz w:val="20"/>
                <w:szCs w:val="20"/>
                <w:color w:val="auto"/>
              </w:rPr>
            </w:pPr>
            <w:r>
              <w:rPr>
                <w:rFonts w:ascii="Arial" w:cs="Arial" w:eastAsia="Arial" w:hAnsi="Arial"/>
                <w:sz w:val="18"/>
                <w:szCs w:val="18"/>
                <w:color w:val="auto"/>
                <w:w w:val="92"/>
              </w:rPr>
              <w:t>servicing</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0"/>
        </w:trPr>
        <w:tc>
          <w:tcPr>
            <w:tcW w:w="4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6"/>
              </w:rPr>
              <w:t>revenue</w:t>
            </w:r>
          </w:p>
        </w:tc>
        <w:tc>
          <w:tcPr>
            <w:tcW w:w="1320" w:type="dxa"/>
            <w:vAlign w:val="bottom"/>
            <w:gridSpan w:val="2"/>
          </w:tcPr>
          <w:p>
            <w:pPr>
              <w:ind w:left="220"/>
              <w:spacing w:after="0"/>
              <w:rPr>
                <w:sz w:val="20"/>
                <w:szCs w:val="20"/>
                <w:color w:val="auto"/>
              </w:rPr>
            </w:pPr>
            <w:r>
              <w:rPr>
                <w:rFonts w:ascii="Arial" w:cs="Arial" w:eastAsia="Arial" w:hAnsi="Arial"/>
                <w:sz w:val="18"/>
                <w:szCs w:val="18"/>
                <w:color w:val="auto"/>
                <w:w w:val="90"/>
              </w:rPr>
              <w:t>Cost to service</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51 to $329</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82</w:t>
            </w:r>
          </w:p>
        </w:tc>
      </w:tr>
      <w:tr>
        <w:trPr>
          <w:trHeight w:val="202"/>
        </w:trPr>
        <w:tc>
          <w:tcPr>
            <w:tcW w:w="4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ind w:left="220"/>
              <w:spacing w:after="0" w:line="201" w:lineRule="exact"/>
              <w:rPr>
                <w:sz w:val="20"/>
                <w:szCs w:val="20"/>
                <w:color w:val="auto"/>
              </w:rPr>
            </w:pPr>
            <w:r>
              <w:rPr>
                <w:rFonts w:ascii="Arial" w:cs="Arial" w:eastAsia="Arial" w:hAnsi="Arial"/>
                <w:sz w:val="18"/>
                <w:szCs w:val="18"/>
                <w:color w:val="auto"/>
              </w:rPr>
              <w:t>Ancillary</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44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income</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 to 35</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w:t>
            </w:r>
          </w:p>
        </w:tc>
      </w:tr>
      <w:tr>
        <w:trPr>
          <w:trHeight w:val="216"/>
        </w:trPr>
        <w:tc>
          <w:tcPr>
            <w:tcW w:w="4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20" w:type="dxa"/>
            <w:vAlign w:val="bottom"/>
            <w:gridSpan w:val="2"/>
          </w:tcPr>
          <w:p>
            <w:pPr>
              <w:ind w:left="220"/>
              <w:spacing w:after="0"/>
              <w:rPr>
                <w:sz w:val="20"/>
                <w:szCs w:val="20"/>
                <w:color w:val="auto"/>
              </w:rPr>
            </w:pPr>
            <w:r>
              <w:rPr>
                <w:rFonts w:ascii="Arial" w:cs="Arial" w:eastAsia="Arial" w:hAnsi="Arial"/>
                <w:sz w:val="18"/>
                <w:szCs w:val="18"/>
                <w:color w:val="auto"/>
              </w:rPr>
              <w:t>Float rate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0.97%</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0.97%</w:t>
            </w:r>
          </w:p>
        </w:tc>
      </w:tr>
      <w:tr>
        <w:trPr>
          <w:trHeight w:val="202"/>
        </w:trPr>
        <w:tc>
          <w:tcPr>
            <w:tcW w:w="4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ind w:left="220"/>
              <w:spacing w:after="0" w:line="201" w:lineRule="exact"/>
              <w:rPr>
                <w:sz w:val="20"/>
                <w:szCs w:val="20"/>
                <w:color w:val="auto"/>
              </w:rPr>
            </w:pPr>
            <w:r>
              <w:rPr>
                <w:rFonts w:ascii="Arial" w:cs="Arial" w:eastAsia="Arial" w:hAnsi="Arial"/>
                <w:sz w:val="18"/>
                <w:szCs w:val="18"/>
                <w:color w:val="auto"/>
              </w:rPr>
              <w:t>Prepayment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44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rate</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0"/>
              </w:rPr>
              <w:t>7.04% to 45.79%</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15.63%</w:t>
            </w: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December 31, 2020</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2"/>
        </w:trPr>
        <w:tc>
          <w:tcPr>
            <w:tcW w:w="4620" w:type="dxa"/>
            <w:vAlign w:val="bottom"/>
            <w:gridSpan w:val="2"/>
            <w:shd w:val="clear" w:color="auto" w:fill="CCEEFF"/>
          </w:tcPr>
          <w:p>
            <w:pPr>
              <w:jc w:val="right"/>
              <w:ind w:right="1330"/>
              <w:spacing w:after="0" w:line="201" w:lineRule="exact"/>
              <w:rPr>
                <w:sz w:val="20"/>
                <w:szCs w:val="20"/>
                <w:color w:val="auto"/>
              </w:rPr>
            </w:pPr>
            <w:r>
              <w:rPr>
                <w:rFonts w:ascii="Arial" w:cs="Arial" w:eastAsia="Arial" w:hAnsi="Arial"/>
                <w:sz w:val="18"/>
                <w:szCs w:val="18"/>
                <w:color w:val="auto"/>
                <w:w w:val="95"/>
              </w:rPr>
              <w:t>Capitalized mortgage loan servicing rights</w:t>
            </w: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7"/>
              </w:rPr>
              <w:t>Present value</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46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16,904</w:t>
            </w: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of net</w:t>
            </w:r>
          </w:p>
        </w:tc>
        <w:tc>
          <w:tcPr>
            <w:tcW w:w="1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Discount rate</w:t>
            </w:r>
          </w:p>
        </w:tc>
        <w:tc>
          <w:tcPr>
            <w:tcW w:w="220" w:type="dxa"/>
            <w:vAlign w:val="bottom"/>
            <w:shd w:val="clear" w:color="auto" w:fill="CCEEFF"/>
          </w:tcPr>
          <w:p>
            <w:pPr>
              <w:spacing w:after="0"/>
              <w:rPr>
                <w:sz w:val="20"/>
                <w:szCs w:val="20"/>
                <w:color w:val="auto"/>
              </w:rPr>
            </w:pPr>
          </w:p>
        </w:tc>
        <w:tc>
          <w:tcPr>
            <w:tcW w:w="15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91"/>
              </w:rPr>
              <w:t>10.00% to 13.00%</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10.09%</w:t>
            </w:r>
          </w:p>
        </w:tc>
      </w:tr>
      <w:tr>
        <w:trPr>
          <w:trHeight w:val="202"/>
        </w:trPr>
        <w:tc>
          <w:tcPr>
            <w:tcW w:w="4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center"/>
              <w:spacing w:after="0" w:line="201" w:lineRule="exact"/>
              <w:rPr>
                <w:sz w:val="20"/>
                <w:szCs w:val="20"/>
                <w:color w:val="auto"/>
              </w:rPr>
            </w:pPr>
            <w:r>
              <w:rPr>
                <w:rFonts w:ascii="Arial" w:cs="Arial" w:eastAsia="Arial" w:hAnsi="Arial"/>
                <w:sz w:val="18"/>
                <w:szCs w:val="18"/>
                <w:color w:val="auto"/>
                <w:w w:val="92"/>
              </w:rPr>
              <w:t>servicing</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0"/>
        </w:trPr>
        <w:tc>
          <w:tcPr>
            <w:tcW w:w="4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6"/>
              </w:rPr>
              <w:t>revenue</w:t>
            </w:r>
          </w:p>
        </w:tc>
        <w:tc>
          <w:tcPr>
            <w:tcW w:w="1320" w:type="dxa"/>
            <w:vAlign w:val="bottom"/>
            <w:gridSpan w:val="2"/>
          </w:tcPr>
          <w:p>
            <w:pPr>
              <w:ind w:left="220"/>
              <w:spacing w:after="0"/>
              <w:rPr>
                <w:sz w:val="20"/>
                <w:szCs w:val="20"/>
                <w:color w:val="auto"/>
              </w:rPr>
            </w:pPr>
            <w:r>
              <w:rPr>
                <w:rFonts w:ascii="Arial" w:cs="Arial" w:eastAsia="Arial" w:hAnsi="Arial"/>
                <w:sz w:val="18"/>
                <w:szCs w:val="18"/>
                <w:color w:val="auto"/>
                <w:w w:val="90"/>
              </w:rPr>
              <w:t>Cost to service</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69 to $289</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79</w:t>
            </w:r>
          </w:p>
        </w:tc>
      </w:tr>
      <w:tr>
        <w:trPr>
          <w:trHeight w:val="202"/>
        </w:trPr>
        <w:tc>
          <w:tcPr>
            <w:tcW w:w="4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ind w:left="220"/>
              <w:spacing w:after="0" w:line="201" w:lineRule="exact"/>
              <w:rPr>
                <w:sz w:val="20"/>
                <w:szCs w:val="20"/>
                <w:color w:val="auto"/>
              </w:rPr>
            </w:pPr>
            <w:r>
              <w:rPr>
                <w:rFonts w:ascii="Arial" w:cs="Arial" w:eastAsia="Arial" w:hAnsi="Arial"/>
                <w:sz w:val="18"/>
                <w:szCs w:val="18"/>
                <w:color w:val="auto"/>
              </w:rPr>
              <w:t>Ancillary</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44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income</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 to 37</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w:t>
            </w:r>
          </w:p>
        </w:tc>
      </w:tr>
      <w:tr>
        <w:trPr>
          <w:trHeight w:val="216"/>
        </w:trPr>
        <w:tc>
          <w:tcPr>
            <w:tcW w:w="4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20" w:type="dxa"/>
            <w:vAlign w:val="bottom"/>
            <w:gridSpan w:val="2"/>
          </w:tcPr>
          <w:p>
            <w:pPr>
              <w:ind w:left="220"/>
              <w:spacing w:after="0"/>
              <w:rPr>
                <w:sz w:val="20"/>
                <w:szCs w:val="20"/>
                <w:color w:val="auto"/>
              </w:rPr>
            </w:pPr>
            <w:r>
              <w:rPr>
                <w:rFonts w:ascii="Arial" w:cs="Arial" w:eastAsia="Arial" w:hAnsi="Arial"/>
                <w:sz w:val="18"/>
                <w:szCs w:val="18"/>
                <w:color w:val="auto"/>
              </w:rPr>
              <w:t>Float rate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0.43%</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0.43%</w:t>
            </w:r>
          </w:p>
        </w:tc>
      </w:tr>
      <w:tr>
        <w:trPr>
          <w:trHeight w:val="202"/>
        </w:trPr>
        <w:tc>
          <w:tcPr>
            <w:tcW w:w="4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ind w:left="220"/>
              <w:spacing w:after="0" w:line="201" w:lineRule="exact"/>
              <w:rPr>
                <w:sz w:val="20"/>
                <w:szCs w:val="20"/>
                <w:color w:val="auto"/>
              </w:rPr>
            </w:pPr>
            <w:r>
              <w:rPr>
                <w:rFonts w:ascii="Arial" w:cs="Arial" w:eastAsia="Arial" w:hAnsi="Arial"/>
                <w:sz w:val="18"/>
                <w:szCs w:val="18"/>
                <w:color w:val="auto"/>
              </w:rPr>
              <w:t>Prepayment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44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rate</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0"/>
              </w:rPr>
              <w:t>7.92% to 64.70%</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20.85%</w:t>
            </w:r>
          </w:p>
        </w:tc>
      </w:tr>
      <w:tr>
        <w:trPr>
          <w:trHeight w:val="648"/>
        </w:trPr>
        <w:tc>
          <w:tcPr>
            <w:tcW w:w="4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89"/>
              </w:rPr>
              <w:t>54</w:t>
            </w: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61"/>
        </w:trPr>
        <w:tc>
          <w:tcPr>
            <w:tcW w:w="44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r>
    </w:tbl>
    <w:p>
      <w:pPr>
        <w:sectPr>
          <w:pgSz w:w="11900" w:h="16838" w:orient="portrait"/>
          <w:cols w:equalWidth="0" w:num="1">
            <w:col w:w="11240"/>
          </w:cols>
          <w:pgMar w:left="320" w:top="122" w:right="339" w:bottom="1440" w:gutter="0" w:footer="0" w:header="0"/>
        </w:sectPr>
      </w:pPr>
    </w:p>
    <w:bookmarkStart w:id="55" w:name="page56"/>
    <w:bookmarkEnd w:id="5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Quantitative information about Level 3 fair value measurements measured on a non-recurring basis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center"/>
              <w:ind w:right="460"/>
              <w:spacing w:after="0"/>
              <w:rPr>
                <w:sz w:val="20"/>
                <w:szCs w:val="20"/>
                <w:color w:val="auto"/>
              </w:rPr>
            </w:pPr>
            <w:r>
              <w:rPr>
                <w:rFonts w:ascii="Arial" w:cs="Arial" w:eastAsia="Arial" w:hAnsi="Arial"/>
                <w:sz w:val="18"/>
                <w:szCs w:val="18"/>
                <w:color w:val="auto"/>
                <w:w w:val="88"/>
              </w:rPr>
              <w:t>Asset</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3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center"/>
              <w:ind w:right="440"/>
              <w:spacing w:after="0"/>
              <w:rPr>
                <w:sz w:val="20"/>
                <w:szCs w:val="20"/>
                <w:color w:val="auto"/>
              </w:rPr>
            </w:pPr>
            <w:r>
              <w:rPr>
                <w:rFonts w:ascii="Arial" w:cs="Arial" w:eastAsia="Arial" w:hAnsi="Arial"/>
                <w:sz w:val="18"/>
                <w:szCs w:val="18"/>
                <w:color w:val="auto"/>
                <w:w w:val="96"/>
              </w:rPr>
              <w:t>Fair</w:t>
            </w:r>
          </w:p>
        </w:tc>
        <w:tc>
          <w:tcPr>
            <w:tcW w:w="1100" w:type="dxa"/>
            <w:vAlign w:val="bottom"/>
          </w:tcPr>
          <w:p>
            <w:pPr>
              <w:ind w:left="200"/>
              <w:spacing w:after="0"/>
              <w:rPr>
                <w:sz w:val="20"/>
                <w:szCs w:val="20"/>
                <w:color w:val="auto"/>
              </w:rPr>
            </w:pPr>
            <w:r>
              <w:rPr>
                <w:rFonts w:ascii="Arial" w:cs="Arial" w:eastAsia="Arial" w:hAnsi="Arial"/>
                <w:sz w:val="18"/>
                <w:szCs w:val="18"/>
                <w:color w:val="auto"/>
              </w:rPr>
              <w:t>Valuation</w:t>
            </w:r>
          </w:p>
        </w:tc>
        <w:tc>
          <w:tcPr>
            <w:tcW w:w="220" w:type="dxa"/>
            <w:vAlign w:val="bottom"/>
          </w:tcPr>
          <w:p>
            <w:pPr>
              <w:spacing w:after="0"/>
              <w:rPr>
                <w:sz w:val="18"/>
                <w:szCs w:val="18"/>
                <w:color w:val="auto"/>
              </w:rPr>
            </w:pPr>
          </w:p>
        </w:tc>
        <w:tc>
          <w:tcPr>
            <w:tcW w:w="1100" w:type="dxa"/>
            <w:vAlign w:val="bottom"/>
          </w:tcPr>
          <w:p>
            <w:pPr>
              <w:ind w:left="60"/>
              <w:spacing w:after="0"/>
              <w:rPr>
                <w:sz w:val="20"/>
                <w:szCs w:val="20"/>
                <w:color w:val="auto"/>
              </w:rPr>
            </w:pPr>
            <w:r>
              <w:rPr>
                <w:rFonts w:ascii="Arial" w:cs="Arial" w:eastAsia="Arial" w:hAnsi="Arial"/>
                <w:sz w:val="18"/>
                <w:szCs w:val="18"/>
                <w:color w:val="auto"/>
                <w:w w:val="91"/>
              </w:rPr>
              <w:t>Unobservable</w:t>
            </w:r>
          </w:p>
        </w:tc>
        <w:tc>
          <w:tcPr>
            <w:tcW w:w="1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420"/>
              <w:spacing w:after="0"/>
              <w:rPr>
                <w:sz w:val="20"/>
                <w:szCs w:val="20"/>
                <w:color w:val="auto"/>
              </w:rPr>
            </w:pPr>
            <w:r>
              <w:rPr>
                <w:rFonts w:ascii="Arial" w:cs="Arial" w:eastAsia="Arial" w:hAnsi="Arial"/>
                <w:sz w:val="18"/>
                <w:szCs w:val="18"/>
                <w:color w:val="auto"/>
              </w:rPr>
              <w:t>Weighted</w:t>
            </w:r>
          </w:p>
        </w:tc>
      </w:tr>
      <w:tr>
        <w:trPr>
          <w:trHeight w:val="237"/>
        </w:trPr>
        <w:tc>
          <w:tcPr>
            <w:tcW w:w="3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center"/>
              <w:ind w:right="440"/>
              <w:spacing w:after="0"/>
              <w:rPr>
                <w:sz w:val="20"/>
                <w:szCs w:val="20"/>
                <w:color w:val="auto"/>
              </w:rPr>
            </w:pPr>
            <w:r>
              <w:rPr>
                <w:rFonts w:ascii="Arial" w:cs="Arial" w:eastAsia="Arial" w:hAnsi="Arial"/>
                <w:sz w:val="18"/>
                <w:szCs w:val="18"/>
                <w:color w:val="auto"/>
                <w:w w:val="91"/>
              </w:rPr>
              <w:t>Value</w:t>
            </w:r>
          </w:p>
        </w:tc>
        <w:tc>
          <w:tcPr>
            <w:tcW w:w="1100" w:type="dxa"/>
            <w:vAlign w:val="bottom"/>
          </w:tcPr>
          <w:p>
            <w:pPr>
              <w:ind w:left="180"/>
              <w:spacing w:after="0"/>
              <w:rPr>
                <w:sz w:val="20"/>
                <w:szCs w:val="20"/>
                <w:color w:val="auto"/>
              </w:rPr>
            </w:pPr>
            <w:r>
              <w:rPr>
                <w:rFonts w:ascii="Arial" w:cs="Arial" w:eastAsia="Arial" w:hAnsi="Arial"/>
                <w:sz w:val="18"/>
                <w:szCs w:val="18"/>
                <w:color w:val="auto"/>
              </w:rPr>
              <w:t>Technique</w:t>
            </w:r>
          </w:p>
        </w:tc>
        <w:tc>
          <w:tcPr>
            <w:tcW w:w="220" w:type="dxa"/>
            <w:vAlign w:val="bottom"/>
          </w:tcPr>
          <w:p>
            <w:pPr>
              <w:spacing w:after="0"/>
              <w:rPr>
                <w:sz w:val="20"/>
                <w:szCs w:val="20"/>
                <w:color w:val="auto"/>
              </w:rPr>
            </w:pPr>
          </w:p>
        </w:tc>
        <w:tc>
          <w:tcPr>
            <w:tcW w:w="1100" w:type="dxa"/>
            <w:vAlign w:val="bottom"/>
          </w:tcPr>
          <w:p>
            <w:pPr>
              <w:ind w:left="320"/>
              <w:spacing w:after="0"/>
              <w:rPr>
                <w:sz w:val="20"/>
                <w:szCs w:val="20"/>
                <w:color w:val="auto"/>
              </w:rPr>
            </w:pPr>
            <w:r>
              <w:rPr>
                <w:rFonts w:ascii="Arial" w:cs="Arial" w:eastAsia="Arial" w:hAnsi="Arial"/>
                <w:sz w:val="18"/>
                <w:szCs w:val="18"/>
                <w:color w:val="auto"/>
              </w:rPr>
              <w:t>Inputs</w:t>
            </w:r>
          </w:p>
        </w:tc>
        <w:tc>
          <w:tcPr>
            <w:tcW w:w="120" w:type="dxa"/>
            <w:vAlign w:val="bottom"/>
          </w:tcPr>
          <w:p>
            <w:pPr>
              <w:spacing w:after="0"/>
              <w:rPr>
                <w:sz w:val="20"/>
                <w:szCs w:val="20"/>
                <w:color w:val="auto"/>
              </w:rPr>
            </w:pPr>
          </w:p>
        </w:tc>
        <w:tc>
          <w:tcPr>
            <w:tcW w:w="3020" w:type="dxa"/>
            <w:vAlign w:val="bottom"/>
            <w:gridSpan w:val="2"/>
          </w:tcPr>
          <w:p>
            <w:pPr>
              <w:jc w:val="right"/>
              <w:ind w:right="1340"/>
              <w:spacing w:after="0"/>
              <w:rPr>
                <w:sz w:val="20"/>
                <w:szCs w:val="20"/>
                <w:color w:val="auto"/>
              </w:rPr>
            </w:pPr>
            <w:r>
              <w:rPr>
                <w:rFonts w:ascii="Arial" w:cs="Arial" w:eastAsia="Arial" w:hAnsi="Arial"/>
                <w:sz w:val="18"/>
                <w:szCs w:val="18"/>
                <w:color w:val="auto"/>
              </w:rPr>
              <w:t>Range</w:t>
            </w:r>
          </w:p>
        </w:tc>
        <w:tc>
          <w:tcPr>
            <w:tcW w:w="1320" w:type="dxa"/>
            <w:vAlign w:val="bottom"/>
            <w:gridSpan w:val="2"/>
          </w:tcPr>
          <w:p>
            <w:pPr>
              <w:jc w:val="right"/>
              <w:ind w:right="480"/>
              <w:spacing w:after="0"/>
              <w:rPr>
                <w:sz w:val="20"/>
                <w:szCs w:val="20"/>
                <w:color w:val="auto"/>
              </w:rPr>
            </w:pPr>
            <w:r>
              <w:rPr>
                <w:rFonts w:ascii="Arial" w:cs="Arial" w:eastAsia="Arial" w:hAnsi="Arial"/>
                <w:sz w:val="18"/>
                <w:szCs w:val="18"/>
                <w:color w:val="auto"/>
              </w:rPr>
              <w:t>Average</w:t>
            </w:r>
          </w:p>
        </w:tc>
      </w:tr>
      <w:tr>
        <w:trPr>
          <w:trHeight w:val="202"/>
        </w:trPr>
        <w:tc>
          <w:tcPr>
            <w:tcW w:w="3040" w:type="dxa"/>
            <w:vAlign w:val="bottom"/>
          </w:tcPr>
          <w:p>
            <w:pPr>
              <w:spacing w:after="0"/>
              <w:rPr>
                <w:sz w:val="17"/>
                <w:szCs w:val="17"/>
                <w:color w:val="auto"/>
              </w:rPr>
            </w:pPr>
          </w:p>
        </w:tc>
        <w:tc>
          <w:tcPr>
            <w:tcW w:w="1100" w:type="dxa"/>
            <w:vAlign w:val="bottom"/>
            <w:tcBorders>
              <w:top w:val="single" w:sz="8" w:color="auto"/>
            </w:tcBorders>
            <w:gridSpan w:val="2"/>
          </w:tcPr>
          <w:p>
            <w:pPr>
              <w:jc w:val="center"/>
              <w:spacing w:after="0" w:line="201" w:lineRule="exact"/>
              <w:rPr>
                <w:sz w:val="20"/>
                <w:szCs w:val="20"/>
                <w:color w:val="auto"/>
              </w:rPr>
            </w:pPr>
            <w:r>
              <w:rPr>
                <w:rFonts w:ascii="Arial" w:cs="Arial" w:eastAsia="Arial" w:hAnsi="Arial"/>
                <w:sz w:val="18"/>
                <w:szCs w:val="18"/>
                <w:color w:val="auto"/>
                <w:w w:val="90"/>
              </w:rPr>
              <w:t>(In thousands)</w:t>
            </w:r>
          </w:p>
        </w:tc>
        <w:tc>
          <w:tcPr>
            <w:tcW w:w="22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June 30, 2021</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0"/>
        </w:trPr>
        <w:tc>
          <w:tcPr>
            <w:tcW w:w="3260" w:type="dxa"/>
            <w:vAlign w:val="bottom"/>
            <w:gridSpan w:val="2"/>
          </w:tcPr>
          <w:p>
            <w:pPr>
              <w:ind w:left="180"/>
              <w:spacing w:after="0"/>
              <w:rPr>
                <w:sz w:val="20"/>
                <w:szCs w:val="20"/>
                <w:color w:val="auto"/>
              </w:rPr>
            </w:pPr>
            <w:r>
              <w:rPr>
                <w:rFonts w:ascii="Arial" w:cs="Arial" w:eastAsia="Arial" w:hAnsi="Arial"/>
                <w:sz w:val="18"/>
                <w:szCs w:val="18"/>
                <w:color w:val="auto"/>
              </w:rPr>
              <w:t>Collateral dependent loans</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02"/>
        </w:trPr>
        <w:tc>
          <w:tcPr>
            <w:tcW w:w="3260" w:type="dxa"/>
            <w:vAlign w:val="bottom"/>
            <w:gridSpan w:val="2"/>
            <w:shd w:val="clear" w:color="auto" w:fill="CCEEFF"/>
          </w:tcPr>
          <w:p>
            <w:pPr>
              <w:ind w:left="340"/>
              <w:spacing w:after="0" w:line="201" w:lineRule="exact"/>
              <w:rPr>
                <w:sz w:val="20"/>
                <w:szCs w:val="20"/>
                <w:color w:val="auto"/>
              </w:rPr>
            </w:pPr>
            <w:r>
              <w:rPr>
                <w:rFonts w:ascii="Arial" w:cs="Arial" w:eastAsia="Arial" w:hAnsi="Arial"/>
                <w:sz w:val="18"/>
                <w:szCs w:val="18"/>
                <w:color w:val="auto"/>
              </w:rPr>
              <w:t>Commercial</w:t>
            </w: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Adjustment for</w:t>
            </w:r>
          </w:p>
        </w:tc>
        <w:tc>
          <w:tcPr>
            <w:tcW w:w="120" w:type="dxa"/>
            <w:vAlign w:val="bottom"/>
            <w:shd w:val="clear" w:color="auto" w:fill="CCEEFF"/>
          </w:tcPr>
          <w:p>
            <w:pPr>
              <w:spacing w:after="0"/>
              <w:rPr>
                <w:sz w:val="17"/>
                <w:szCs w:val="17"/>
                <w:color w:val="auto"/>
              </w:rPr>
            </w:pPr>
          </w:p>
        </w:tc>
        <w:tc>
          <w:tcPr>
            <w:tcW w:w="2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16"/>
        </w:trPr>
        <w:tc>
          <w:tcPr>
            <w:tcW w:w="3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differences</w:t>
            </w:r>
          </w:p>
        </w:tc>
        <w:tc>
          <w:tcPr>
            <w:tcW w:w="12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3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between</w:t>
            </w:r>
          </w:p>
        </w:tc>
        <w:tc>
          <w:tcPr>
            <w:tcW w:w="12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3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comparison</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comparable</w:t>
            </w:r>
          </w:p>
        </w:tc>
        <w:tc>
          <w:tcPr>
            <w:tcW w:w="12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30"/>
        </w:trPr>
        <w:tc>
          <w:tcPr>
            <w:tcW w:w="3260" w:type="dxa"/>
            <w:vAlign w:val="bottom"/>
            <w:gridSpan w:val="2"/>
            <w:shd w:val="clear" w:color="auto" w:fill="CCEEFF"/>
          </w:tcPr>
          <w:p>
            <w:pPr>
              <w:ind w:left="30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567</w:t>
            </w:r>
          </w:p>
        </w:tc>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approach</w:t>
            </w: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120" w:type="dxa"/>
            <w:vAlign w:val="bottom"/>
            <w:shd w:val="clear" w:color="auto" w:fill="CCEEFF"/>
          </w:tcPr>
          <w:p>
            <w:pPr>
              <w:spacing w:after="0"/>
              <w:rPr>
                <w:sz w:val="20"/>
                <w:szCs w:val="20"/>
                <w:color w:val="auto"/>
              </w:rPr>
            </w:pPr>
          </w:p>
        </w:tc>
        <w:tc>
          <w:tcPr>
            <w:tcW w:w="3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(25.0)% to 12.0%</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02"/>
        </w:trPr>
        <w:tc>
          <w:tcPr>
            <w:tcW w:w="3260" w:type="dxa"/>
            <w:vAlign w:val="bottom"/>
            <w:gridSpan w:val="2"/>
          </w:tcPr>
          <w:p>
            <w:pPr>
              <w:ind w:left="340"/>
              <w:spacing w:after="0" w:line="201" w:lineRule="exact"/>
              <w:rPr>
                <w:sz w:val="20"/>
                <w:szCs w:val="20"/>
                <w:color w:val="auto"/>
              </w:rPr>
            </w:pPr>
            <w:r>
              <w:rPr>
                <w:rFonts w:ascii="Arial" w:cs="Arial" w:eastAsia="Arial" w:hAnsi="Arial"/>
                <w:sz w:val="18"/>
                <w:szCs w:val="18"/>
                <w:color w:val="auto"/>
              </w:rPr>
              <w:t>Mortgage and Installment(1)</w:t>
            </w: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line="201" w:lineRule="exact"/>
              <w:rPr>
                <w:sz w:val="20"/>
                <w:szCs w:val="20"/>
                <w:color w:val="auto"/>
              </w:rPr>
            </w:pPr>
            <w:r>
              <w:rPr>
                <w:rFonts w:ascii="Arial" w:cs="Arial" w:eastAsia="Arial" w:hAnsi="Arial"/>
                <w:sz w:val="18"/>
                <w:szCs w:val="18"/>
                <w:color w:val="auto"/>
                <w:w w:val="93"/>
              </w:rPr>
              <w:t>Adjustment for</w:t>
            </w:r>
          </w:p>
        </w:tc>
        <w:tc>
          <w:tcPr>
            <w:tcW w:w="12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16"/>
        </w:trPr>
        <w:tc>
          <w:tcPr>
            <w:tcW w:w="3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20"/>
                <w:szCs w:val="20"/>
                <w:color w:val="auto"/>
              </w:rPr>
            </w:pPr>
            <w:r>
              <w:rPr>
                <w:rFonts w:ascii="Arial" w:cs="Arial" w:eastAsia="Arial" w:hAnsi="Arial"/>
                <w:sz w:val="18"/>
                <w:szCs w:val="18"/>
                <w:color w:val="auto"/>
              </w:rPr>
              <w:t>differences</w:t>
            </w:r>
          </w:p>
        </w:tc>
        <w:tc>
          <w:tcPr>
            <w:tcW w:w="1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3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20"/>
                <w:szCs w:val="20"/>
                <w:color w:val="auto"/>
              </w:rPr>
            </w:pPr>
            <w:r>
              <w:rPr>
                <w:rFonts w:ascii="Arial" w:cs="Arial" w:eastAsia="Arial" w:hAnsi="Arial"/>
                <w:sz w:val="18"/>
                <w:szCs w:val="18"/>
                <w:color w:val="auto"/>
              </w:rPr>
              <w:t>Sales</w:t>
            </w:r>
          </w:p>
        </w:tc>
        <w:tc>
          <w:tcPr>
            <w:tcW w:w="220" w:type="dxa"/>
            <w:vAlign w:val="bottom"/>
          </w:tcPr>
          <w:p>
            <w:pPr>
              <w:spacing w:after="0"/>
              <w:rPr>
                <w:sz w:val="18"/>
                <w:szCs w:val="18"/>
                <w:color w:val="auto"/>
              </w:rPr>
            </w:pPr>
          </w:p>
        </w:tc>
        <w:tc>
          <w:tcPr>
            <w:tcW w:w="1100" w:type="dxa"/>
            <w:vAlign w:val="bottom"/>
          </w:tcPr>
          <w:p>
            <w:pPr>
              <w:spacing w:after="0"/>
              <w:rPr>
                <w:sz w:val="20"/>
                <w:szCs w:val="20"/>
                <w:color w:val="auto"/>
              </w:rPr>
            </w:pPr>
            <w:r>
              <w:rPr>
                <w:rFonts w:ascii="Arial" w:cs="Arial" w:eastAsia="Arial" w:hAnsi="Arial"/>
                <w:sz w:val="18"/>
                <w:szCs w:val="18"/>
                <w:color w:val="auto"/>
              </w:rPr>
              <w:t>between</w:t>
            </w:r>
          </w:p>
        </w:tc>
        <w:tc>
          <w:tcPr>
            <w:tcW w:w="1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3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20"/>
                <w:szCs w:val="20"/>
                <w:color w:val="auto"/>
              </w:rPr>
            </w:pPr>
            <w:r>
              <w:rPr>
                <w:rFonts w:ascii="Arial" w:cs="Arial" w:eastAsia="Arial" w:hAnsi="Arial"/>
                <w:sz w:val="18"/>
                <w:szCs w:val="18"/>
                <w:color w:val="auto"/>
              </w:rPr>
              <w:t>comparison</w:t>
            </w:r>
          </w:p>
        </w:tc>
        <w:tc>
          <w:tcPr>
            <w:tcW w:w="220" w:type="dxa"/>
            <w:vAlign w:val="bottom"/>
          </w:tcPr>
          <w:p>
            <w:pPr>
              <w:spacing w:after="0"/>
              <w:rPr>
                <w:sz w:val="18"/>
                <w:szCs w:val="18"/>
                <w:color w:val="auto"/>
              </w:rPr>
            </w:pPr>
          </w:p>
        </w:tc>
        <w:tc>
          <w:tcPr>
            <w:tcW w:w="1100" w:type="dxa"/>
            <w:vAlign w:val="bottom"/>
          </w:tcPr>
          <w:p>
            <w:pPr>
              <w:spacing w:after="0"/>
              <w:rPr>
                <w:sz w:val="20"/>
                <w:szCs w:val="20"/>
                <w:color w:val="auto"/>
              </w:rPr>
            </w:pPr>
            <w:r>
              <w:rPr>
                <w:rFonts w:ascii="Arial" w:cs="Arial" w:eastAsia="Arial" w:hAnsi="Arial"/>
                <w:sz w:val="18"/>
                <w:szCs w:val="18"/>
                <w:color w:val="auto"/>
              </w:rPr>
              <w:t>comparable</w:t>
            </w:r>
          </w:p>
        </w:tc>
        <w:tc>
          <w:tcPr>
            <w:tcW w:w="1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0"/>
        </w:trPr>
        <w:tc>
          <w:tcPr>
            <w:tcW w:w="3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1,240</w:t>
            </w:r>
          </w:p>
        </w:tc>
        <w:tc>
          <w:tcPr>
            <w:tcW w:w="1100" w:type="dxa"/>
            <w:vAlign w:val="bottom"/>
          </w:tcPr>
          <w:p>
            <w:pPr>
              <w:spacing w:after="0"/>
              <w:rPr>
                <w:sz w:val="20"/>
                <w:szCs w:val="20"/>
                <w:color w:val="auto"/>
              </w:rPr>
            </w:pPr>
            <w:r>
              <w:rPr>
                <w:rFonts w:ascii="Arial" w:cs="Arial" w:eastAsia="Arial" w:hAnsi="Arial"/>
                <w:sz w:val="18"/>
                <w:szCs w:val="18"/>
                <w:color w:val="auto"/>
              </w:rPr>
              <w:t>approach</w:t>
            </w: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Arial" w:cs="Arial" w:eastAsia="Arial" w:hAnsi="Arial"/>
                <w:sz w:val="18"/>
                <w:szCs w:val="18"/>
                <w:color w:val="auto"/>
              </w:rPr>
              <w:t>sales</w:t>
            </w:r>
          </w:p>
        </w:tc>
        <w:tc>
          <w:tcPr>
            <w:tcW w:w="120" w:type="dxa"/>
            <w:vAlign w:val="bottom"/>
          </w:tcPr>
          <w:p>
            <w:pPr>
              <w:spacing w:after="0"/>
              <w:rPr>
                <w:sz w:val="20"/>
                <w:szCs w:val="20"/>
                <w:color w:val="auto"/>
              </w:rPr>
            </w:pPr>
          </w:p>
        </w:tc>
        <w:tc>
          <w:tcPr>
            <w:tcW w:w="3020" w:type="dxa"/>
            <w:vAlign w:val="bottom"/>
            <w:gridSpan w:val="2"/>
          </w:tcPr>
          <w:p>
            <w:pPr>
              <w:jc w:val="right"/>
              <w:ind w:right="120"/>
              <w:spacing w:after="0"/>
              <w:rPr>
                <w:sz w:val="20"/>
                <w:szCs w:val="20"/>
                <w:color w:val="auto"/>
              </w:rPr>
            </w:pPr>
            <w:r>
              <w:rPr>
                <w:rFonts w:ascii="Arial" w:cs="Arial" w:eastAsia="Arial" w:hAnsi="Arial"/>
                <w:sz w:val="18"/>
                <w:szCs w:val="18"/>
                <w:color w:val="auto"/>
              </w:rPr>
              <w:t>(73.3) to 104.6</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0.8</w:t>
            </w:r>
          </w:p>
        </w:tc>
      </w:tr>
      <w:tr>
        <w:trPr>
          <w:trHeight w:val="216"/>
        </w:trPr>
        <w:tc>
          <w:tcPr>
            <w:tcW w:w="3260" w:type="dxa"/>
            <w:vAlign w:val="bottom"/>
            <w:gridSpan w:val="2"/>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December 31, 2020</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32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Collateral dependent loans</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02"/>
        </w:trPr>
        <w:tc>
          <w:tcPr>
            <w:tcW w:w="3260" w:type="dxa"/>
            <w:vAlign w:val="bottom"/>
            <w:gridSpan w:val="2"/>
          </w:tcPr>
          <w:p>
            <w:pPr>
              <w:ind w:left="340"/>
              <w:spacing w:after="0" w:line="201" w:lineRule="exact"/>
              <w:rPr>
                <w:sz w:val="20"/>
                <w:szCs w:val="20"/>
                <w:color w:val="auto"/>
              </w:rPr>
            </w:pPr>
            <w:r>
              <w:rPr>
                <w:rFonts w:ascii="Arial" w:cs="Arial" w:eastAsia="Arial" w:hAnsi="Arial"/>
                <w:sz w:val="18"/>
                <w:szCs w:val="18"/>
                <w:color w:val="auto"/>
              </w:rPr>
              <w:t>Commercial</w:t>
            </w: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line="201" w:lineRule="exact"/>
              <w:rPr>
                <w:sz w:val="20"/>
                <w:szCs w:val="20"/>
                <w:color w:val="auto"/>
              </w:rPr>
            </w:pPr>
            <w:r>
              <w:rPr>
                <w:rFonts w:ascii="Arial" w:cs="Arial" w:eastAsia="Arial" w:hAnsi="Arial"/>
                <w:sz w:val="18"/>
                <w:szCs w:val="18"/>
                <w:color w:val="auto"/>
                <w:w w:val="93"/>
              </w:rPr>
              <w:t>Adjustment for</w:t>
            </w:r>
          </w:p>
        </w:tc>
        <w:tc>
          <w:tcPr>
            <w:tcW w:w="12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16"/>
        </w:trPr>
        <w:tc>
          <w:tcPr>
            <w:tcW w:w="3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20"/>
                <w:szCs w:val="20"/>
                <w:color w:val="auto"/>
              </w:rPr>
            </w:pPr>
            <w:r>
              <w:rPr>
                <w:rFonts w:ascii="Arial" w:cs="Arial" w:eastAsia="Arial" w:hAnsi="Arial"/>
                <w:sz w:val="18"/>
                <w:szCs w:val="18"/>
                <w:color w:val="auto"/>
              </w:rPr>
              <w:t>differences</w:t>
            </w:r>
          </w:p>
        </w:tc>
        <w:tc>
          <w:tcPr>
            <w:tcW w:w="1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3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20"/>
                <w:szCs w:val="20"/>
                <w:color w:val="auto"/>
              </w:rPr>
            </w:pPr>
            <w:r>
              <w:rPr>
                <w:rFonts w:ascii="Arial" w:cs="Arial" w:eastAsia="Arial" w:hAnsi="Arial"/>
                <w:sz w:val="18"/>
                <w:szCs w:val="18"/>
                <w:color w:val="auto"/>
              </w:rPr>
              <w:t>Sales</w:t>
            </w:r>
          </w:p>
        </w:tc>
        <w:tc>
          <w:tcPr>
            <w:tcW w:w="220" w:type="dxa"/>
            <w:vAlign w:val="bottom"/>
          </w:tcPr>
          <w:p>
            <w:pPr>
              <w:spacing w:after="0"/>
              <w:rPr>
                <w:sz w:val="18"/>
                <w:szCs w:val="18"/>
                <w:color w:val="auto"/>
              </w:rPr>
            </w:pPr>
          </w:p>
        </w:tc>
        <w:tc>
          <w:tcPr>
            <w:tcW w:w="1100" w:type="dxa"/>
            <w:vAlign w:val="bottom"/>
          </w:tcPr>
          <w:p>
            <w:pPr>
              <w:spacing w:after="0"/>
              <w:rPr>
                <w:sz w:val="20"/>
                <w:szCs w:val="20"/>
                <w:color w:val="auto"/>
              </w:rPr>
            </w:pPr>
            <w:r>
              <w:rPr>
                <w:rFonts w:ascii="Arial" w:cs="Arial" w:eastAsia="Arial" w:hAnsi="Arial"/>
                <w:sz w:val="18"/>
                <w:szCs w:val="18"/>
                <w:color w:val="auto"/>
              </w:rPr>
              <w:t>between</w:t>
            </w:r>
          </w:p>
        </w:tc>
        <w:tc>
          <w:tcPr>
            <w:tcW w:w="1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3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20"/>
                <w:szCs w:val="20"/>
                <w:color w:val="auto"/>
              </w:rPr>
            </w:pPr>
            <w:r>
              <w:rPr>
                <w:rFonts w:ascii="Arial" w:cs="Arial" w:eastAsia="Arial" w:hAnsi="Arial"/>
                <w:sz w:val="18"/>
                <w:szCs w:val="18"/>
                <w:color w:val="auto"/>
              </w:rPr>
              <w:t>comparison</w:t>
            </w:r>
          </w:p>
        </w:tc>
        <w:tc>
          <w:tcPr>
            <w:tcW w:w="220" w:type="dxa"/>
            <w:vAlign w:val="bottom"/>
          </w:tcPr>
          <w:p>
            <w:pPr>
              <w:spacing w:after="0"/>
              <w:rPr>
                <w:sz w:val="18"/>
                <w:szCs w:val="18"/>
                <w:color w:val="auto"/>
              </w:rPr>
            </w:pPr>
          </w:p>
        </w:tc>
        <w:tc>
          <w:tcPr>
            <w:tcW w:w="1100" w:type="dxa"/>
            <w:vAlign w:val="bottom"/>
          </w:tcPr>
          <w:p>
            <w:pPr>
              <w:spacing w:after="0"/>
              <w:rPr>
                <w:sz w:val="20"/>
                <w:szCs w:val="20"/>
                <w:color w:val="auto"/>
              </w:rPr>
            </w:pPr>
            <w:r>
              <w:rPr>
                <w:rFonts w:ascii="Arial" w:cs="Arial" w:eastAsia="Arial" w:hAnsi="Arial"/>
                <w:sz w:val="18"/>
                <w:szCs w:val="18"/>
                <w:color w:val="auto"/>
              </w:rPr>
              <w:t>comparable</w:t>
            </w:r>
          </w:p>
        </w:tc>
        <w:tc>
          <w:tcPr>
            <w:tcW w:w="1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0"/>
        </w:trPr>
        <w:tc>
          <w:tcPr>
            <w:tcW w:w="3260" w:type="dxa"/>
            <w:vAlign w:val="bottom"/>
            <w:gridSpan w:val="2"/>
          </w:tcPr>
          <w:p>
            <w:pPr>
              <w:ind w:left="30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8,054</w:t>
            </w:r>
          </w:p>
        </w:tc>
        <w:tc>
          <w:tcPr>
            <w:tcW w:w="1100" w:type="dxa"/>
            <w:vAlign w:val="bottom"/>
          </w:tcPr>
          <w:p>
            <w:pPr>
              <w:spacing w:after="0"/>
              <w:rPr>
                <w:sz w:val="20"/>
                <w:szCs w:val="20"/>
                <w:color w:val="auto"/>
              </w:rPr>
            </w:pPr>
            <w:r>
              <w:rPr>
                <w:rFonts w:ascii="Arial" w:cs="Arial" w:eastAsia="Arial" w:hAnsi="Arial"/>
                <w:sz w:val="18"/>
                <w:szCs w:val="18"/>
                <w:color w:val="auto"/>
              </w:rPr>
              <w:t>approach</w:t>
            </w: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Arial" w:cs="Arial" w:eastAsia="Arial" w:hAnsi="Arial"/>
                <w:sz w:val="18"/>
                <w:szCs w:val="18"/>
                <w:color w:val="auto"/>
              </w:rPr>
              <w:t>sales</w:t>
            </w:r>
          </w:p>
        </w:tc>
        <w:tc>
          <w:tcPr>
            <w:tcW w:w="120" w:type="dxa"/>
            <w:vAlign w:val="bottom"/>
          </w:tcPr>
          <w:p>
            <w:pPr>
              <w:spacing w:after="0"/>
              <w:rPr>
                <w:sz w:val="20"/>
                <w:szCs w:val="20"/>
                <w:color w:val="auto"/>
              </w:rPr>
            </w:pPr>
          </w:p>
        </w:tc>
        <w:tc>
          <w:tcPr>
            <w:tcW w:w="3020" w:type="dxa"/>
            <w:vAlign w:val="bottom"/>
            <w:gridSpan w:val="2"/>
          </w:tcPr>
          <w:p>
            <w:pPr>
              <w:jc w:val="right"/>
              <w:ind w:right="120"/>
              <w:spacing w:after="0"/>
              <w:rPr>
                <w:sz w:val="20"/>
                <w:szCs w:val="20"/>
                <w:color w:val="auto"/>
              </w:rPr>
            </w:pPr>
            <w:r>
              <w:rPr>
                <w:rFonts w:ascii="Arial" w:cs="Arial" w:eastAsia="Arial" w:hAnsi="Arial"/>
                <w:sz w:val="18"/>
                <w:szCs w:val="18"/>
                <w:color w:val="auto"/>
              </w:rPr>
              <w:t>(40.0)% to 75.0%</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3.8%</w:t>
            </w:r>
          </w:p>
        </w:tc>
      </w:tr>
      <w:tr>
        <w:trPr>
          <w:trHeight w:val="202"/>
        </w:trPr>
        <w:tc>
          <w:tcPr>
            <w:tcW w:w="3260" w:type="dxa"/>
            <w:vAlign w:val="bottom"/>
            <w:gridSpan w:val="2"/>
            <w:shd w:val="clear" w:color="auto" w:fill="CCEEFF"/>
          </w:tcPr>
          <w:p>
            <w:pPr>
              <w:ind w:left="340"/>
              <w:spacing w:after="0" w:line="201" w:lineRule="exact"/>
              <w:rPr>
                <w:sz w:val="20"/>
                <w:szCs w:val="20"/>
                <w:color w:val="auto"/>
              </w:rPr>
            </w:pPr>
            <w:r>
              <w:rPr>
                <w:rFonts w:ascii="Arial" w:cs="Arial" w:eastAsia="Arial" w:hAnsi="Arial"/>
                <w:sz w:val="18"/>
                <w:szCs w:val="18"/>
                <w:color w:val="auto"/>
              </w:rPr>
              <w:t>Mortgage and Installment(1)</w:t>
            </w: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Adjustment for</w:t>
            </w:r>
          </w:p>
        </w:tc>
        <w:tc>
          <w:tcPr>
            <w:tcW w:w="120" w:type="dxa"/>
            <w:vAlign w:val="bottom"/>
            <w:shd w:val="clear" w:color="auto" w:fill="CCEEFF"/>
          </w:tcPr>
          <w:p>
            <w:pPr>
              <w:spacing w:after="0"/>
              <w:rPr>
                <w:sz w:val="17"/>
                <w:szCs w:val="17"/>
                <w:color w:val="auto"/>
              </w:rPr>
            </w:pPr>
          </w:p>
        </w:tc>
        <w:tc>
          <w:tcPr>
            <w:tcW w:w="2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16"/>
        </w:trPr>
        <w:tc>
          <w:tcPr>
            <w:tcW w:w="3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differences</w:t>
            </w:r>
          </w:p>
        </w:tc>
        <w:tc>
          <w:tcPr>
            <w:tcW w:w="12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3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between</w:t>
            </w:r>
          </w:p>
        </w:tc>
        <w:tc>
          <w:tcPr>
            <w:tcW w:w="12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3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comparison</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comparable</w:t>
            </w:r>
          </w:p>
        </w:tc>
        <w:tc>
          <w:tcPr>
            <w:tcW w:w="12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30"/>
        </w:trPr>
        <w:tc>
          <w:tcPr>
            <w:tcW w:w="30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1,020</w:t>
            </w:r>
          </w:p>
        </w:tc>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approach</w:t>
            </w: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120" w:type="dxa"/>
            <w:vAlign w:val="bottom"/>
            <w:shd w:val="clear" w:color="auto" w:fill="CCEEFF"/>
          </w:tcPr>
          <w:p>
            <w:pPr>
              <w:spacing w:after="0"/>
              <w:rPr>
                <w:sz w:val="20"/>
                <w:szCs w:val="20"/>
                <w:color w:val="auto"/>
              </w:rPr>
            </w:pPr>
          </w:p>
        </w:tc>
        <w:tc>
          <w:tcPr>
            <w:tcW w:w="3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(73.3) to 104.6</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w:t>
            </w:r>
          </w:p>
        </w:tc>
      </w:tr>
      <w:tr>
        <w:trPr>
          <w:trHeight w:val="216"/>
        </w:trPr>
        <w:tc>
          <w:tcPr>
            <w:tcW w:w="3260" w:type="dxa"/>
            <w:vAlign w:val="bottom"/>
            <w:gridSpan w:val="2"/>
          </w:tcPr>
          <w:p>
            <w:pPr>
              <w:ind w:left="180"/>
              <w:spacing w:after="0"/>
              <w:rPr>
                <w:sz w:val="20"/>
                <w:szCs w:val="20"/>
                <w:color w:val="auto"/>
              </w:rPr>
            </w:pPr>
            <w:r>
              <w:rPr>
                <w:rFonts w:ascii="Arial" w:cs="Arial" w:eastAsia="Arial" w:hAnsi="Arial"/>
                <w:sz w:val="18"/>
                <w:szCs w:val="18"/>
                <w:color w:val="auto"/>
              </w:rPr>
              <w:t>Other real estate</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02"/>
        </w:trPr>
        <w:tc>
          <w:tcPr>
            <w:tcW w:w="3260" w:type="dxa"/>
            <w:vAlign w:val="bottom"/>
            <w:gridSpan w:val="2"/>
            <w:shd w:val="clear" w:color="auto" w:fill="CCEEFF"/>
          </w:tcPr>
          <w:p>
            <w:pPr>
              <w:ind w:left="340"/>
              <w:spacing w:after="0" w:line="201" w:lineRule="exact"/>
              <w:rPr>
                <w:sz w:val="20"/>
                <w:szCs w:val="20"/>
                <w:color w:val="auto"/>
              </w:rPr>
            </w:pPr>
            <w:r>
              <w:rPr>
                <w:rFonts w:ascii="Arial" w:cs="Arial" w:eastAsia="Arial" w:hAnsi="Arial"/>
                <w:sz w:val="18"/>
                <w:szCs w:val="18"/>
                <w:color w:val="auto"/>
              </w:rPr>
              <w:t>Mortgage</w:t>
            </w: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Adjustment for</w:t>
            </w:r>
          </w:p>
        </w:tc>
        <w:tc>
          <w:tcPr>
            <w:tcW w:w="120" w:type="dxa"/>
            <w:vAlign w:val="bottom"/>
            <w:shd w:val="clear" w:color="auto" w:fill="CCEEFF"/>
          </w:tcPr>
          <w:p>
            <w:pPr>
              <w:spacing w:after="0"/>
              <w:rPr>
                <w:sz w:val="17"/>
                <w:szCs w:val="17"/>
                <w:color w:val="auto"/>
              </w:rPr>
            </w:pPr>
          </w:p>
        </w:tc>
        <w:tc>
          <w:tcPr>
            <w:tcW w:w="2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16"/>
        </w:trPr>
        <w:tc>
          <w:tcPr>
            <w:tcW w:w="3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differences</w:t>
            </w:r>
          </w:p>
        </w:tc>
        <w:tc>
          <w:tcPr>
            <w:tcW w:w="12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3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between</w:t>
            </w:r>
          </w:p>
        </w:tc>
        <w:tc>
          <w:tcPr>
            <w:tcW w:w="12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3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comparison</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comparable</w:t>
            </w:r>
          </w:p>
        </w:tc>
        <w:tc>
          <w:tcPr>
            <w:tcW w:w="12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30"/>
        </w:trPr>
        <w:tc>
          <w:tcPr>
            <w:tcW w:w="30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w:t>
            </w:r>
          </w:p>
        </w:tc>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approach</w:t>
            </w: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120" w:type="dxa"/>
            <w:vAlign w:val="bottom"/>
            <w:shd w:val="clear" w:color="auto" w:fill="CCEEFF"/>
          </w:tcPr>
          <w:p>
            <w:pPr>
              <w:spacing w:after="0"/>
              <w:rPr>
                <w:sz w:val="20"/>
                <w:szCs w:val="20"/>
                <w:color w:val="auto"/>
              </w:rPr>
            </w:pPr>
          </w:p>
        </w:tc>
        <w:tc>
          <w:tcPr>
            <w:tcW w:w="3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(13.1) to 2.4</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w:t>
            </w:r>
          </w:p>
        </w:tc>
      </w:tr>
    </w:tbl>
    <w:p>
      <w:pPr>
        <w:spacing w:after="0" w:line="229" w:lineRule="exact"/>
        <w:rPr>
          <w:sz w:val="20"/>
          <w:szCs w:val="20"/>
          <w:color w:val="auto"/>
        </w:rPr>
      </w:pPr>
    </w:p>
    <w:p>
      <w:pPr>
        <w:jc w:val="both"/>
        <w:ind w:left="340" w:hanging="332"/>
        <w:spacing w:after="0" w:line="263"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addition to the valuation techniques and unobservable inputs discussed above, at June 30, 2021 and December 31, 2020 certain collateral dependent installment loans totaling approximately $0.15 million and $0.16 million, respectively are secured by collateral other than real estate. For the majority of these loans, we apply internal discount rates to industry valuation guides.</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reflects the difference between the aggregate fair value and the aggregate remaining contractual principal balance outstanding for loans held for sale for which the fair value option has been elected for the periods presented.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ind w:left="20"/>
              <w:spacing w:after="0"/>
              <w:rPr>
                <w:sz w:val="20"/>
                <w:szCs w:val="20"/>
                <w:color w:val="auto"/>
              </w:rPr>
            </w:pPr>
            <w:r>
              <w:rPr>
                <w:rFonts w:ascii="Arial" w:cs="Arial" w:eastAsia="Arial" w:hAnsi="Arial"/>
                <w:sz w:val="18"/>
                <w:szCs w:val="18"/>
                <w:color w:val="auto"/>
              </w:rPr>
              <w:t>Aggregate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3"/>
          </w:tcPr>
          <w:p>
            <w:pPr>
              <w:jc w:val="center"/>
              <w:ind w:right="100"/>
              <w:spacing w:after="0"/>
              <w:rPr>
                <w:sz w:val="20"/>
                <w:szCs w:val="20"/>
                <w:color w:val="auto"/>
              </w:rPr>
            </w:pPr>
            <w:r>
              <w:rPr>
                <w:rFonts w:ascii="Arial" w:cs="Arial" w:eastAsia="Arial" w:hAnsi="Arial"/>
                <w:sz w:val="18"/>
                <w:szCs w:val="18"/>
                <w:color w:val="auto"/>
                <w:w w:val="91"/>
              </w:rPr>
              <w:t>Contractual</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ind w:left="40"/>
              <w:spacing w:after="0"/>
              <w:rPr>
                <w:sz w:val="20"/>
                <w:szCs w:val="20"/>
                <w:color w:val="auto"/>
              </w:rPr>
            </w:pPr>
            <w:r>
              <w:rPr>
                <w:rFonts w:ascii="Arial" w:cs="Arial" w:eastAsia="Arial" w:hAnsi="Arial"/>
                <w:sz w:val="18"/>
                <w:szCs w:val="18"/>
                <w:color w:val="auto"/>
              </w:rPr>
              <w:t>Fair Value</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spacing w:after="0"/>
              <w:rPr>
                <w:sz w:val="20"/>
                <w:szCs w:val="20"/>
                <w:color w:val="auto"/>
              </w:rPr>
            </w:pPr>
            <w:r>
              <w:rPr>
                <w:rFonts w:ascii="Arial" w:cs="Arial" w:eastAsia="Arial" w:hAnsi="Arial"/>
                <w:sz w:val="18"/>
                <w:szCs w:val="18"/>
                <w:color w:val="auto"/>
              </w:rPr>
              <w:t>Difference</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Principal</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3240" w:type="dxa"/>
            <w:vAlign w:val="bottom"/>
            <w:vMerge w:val="restart"/>
          </w:tcPr>
          <w:p>
            <w:pPr>
              <w:spacing w:after="0"/>
              <w:rPr>
                <w:sz w:val="20"/>
                <w:szCs w:val="20"/>
                <w:color w:val="auto"/>
              </w:rPr>
            </w:pPr>
            <w:r>
              <w:rPr>
                <w:rFonts w:ascii="Arial" w:cs="Arial" w:eastAsia="Arial" w:hAnsi="Arial"/>
                <w:sz w:val="18"/>
                <w:szCs w:val="18"/>
                <w:color w:val="auto"/>
              </w:rPr>
              <w:t>Loans held for sale</w:t>
            </w:r>
          </w:p>
        </w:tc>
        <w:tc>
          <w:tcPr>
            <w:tcW w:w="33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85"/>
              </w:rPr>
              <w:t>(In thousands)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80" w:type="dxa"/>
            <w:vAlign w:val="bottom"/>
          </w:tcPr>
          <w:p>
            <w:pPr>
              <w:spacing w:after="0"/>
              <w:rPr>
                <w:sz w:val="17"/>
                <w:szCs w:val="17"/>
                <w:color w:val="auto"/>
              </w:rPr>
            </w:pPr>
          </w:p>
        </w:tc>
        <w:tc>
          <w:tcPr>
            <w:tcW w:w="3240" w:type="dxa"/>
            <w:vAlign w:val="bottom"/>
            <w:vMerge w:val="continue"/>
          </w:tcPr>
          <w:p>
            <w:pPr>
              <w:spacing w:after="0"/>
              <w:rPr>
                <w:sz w:val="17"/>
                <w:szCs w:val="17"/>
                <w:color w:val="auto"/>
              </w:rPr>
            </w:pPr>
          </w:p>
        </w:tc>
        <w:tc>
          <w:tcPr>
            <w:tcW w:w="3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June 30, 2021</w:t>
            </w:r>
          </w:p>
        </w:tc>
        <w:tc>
          <w:tcPr>
            <w:tcW w:w="3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59,752</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1,456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58,296</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3240" w:type="dxa"/>
            <w:vAlign w:val="bottom"/>
          </w:tcPr>
          <w:p>
            <w:pPr>
              <w:ind w:left="120"/>
              <w:spacing w:after="0"/>
              <w:rPr>
                <w:sz w:val="20"/>
                <w:szCs w:val="20"/>
                <w:color w:val="auto"/>
              </w:rPr>
            </w:pPr>
            <w:r>
              <w:rPr>
                <w:rFonts w:ascii="Arial" w:cs="Arial" w:eastAsia="Arial" w:hAnsi="Arial"/>
                <w:sz w:val="18"/>
                <w:szCs w:val="18"/>
                <w:color w:val="auto"/>
              </w:rPr>
              <w:t>December 31, 2020</w:t>
            </w:r>
          </w:p>
        </w:tc>
        <w:tc>
          <w:tcPr>
            <w:tcW w:w="3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92,434</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3,856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88,578</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4"/>
        </w:trPr>
        <w:tc>
          <w:tcPr>
            <w:tcW w:w="58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3320" w:type="dxa"/>
            <w:vAlign w:val="bottom"/>
          </w:tcPr>
          <w:p>
            <w:pPr>
              <w:jc w:val="right"/>
              <w:ind w:right="1330"/>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580" w:type="dxa"/>
            <w:vAlign w:val="bottom"/>
            <w:tcBorders>
              <w:bottom w:val="single" w:sz="8" w:color="auto"/>
            </w:tcBorders>
          </w:tcPr>
          <w:p>
            <w:pPr>
              <w:spacing w:after="0"/>
              <w:rPr>
                <w:sz w:val="5"/>
                <w:szCs w:val="5"/>
                <w:color w:val="auto"/>
              </w:rPr>
            </w:pPr>
          </w:p>
        </w:tc>
        <w:tc>
          <w:tcPr>
            <w:tcW w:w="3240" w:type="dxa"/>
            <w:vAlign w:val="bottom"/>
            <w:tcBorders>
              <w:bottom w:val="single" w:sz="8" w:color="auto"/>
            </w:tcBorders>
          </w:tcPr>
          <w:p>
            <w:pPr>
              <w:spacing w:after="0"/>
              <w:rPr>
                <w:sz w:val="5"/>
                <w:szCs w:val="5"/>
                <w:color w:val="auto"/>
              </w:rPr>
            </w:pPr>
          </w:p>
        </w:tc>
        <w:tc>
          <w:tcPr>
            <w:tcW w:w="33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2" w:right="339" w:bottom="1440" w:gutter="0" w:footer="0" w:header="0"/>
        </w:sectPr>
      </w:pPr>
    </w:p>
    <w:bookmarkStart w:id="56" w:name="page57"/>
    <w:bookmarkEnd w:id="5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13" w:lineRule="exact"/>
        <w:rPr>
          <w:sz w:val="20"/>
          <w:szCs w:val="20"/>
          <w:color w:val="auto"/>
        </w:rPr>
      </w:pPr>
    </w:p>
    <w:p>
      <w:pPr>
        <w:ind w:left="34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Fair Values of Financial Instruments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Most of our assets and liabilities are considered financial instruments. Many of these financial instruments lack an available trading market and it is our general practice and intent to hold the majority of our financial instruments to maturity. Significant estimates and assumptions were used to determine the fair value of financial instruments. These estimates are subjective in nature, involving uncertainties and matters of judgment, and therefore, fair values may not be a precise estimate. Changes in assumptions could significantly affect the estimates.</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Estimated fair values have been determined using available data and methodologies that are considered suitable for each category of financial instrument. For instruments with adjustable interest rates which reprice frequently and without significant credit risk, it is presumed that estimated fair values approximate the recorded book balances.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7" w:name="page58"/>
    <w:bookmarkEnd w:id="5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40" w:type="dxa"/>
            <w:vAlign w:val="bottom"/>
          </w:tcPr>
          <w:p>
            <w:pPr>
              <w:spacing w:after="0"/>
              <w:rPr>
                <w:sz w:val="20"/>
                <w:szCs w:val="20"/>
                <w:color w:val="auto"/>
              </w:rPr>
            </w:pPr>
            <w:r>
              <w:rPr>
                <w:rFonts w:ascii="Arial" w:cs="Arial" w:eastAsia="Arial" w:hAnsi="Arial"/>
                <w:sz w:val="18"/>
                <w:szCs w:val="18"/>
                <w:color w:val="auto"/>
                <w:w w:val="96"/>
              </w:rPr>
              <w:t>The estimated recorded book balances and fair values follow:</w:t>
            </w: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4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8"/>
                <w:szCs w:val="18"/>
                <w:color w:val="auto"/>
                <w:w w:val="91"/>
              </w:rPr>
              <w:t>Fair Value Using</w:t>
            </w: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4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center"/>
              <w:ind w:right="240"/>
              <w:spacing w:after="0" w:line="201" w:lineRule="exact"/>
              <w:rPr>
                <w:sz w:val="20"/>
                <w:szCs w:val="20"/>
                <w:color w:val="auto"/>
              </w:rPr>
            </w:pPr>
            <w:r>
              <w:rPr>
                <w:rFonts w:ascii="Arial" w:cs="Arial" w:eastAsia="Arial" w:hAnsi="Arial"/>
                <w:sz w:val="18"/>
                <w:szCs w:val="18"/>
                <w:color w:val="auto"/>
                <w:w w:val="91"/>
              </w:rPr>
              <w:t>Quoted</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Prices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8"/>
                <w:szCs w:val="18"/>
                <w:color w:val="auto"/>
                <w:w w:val="96"/>
              </w:rPr>
              <w:t>in Active</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Markets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color w:val="auto"/>
                <w:w w:val="96"/>
              </w:rPr>
              <w:t>Significant</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color w:val="auto"/>
                <w:w w:val="96"/>
              </w:rPr>
              <w:t>Significant</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8"/>
                <w:szCs w:val="18"/>
                <w:color w:val="auto"/>
              </w:rPr>
              <w:t>for</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Other</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color w:val="auto"/>
                <w:w w:val="96"/>
              </w:rPr>
              <w:t>Un-</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Recorded</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Identical</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Observable</w:t>
            </w:r>
          </w:p>
        </w:tc>
        <w:tc>
          <w:tcPr>
            <w:tcW w:w="1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observable</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color w:val="auto"/>
                <w:w w:val="92"/>
              </w:rPr>
              <w:t>Book</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8"/>
                <w:szCs w:val="18"/>
                <w:color w:val="auto"/>
                <w:w w:val="85"/>
              </w:rPr>
              <w:t>Assets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Inputs</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Inputs</w:t>
            </w:r>
          </w:p>
        </w:tc>
        <w:tc>
          <w:tcPr>
            <w:tcW w:w="0" w:type="dxa"/>
            <w:vAlign w:val="bottom"/>
          </w:tcPr>
          <w:p>
            <w:pPr>
              <w:spacing w:after="0"/>
              <w:rPr>
                <w:sz w:val="1"/>
                <w:szCs w:val="1"/>
                <w:color w:val="auto"/>
              </w:rPr>
            </w:pPr>
          </w:p>
        </w:tc>
      </w:tr>
      <w:tr>
        <w:trPr>
          <w:trHeight w:val="237"/>
        </w:trPr>
        <w:tc>
          <w:tcPr>
            <w:tcW w:w="47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Balance</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Fair Value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4"/>
              </w:rPr>
              <w:t>(Level 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4"/>
              </w:rPr>
              <w:t>(Level 2)</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7"/>
              </w:rPr>
              <w:t>(Level 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740" w:type="dxa"/>
            <w:vAlign w:val="bottom"/>
            <w:vMerge w:val="restart"/>
          </w:tcPr>
          <w:p>
            <w:pPr>
              <w:spacing w:after="0"/>
              <w:rPr>
                <w:sz w:val="20"/>
                <w:szCs w:val="20"/>
                <w:color w:val="auto"/>
              </w:rPr>
            </w:pPr>
            <w:r>
              <w:rPr>
                <w:rFonts w:ascii="Arial" w:cs="Arial" w:eastAsia="Arial" w:hAnsi="Arial"/>
                <w:sz w:val="18"/>
                <w:szCs w:val="18"/>
                <w:color w:val="auto"/>
              </w:rPr>
              <w:t>June 30, 2021</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4"/>
          </w:tcPr>
          <w:p>
            <w:pPr>
              <w:jc w:val="right"/>
              <w:ind w:right="180"/>
              <w:spacing w:after="0"/>
              <w:rPr>
                <w:sz w:val="20"/>
                <w:szCs w:val="20"/>
                <w:color w:val="auto"/>
              </w:rPr>
            </w:pPr>
            <w:r>
              <w:rPr>
                <w:rFonts w:ascii="Arial" w:cs="Arial" w:eastAsia="Arial" w:hAnsi="Arial"/>
                <w:sz w:val="18"/>
                <w:szCs w:val="18"/>
                <w:color w:val="auto"/>
                <w:w w:val="95"/>
              </w:rPr>
              <w:t>(In thousands)</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47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140"/>
              <w:spacing w:after="0"/>
              <w:rPr>
                <w:sz w:val="20"/>
                <w:szCs w:val="20"/>
                <w:color w:val="auto"/>
              </w:rPr>
            </w:pPr>
            <w:r>
              <w:rPr>
                <w:rFonts w:ascii="Arial" w:cs="Arial" w:eastAsia="Arial" w:hAnsi="Arial"/>
                <w:sz w:val="18"/>
                <w:szCs w:val="18"/>
                <w:color w:val="auto"/>
              </w:rPr>
              <w:t>Assets</w:t>
            </w: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due from banks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46,242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46,242</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46,242</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tcPr>
          <w:p>
            <w:pPr>
              <w:ind w:left="340"/>
              <w:spacing w:after="0"/>
              <w:rPr>
                <w:sz w:val="20"/>
                <w:szCs w:val="20"/>
                <w:color w:val="auto"/>
              </w:rPr>
            </w:pPr>
            <w:r>
              <w:rPr>
                <w:rFonts w:ascii="Arial" w:cs="Arial" w:eastAsia="Arial" w:hAnsi="Arial"/>
                <w:sz w:val="18"/>
                <w:szCs w:val="18"/>
                <w:color w:val="auto"/>
              </w:rPr>
              <w:t>Interest bearing deposits</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23,012</w:t>
            </w:r>
          </w:p>
        </w:tc>
        <w:tc>
          <w:tcPr>
            <w:tcW w:w="1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23,012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23,012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Securities available for sale</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1,330,660</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1,330,660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1,330,660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tcPr>
          <w:p>
            <w:pPr>
              <w:ind w:left="340"/>
              <w:spacing w:after="0"/>
              <w:rPr>
                <w:sz w:val="20"/>
                <w:szCs w:val="20"/>
                <w:color w:val="auto"/>
              </w:rPr>
            </w:pPr>
            <w:r>
              <w:rPr>
                <w:rFonts w:ascii="Arial" w:cs="Arial" w:eastAsia="Arial" w:hAnsi="Arial"/>
                <w:sz w:val="18"/>
                <w:szCs w:val="18"/>
                <w:color w:val="auto"/>
                <w:w w:val="92"/>
              </w:rPr>
              <w:t>Federal Home Loan Bank and Federal Reserve Bank Stock</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18,427</w:t>
            </w:r>
          </w:p>
        </w:tc>
        <w:tc>
          <w:tcPr>
            <w:tcW w:w="1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NA</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120" w:type="dxa"/>
            <w:vAlign w:val="bottom"/>
          </w:tcPr>
          <w:p>
            <w:pPr>
              <w:spacing w:after="0"/>
              <w:rPr>
                <w:sz w:val="18"/>
                <w:szCs w:val="18"/>
                <w:color w:val="auto"/>
              </w:rPr>
            </w:pPr>
          </w:p>
        </w:tc>
        <w:tc>
          <w:tcPr>
            <w:tcW w:w="1100" w:type="dxa"/>
            <w:vAlign w:val="bottom"/>
            <w:gridSpan w:val="2"/>
          </w:tcPr>
          <w:p>
            <w:pPr>
              <w:ind w:left="7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loans and loans held for sale</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2,828,385</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2,862,494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59,752</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2,802,742</w:t>
            </w:r>
          </w:p>
        </w:tc>
        <w:tc>
          <w:tcPr>
            <w:tcW w:w="0" w:type="dxa"/>
            <w:vAlign w:val="bottom"/>
          </w:tcPr>
          <w:p>
            <w:pPr>
              <w:spacing w:after="0"/>
              <w:rPr>
                <w:sz w:val="1"/>
                <w:szCs w:val="1"/>
                <w:color w:val="auto"/>
              </w:rPr>
            </w:pPr>
          </w:p>
        </w:tc>
      </w:tr>
      <w:tr>
        <w:trPr>
          <w:trHeight w:val="216"/>
        </w:trPr>
        <w:tc>
          <w:tcPr>
            <w:tcW w:w="4740" w:type="dxa"/>
            <w:vAlign w:val="bottom"/>
          </w:tcPr>
          <w:p>
            <w:pPr>
              <w:ind w:left="340"/>
              <w:spacing w:after="0"/>
              <w:rPr>
                <w:sz w:val="20"/>
                <w:szCs w:val="20"/>
                <w:color w:val="auto"/>
              </w:rPr>
            </w:pPr>
            <w:r>
              <w:rPr>
                <w:rFonts w:ascii="Arial" w:cs="Arial" w:eastAsia="Arial" w:hAnsi="Arial"/>
                <w:sz w:val="18"/>
                <w:szCs w:val="18"/>
                <w:color w:val="auto"/>
              </w:rPr>
              <w:t>Accrued interest receivable</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13,240</w:t>
            </w:r>
          </w:p>
        </w:tc>
        <w:tc>
          <w:tcPr>
            <w:tcW w:w="1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13,240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5,450</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7,788</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Derivative financial instruments</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14,222</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14,222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14,222</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Liabilities</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340"/>
              <w:spacing w:after="0"/>
              <w:rPr>
                <w:sz w:val="20"/>
                <w:szCs w:val="20"/>
                <w:color w:val="auto"/>
              </w:rPr>
            </w:pPr>
            <w:r>
              <w:rPr>
                <w:rFonts w:ascii="Arial" w:cs="Arial" w:eastAsia="Arial" w:hAnsi="Arial"/>
                <w:sz w:val="18"/>
                <w:szCs w:val="18"/>
                <w:color w:val="auto"/>
              </w:rPr>
              <w:t>Deposits with no stated maturity (1)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3,552,144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3,552,144</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3,552,144</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Deposits with stated maturity (1)</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310,322</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311,525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311,525</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tcPr>
          <w:p>
            <w:pPr>
              <w:ind w:left="340"/>
              <w:spacing w:after="0"/>
              <w:rPr>
                <w:sz w:val="20"/>
                <w:szCs w:val="20"/>
                <w:color w:val="auto"/>
              </w:rPr>
            </w:pPr>
            <w:r>
              <w:rPr>
                <w:rFonts w:ascii="Arial" w:cs="Arial" w:eastAsia="Arial" w:hAnsi="Arial"/>
                <w:sz w:val="18"/>
                <w:szCs w:val="18"/>
                <w:color w:val="auto"/>
              </w:rPr>
              <w:t>Other borrowings</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30,005</w:t>
            </w:r>
          </w:p>
        </w:tc>
        <w:tc>
          <w:tcPr>
            <w:tcW w:w="1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30,422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30,422</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Subordinated debt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39,319</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43,642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43,642</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tcPr>
          <w:p>
            <w:pPr>
              <w:ind w:left="340"/>
              <w:spacing w:after="0"/>
              <w:rPr>
                <w:sz w:val="20"/>
                <w:szCs w:val="20"/>
                <w:color w:val="auto"/>
              </w:rPr>
            </w:pPr>
            <w:r>
              <w:rPr>
                <w:rFonts w:ascii="Arial" w:cs="Arial" w:eastAsia="Arial" w:hAnsi="Arial"/>
                <w:sz w:val="18"/>
                <w:szCs w:val="18"/>
                <w:color w:val="auto"/>
              </w:rPr>
              <w:t>Subordinated debentures</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39,558</w:t>
            </w:r>
          </w:p>
        </w:tc>
        <w:tc>
          <w:tcPr>
            <w:tcW w:w="1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31,457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31,457</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interest payable</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532</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461</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tcPr>
          <w:p>
            <w:pPr>
              <w:ind w:left="340"/>
              <w:spacing w:after="0"/>
              <w:rPr>
                <w:sz w:val="20"/>
                <w:szCs w:val="20"/>
                <w:color w:val="auto"/>
              </w:rPr>
            </w:pPr>
            <w:r>
              <w:rPr>
                <w:rFonts w:ascii="Arial" w:cs="Arial" w:eastAsia="Arial" w:hAnsi="Arial"/>
                <w:sz w:val="18"/>
                <w:szCs w:val="18"/>
                <w:color w:val="auto"/>
              </w:rPr>
              <w:t>Derivative financial instruments</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7,738</w:t>
            </w:r>
          </w:p>
        </w:tc>
        <w:tc>
          <w:tcPr>
            <w:tcW w:w="1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7,738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7,738</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December 31, 2020</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Assets</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340"/>
              <w:spacing w:after="0"/>
              <w:rPr>
                <w:sz w:val="20"/>
                <w:szCs w:val="20"/>
                <w:color w:val="auto"/>
              </w:rPr>
            </w:pPr>
            <w:r>
              <w:rPr>
                <w:rFonts w:ascii="Arial" w:cs="Arial" w:eastAsia="Arial" w:hAnsi="Arial"/>
                <w:sz w:val="18"/>
                <w:szCs w:val="18"/>
                <w:color w:val="auto"/>
              </w:rPr>
              <w:t>Cash and due from banks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56,006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56,006</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56,006</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bearing deposits</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62,699</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62,699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62,699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tcPr>
          <w:p>
            <w:pPr>
              <w:ind w:left="340"/>
              <w:spacing w:after="0"/>
              <w:rPr>
                <w:sz w:val="20"/>
                <w:szCs w:val="20"/>
                <w:color w:val="auto"/>
              </w:rPr>
            </w:pPr>
            <w:r>
              <w:rPr>
                <w:rFonts w:ascii="Arial" w:cs="Arial" w:eastAsia="Arial" w:hAnsi="Arial"/>
                <w:sz w:val="18"/>
                <w:szCs w:val="18"/>
                <w:color w:val="auto"/>
              </w:rPr>
              <w:t>Securities available for sale</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1,072,159</w:t>
            </w:r>
          </w:p>
        </w:tc>
        <w:tc>
          <w:tcPr>
            <w:tcW w:w="1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1,072,159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1,072,159</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2"/>
              </w:rPr>
              <w:t>Federal Home Loan Bank and Federal Reserve Bank Stock</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18,427</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NA</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740" w:type="dxa"/>
            <w:vAlign w:val="bottom"/>
          </w:tcPr>
          <w:p>
            <w:pPr>
              <w:ind w:left="340"/>
              <w:spacing w:after="0"/>
              <w:rPr>
                <w:sz w:val="20"/>
                <w:szCs w:val="20"/>
                <w:color w:val="auto"/>
              </w:rPr>
            </w:pPr>
            <w:r>
              <w:rPr>
                <w:rFonts w:ascii="Arial" w:cs="Arial" w:eastAsia="Arial" w:hAnsi="Arial"/>
                <w:sz w:val="18"/>
                <w:szCs w:val="18"/>
                <w:color w:val="auto"/>
              </w:rPr>
              <w:t>Net loans and loans held for sale</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2,790,683</w:t>
            </w:r>
          </w:p>
        </w:tc>
        <w:tc>
          <w:tcPr>
            <w:tcW w:w="1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2,794,058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92,434</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2,701,624</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interest receivable</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12,315</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12,315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3,414</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8,898</w:t>
            </w:r>
          </w:p>
        </w:tc>
        <w:tc>
          <w:tcPr>
            <w:tcW w:w="0" w:type="dxa"/>
            <w:vAlign w:val="bottom"/>
          </w:tcPr>
          <w:p>
            <w:pPr>
              <w:spacing w:after="0"/>
              <w:rPr>
                <w:sz w:val="1"/>
                <w:szCs w:val="1"/>
                <w:color w:val="auto"/>
              </w:rPr>
            </w:pPr>
          </w:p>
        </w:tc>
      </w:tr>
      <w:tr>
        <w:trPr>
          <w:trHeight w:val="216"/>
        </w:trPr>
        <w:tc>
          <w:tcPr>
            <w:tcW w:w="4740" w:type="dxa"/>
            <w:vAlign w:val="bottom"/>
          </w:tcPr>
          <w:p>
            <w:pPr>
              <w:ind w:left="340"/>
              <w:spacing w:after="0"/>
              <w:rPr>
                <w:sz w:val="20"/>
                <w:szCs w:val="20"/>
                <w:color w:val="auto"/>
              </w:rPr>
            </w:pPr>
            <w:r>
              <w:rPr>
                <w:rFonts w:ascii="Arial" w:cs="Arial" w:eastAsia="Arial" w:hAnsi="Arial"/>
                <w:sz w:val="18"/>
                <w:szCs w:val="18"/>
                <w:color w:val="auto"/>
              </w:rPr>
              <w:t>Derivative financial instruments</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16,782</w:t>
            </w:r>
          </w:p>
        </w:tc>
        <w:tc>
          <w:tcPr>
            <w:tcW w:w="1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16,782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16,782</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140"/>
              <w:spacing w:after="0"/>
              <w:rPr>
                <w:sz w:val="20"/>
                <w:szCs w:val="20"/>
                <w:color w:val="auto"/>
              </w:rPr>
            </w:pPr>
            <w:r>
              <w:rPr>
                <w:rFonts w:ascii="Arial" w:cs="Arial" w:eastAsia="Arial" w:hAnsi="Arial"/>
                <w:sz w:val="18"/>
                <w:szCs w:val="18"/>
                <w:color w:val="auto"/>
              </w:rPr>
              <w:t>Liabilities</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Deposits with no stated maturity (1)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3,198,338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3,198,338</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3,198,338</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tcPr>
          <w:p>
            <w:pPr>
              <w:ind w:left="340"/>
              <w:spacing w:after="0"/>
              <w:rPr>
                <w:sz w:val="20"/>
                <w:szCs w:val="20"/>
                <w:color w:val="auto"/>
              </w:rPr>
            </w:pPr>
            <w:r>
              <w:rPr>
                <w:rFonts w:ascii="Arial" w:cs="Arial" w:eastAsia="Arial" w:hAnsi="Arial"/>
                <w:sz w:val="18"/>
                <w:szCs w:val="18"/>
                <w:color w:val="auto"/>
              </w:rPr>
              <w:t>Deposits with stated maturity (1)</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439,017</w:t>
            </w:r>
          </w:p>
        </w:tc>
        <w:tc>
          <w:tcPr>
            <w:tcW w:w="1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441,457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441,457</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borrowings</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30,012</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30,844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30,844</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tcPr>
          <w:p>
            <w:pPr>
              <w:ind w:left="340"/>
              <w:spacing w:after="0"/>
              <w:rPr>
                <w:sz w:val="20"/>
                <w:szCs w:val="20"/>
                <w:color w:val="auto"/>
              </w:rPr>
            </w:pPr>
            <w:r>
              <w:rPr>
                <w:rFonts w:ascii="Arial" w:cs="Arial" w:eastAsia="Arial" w:hAnsi="Arial"/>
                <w:sz w:val="18"/>
                <w:szCs w:val="18"/>
                <w:color w:val="auto"/>
              </w:rPr>
              <w:t>Subordinated debt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39,281</w:t>
            </w:r>
          </w:p>
        </w:tc>
        <w:tc>
          <w:tcPr>
            <w:tcW w:w="1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41,417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41,417</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Subordinated debentures</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39,524</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30,265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30,265</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tcPr>
          <w:p>
            <w:pPr>
              <w:ind w:left="340"/>
              <w:spacing w:after="0"/>
              <w:rPr>
                <w:sz w:val="20"/>
                <w:szCs w:val="20"/>
                <w:color w:val="auto"/>
              </w:rPr>
            </w:pPr>
            <w:r>
              <w:rPr>
                <w:rFonts w:ascii="Arial" w:cs="Arial" w:eastAsia="Arial" w:hAnsi="Arial"/>
                <w:sz w:val="18"/>
                <w:szCs w:val="18"/>
                <w:color w:val="auto"/>
              </w:rPr>
              <w:t>Accrued interest payable</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601</w:t>
            </w:r>
          </w:p>
        </w:tc>
        <w:tc>
          <w:tcPr>
            <w:tcW w:w="1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601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59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542</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Derivative financial instruments</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11,754</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11,754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11,754</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left="340" w:hanging="332"/>
        <w:spacing w:after="0" w:line="263" w:lineRule="auto"/>
        <w:tabs>
          <w:tab w:leader="none" w:pos="340" w:val="left"/>
        </w:tabs>
        <w:numPr>
          <w:ilvl w:val="0"/>
          <w:numId w:val="31"/>
        </w:numPr>
        <w:rPr>
          <w:rFonts w:ascii="Arial" w:cs="Arial" w:eastAsia="Arial" w:hAnsi="Arial"/>
          <w:sz w:val="18"/>
          <w:szCs w:val="18"/>
          <w:color w:val="231F20"/>
        </w:rPr>
      </w:pPr>
      <w:r>
        <w:rPr>
          <w:rFonts w:ascii="Arial" w:cs="Arial" w:eastAsia="Arial" w:hAnsi="Arial"/>
          <w:sz w:val="18"/>
          <w:szCs w:val="18"/>
          <w:color w:val="231F20"/>
        </w:rPr>
        <w:t>Deposits with no stated maturity include reciprocal deposits with a recorded book balance of $</w:t>
      </w:r>
      <w:r>
        <w:rPr>
          <w:rFonts w:ascii="Arial" w:cs="Arial" w:eastAsia="Arial" w:hAnsi="Arial"/>
          <w:sz w:val="18"/>
          <w:szCs w:val="18"/>
          <w:color w:val="000000"/>
        </w:rPr>
        <w:t>554.399</w:t>
      </w:r>
      <w:r>
        <w:rPr>
          <w:rFonts w:ascii="Arial" w:cs="Arial" w:eastAsia="Arial" w:hAnsi="Arial"/>
          <w:sz w:val="18"/>
          <w:szCs w:val="18"/>
          <w:color w:val="231F20"/>
        </w:rPr>
        <w:t xml:space="preserve"> million and </w:t>
      </w:r>
      <w:r>
        <w:rPr>
          <w:rFonts w:ascii="Arial" w:cs="Arial" w:eastAsia="Arial" w:hAnsi="Arial"/>
          <w:sz w:val="18"/>
          <w:szCs w:val="18"/>
          <w:color w:val="000000"/>
        </w:rPr>
        <w:t>$518.400 million at June 30, 2021</w:t>
      </w:r>
      <w:r>
        <w:rPr>
          <w:rFonts w:ascii="Arial" w:cs="Arial" w:eastAsia="Arial" w:hAnsi="Arial"/>
          <w:sz w:val="18"/>
          <w:szCs w:val="18"/>
          <w:color w:val="231F20"/>
        </w:rPr>
        <w:t xml:space="preserve"> </w:t>
      </w:r>
      <w:r>
        <w:rPr>
          <w:rFonts w:ascii="Arial" w:cs="Arial" w:eastAsia="Arial" w:hAnsi="Arial"/>
          <w:sz w:val="18"/>
          <w:szCs w:val="18"/>
          <w:color w:val="000000"/>
        </w:rPr>
        <w:t xml:space="preserve">and December 31, 2020, respectively. Deposits with a stated maturity include reciprocal deposits with a recorded book balance of </w:t>
      </w:r>
      <w:r>
        <w:rPr>
          <w:rFonts w:ascii="Arial" w:cs="Arial" w:eastAsia="Arial" w:hAnsi="Arial"/>
          <w:sz w:val="18"/>
          <w:szCs w:val="18"/>
          <w:color w:val="231F20"/>
        </w:rPr>
        <w:t>$</w:t>
      </w:r>
      <w:r>
        <w:rPr>
          <w:rFonts w:ascii="Arial" w:cs="Arial" w:eastAsia="Arial" w:hAnsi="Arial"/>
          <w:sz w:val="18"/>
          <w:szCs w:val="18"/>
          <w:color w:val="000000"/>
        </w:rPr>
        <w:t xml:space="preserve">35.094 </w:t>
      </w:r>
      <w:r>
        <w:rPr>
          <w:rFonts w:ascii="Arial" w:cs="Arial" w:eastAsia="Arial" w:hAnsi="Arial"/>
          <w:sz w:val="18"/>
          <w:szCs w:val="18"/>
          <w:color w:val="231F20"/>
        </w:rPr>
        <w:t>million and</w:t>
      </w:r>
      <w:r>
        <w:rPr>
          <w:rFonts w:ascii="Arial" w:cs="Arial" w:eastAsia="Arial" w:hAnsi="Arial"/>
          <w:sz w:val="18"/>
          <w:szCs w:val="18"/>
          <w:color w:val="000000"/>
        </w:rPr>
        <w:t xml:space="preserve"> </w:t>
      </w:r>
      <w:r>
        <w:rPr>
          <w:rFonts w:ascii="Arial" w:cs="Arial" w:eastAsia="Arial" w:hAnsi="Arial"/>
          <w:sz w:val="18"/>
          <w:szCs w:val="18"/>
          <w:color w:val="231F20"/>
        </w:rPr>
        <w:t>$</w:t>
      </w:r>
      <w:r>
        <w:rPr>
          <w:rFonts w:ascii="Arial" w:cs="Arial" w:eastAsia="Arial" w:hAnsi="Arial"/>
          <w:sz w:val="18"/>
          <w:szCs w:val="18"/>
          <w:color w:val="000000"/>
        </w:rPr>
        <w:t>37.785</w:t>
      </w:r>
      <w:r>
        <w:rPr>
          <w:rFonts w:ascii="Arial" w:cs="Arial" w:eastAsia="Arial" w:hAnsi="Arial"/>
          <w:sz w:val="18"/>
          <w:szCs w:val="18"/>
          <w:color w:val="231F20"/>
        </w:rPr>
        <w:t xml:space="preserve"> million at </w:t>
      </w:r>
      <w:r>
        <w:rPr>
          <w:rFonts w:ascii="Arial" w:cs="Arial" w:eastAsia="Arial" w:hAnsi="Arial"/>
          <w:sz w:val="18"/>
          <w:szCs w:val="18"/>
          <w:color w:val="000000"/>
        </w:rPr>
        <w:t>June 30, 2021 and December 31, 2020</w:t>
      </w:r>
      <w:r>
        <w:rPr>
          <w:rFonts w:ascii="Arial" w:cs="Arial" w:eastAsia="Arial" w:hAnsi="Arial"/>
          <w:sz w:val="18"/>
          <w:szCs w:val="18"/>
          <w:color w:val="231F20"/>
        </w:rPr>
        <w:t>, respectively.</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fair values for commitments to extend credit and standby letters of credit are estimated to approximate their aggregate book balance, which is nominal and therefore are not disclosed.</w:t>
      </w:r>
    </w:p>
    <w:p>
      <w:pPr>
        <w:sectPr>
          <w:pgSz w:w="11900" w:h="16838" w:orient="portrait"/>
          <w:cols w:equalWidth="0" w:num="1">
            <w:col w:w="11240"/>
          </w:cols>
          <w:pgMar w:left="320" w:top="122" w:right="339" w:bottom="1440" w:gutter="0" w:footer="0" w:header="0"/>
        </w:sect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58" w:name="page59"/>
    <w:bookmarkEnd w:id="5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Fair value estimates are made at a specific point in time, based on relevant market information and information about the financial instrument. These estimates do not reflect any premium or discount that could result from offering for sale the entire holdings of a particular financial instrument.</w:t>
      </w:r>
    </w:p>
    <w:p>
      <w:pPr>
        <w:spacing w:after="0" w:line="17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Fair value estimates are based on existing on- and off-balance sheet financial instruments without attempting to estimate the value of anticipated future business, the value of future earnings attributable to off-balance sheet activities and the value of assets and liabilities that are not considered financial instruments.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Fair value estimates for deposit accounts do not include the value of the core deposit intangible asset resulting from the low-cost funding provided by the deposit liabilities compared to the cost of borrowing funds in the market.</w:t>
      </w:r>
    </w:p>
    <w:p>
      <w:pPr>
        <w:spacing w:after="0" w:line="197" w:lineRule="exact"/>
        <w:rPr>
          <w:sz w:val="20"/>
          <w:szCs w:val="20"/>
          <w:color w:val="auto"/>
        </w:rPr>
      </w:pPr>
    </w:p>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Contingencies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Pandemic</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COVID-19 pandemic and the related government restrictions and guidance have had and may continue to have a significant effect on us, our customers, and the markets we serve. Since the U.S. Food and Drug Administration (FDA) issued its first emergency use authorization for a COVID-19 vaccine on December 11, 2020, more than two-thirds of the adult population in the U.S. has received at least one vaccination. As of July 12, 2021, 62.4% of Michigan residents ages 16 and older have had at least one vaccination. Widespread vaccinations have slowed the spread of the virus. Effective June 22, 2021, the State of Michigan rescinded the emergency orders it implemented in response to the pandemic, including the rescission of restrictions on restaurant capacities and other restrictions on the size of in-person gatherings. Despite these positive developments, the pandemic continues to cause a great deal of economic uncertainty and disruption to financial and other markets, including as a result of concerns relating to possible variants of the original virus.</w:t>
      </w:r>
    </w:p>
    <w:p>
      <w:pPr>
        <w:spacing w:after="0" w:line="2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 result of the pandemic, the related governmental responses, and the ongoing uncertainty, our business, results of operations, and financial condition may be adversely affected by a number of factors that could impact us and our customers, including but not limited to:</w:t>
      </w:r>
    </w:p>
    <w:p>
      <w:pPr>
        <w:spacing w:after="0" w:line="197"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business closures and higher than normal levels of unemployment may cause increases in loan delinquencies, foreclosures and defaults;</w:t>
      </w:r>
    </w:p>
    <w:p>
      <w:pPr>
        <w:spacing w:after="0" w:line="34" w:lineRule="exact"/>
        <w:rPr>
          <w:rFonts w:ascii="Arial" w:cs="Arial" w:eastAsia="Arial" w:hAnsi="Arial"/>
          <w:sz w:val="17"/>
          <w:szCs w:val="17"/>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increases in our allowance for credit losses may be necessary;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declines in collateral values may occur;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third party disruptions may occur, including outages at network providers, on-line banking vendors and other suppliers;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there is increased cyber and payment fraud risk, as cybercriminals attempt to profit from the disruption, given increased online and remote activity;</w:t>
      </w:r>
    </w:p>
    <w:p>
      <w:pPr>
        <w:ind w:left="660" w:hanging="328"/>
        <w:spacing w:after="0" w:line="250"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may experience operational failures due to changes in our normal business practices necessitated by the pandemic and related governmental actions; and/or</w:t>
      </w: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production and efficiency may suffer due to employee illnesses and/or employees having to work remotely.</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9" w:name="page60"/>
    <w:bookmarkEnd w:id="5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1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Given the ongoing uncertainty with respect to the pandemic and potential governmental responses, these risk factors may continue to some degree for a significant period of time.</w:t>
      </w:r>
    </w:p>
    <w:p>
      <w:pPr>
        <w:spacing w:after="0" w:line="19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extent to which the COVID-19 pandemic may impact our business, results of operations and financial condition will depend on future developments, which are highly uncertain and difficult to predict. Those developments and factors are expected to include the evolution of the virus and possible virus variants, the number of people who become vaccinated, actions taken by governmental authorities to address the foregoing, and how quickly and to what extent normal economic and operating conditions can resume. We do not yet know the full extent of the impact. However, the effects could have a material adverse impact on our business, asset valuations, financial condition and results of operations. Material adverse impacts may include all or a combination of valuation impairments on our intangible assets, securities available for sale, loans, capitalized mortgage loan servicing rights or deferred tax assets.</w:t>
      </w:r>
    </w:p>
    <w:p>
      <w:pPr>
        <w:spacing w:after="0" w:line="19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Certain industries (such as hotels and restaurants) have been more adversely impacted by the COVID-19 pandemic and related periodic shutdowns of our economy. We believe that the following industry concentrations within our commercial loan portfolio represent greater potential risk in the current economic environment. The balances below are as of June 30, 2021.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Commercial and industrial portfolio segment:</w:t>
      </w:r>
    </w:p>
    <w:p>
      <w:pPr>
        <w:spacing w:after="0" w:line="252"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Retail - $74 million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Food service - $61 million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Hotel - $42 million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Commercial real estate portfolio segment:</w:t>
      </w:r>
    </w:p>
    <w:p>
      <w:pPr>
        <w:spacing w:after="0" w:line="252"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Retail - $102 million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Office - $76 million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Multifamily - $63 million</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June 30, 2021, we had no commercial loans in forbearance. However, we continue to closely monitor these industry concentrations and at present do not foresee any significant losses relative to this portion of our loan portfolio given the current economic conditions in Michigan and the fact that many businesses have reopened. However, a high degree of uncertainty still exists with respect to the impact of the COVID-19 pandemic and the related economic disruptions on the future performance of our loan portfolio, including these concentrations.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0" w:name="page61"/>
    <w:bookmarkEnd w:id="6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are involved in various litigation matters in the ordinary course of business. At the present time, we do not believe any of these matters will have a significant impact on our interim condensed consolidated financial position or results of operations. The aggregate amount we have accrued for losses we consider probable as a result of these litigation matters is immaterial. However, because of the inherent uncertainty of outcomes from any litigation matter, we believe it is reasonably possible we may incur losses in addition to the amounts we have accrued. At this time, we estimate the maximum amount of additional losses that are reasonably possible is insignificant. However, because of a number of factors, including the fact that certain of these litigation matters are still in their early stages, this maximum amount may change in the future.</w:t>
      </w:r>
    </w:p>
    <w:p>
      <w:pPr>
        <w:spacing w:after="0" w:line="20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litigation matters described in the preceding paragraph primarily include claims that have been brought against us for damages, but do not include litigation matters where we seek to collect amounts owed to us by third parties (such as litigation initiated to collect delinquent loans). These excluded, collection-related matters may involve claims or counterclaims by the opposing party or parties, but we have excluded such matters from the disclosure contained in the preceding paragraph in all cases where we believe the possibility of us paying damages to any opposing party is remote.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Reimbursement Obligations</w:t>
      </w:r>
    </w:p>
    <w:p>
      <w:pPr>
        <w:spacing w:after="0" w:line="25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provision for loss reimbursement on sold loans represents our estimate of incurred losses related to mortgage loans that we have sold to investors (primarily Fannie Mae, Freddie Mac, Ginnie Mae and the Federal Home Loan Bank of Indianapolis). Since we sell mortgage loans without recourse, loss reimbursements only occur in those instances where we have breached a representation or warranty or other contractual requirement related to the loan sale. The provision for loss reimbursement on sold loans was an expense of $0.03 million and $0.08 million for the three month periods ended June 30, 2021 and 2020 and an expense of $0.06 million and $0.11 million for the six month periods ended June 30, 2021 and 2020, respectively. The reserve for loss reimbursements on sold mortgage loans totaled $1.08 million and $1.02 million at June 30, 2021 and December 31, 2020, respectively. This reserve is included in accrued expenses and other liabilities in our Condensed Consolidated Statements of Financial Condition. This reserve is based on an analysis of mortgage loans that we have sold which are further categorized by delinquency status, loan to value, and year of origination. The calculation includes factors such as probability of default, probability of loss reimbursement (breach of representation or warranty) and estimated loss severity. We believe that the amounts that we have accrued for incurred losses on sold mortgage loans are appropriate given our analyses. However, future losses could exceed our current estimate.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Visa Stock</w:t>
      </w:r>
    </w:p>
    <w:p>
      <w:pPr>
        <w:spacing w:after="0" w:line="25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own 12,566 shares of VISA Class B common stock. At the present time, these shares can only be sold to other Class B shareholders. As a result, there has generally been limited transfer activity in private transactions between buyers and sellers. Given the limited activity that we have become aware of and the continuing uncertainty regarding the likelihood, ultimate timing and eventual exchange rate for Class B shares into Class A shares, we continue to carry these shares at zero, representing cost basis less impairment. However, given the current conversion ratio of 1.6228 Class A shares for every 1 Class B share and the closing price of VISA Class A shares on June 30, 2021 of $233.82 per share, our 12,566 Class B shares would have a current “value” of approximately $4.8 million. We continue to monitor Class B trading activity and the status of the resolution of certain litigation matters at VISA that would trigger the conversion of Class B common shares into Class A common shares, which would not have any trading restrictions.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1" w:name="page62"/>
    <w:bookmarkEnd w:id="6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13" w:lineRule="exact"/>
        <w:rPr>
          <w:sz w:val="20"/>
          <w:szCs w:val="20"/>
          <w:color w:val="auto"/>
        </w:rPr>
      </w:pPr>
    </w:p>
    <w:p>
      <w:pPr>
        <w:ind w:right="6360" w:firstLine="8"/>
        <w:spacing w:after="0" w:line="532" w:lineRule="auto"/>
        <w:tabs>
          <w:tab w:leader="none" w:pos="324"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 xml:space="preserve">Accumulated Other Comprehensive Income (Loss) (“AOCIL”) </w:t>
      </w:r>
      <w:r>
        <w:rPr>
          <w:rFonts w:ascii="Arial" w:cs="Arial" w:eastAsia="Arial" w:hAnsi="Arial"/>
          <w:sz w:val="18"/>
          <w:szCs w:val="18"/>
          <w:color w:val="auto"/>
        </w:rPr>
        <w:t>A summary of changes in AOCIL follows:</w:t>
      </w: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color w:val="auto"/>
                <w:w w:val="95"/>
              </w:rPr>
              <w:t>Dispropor-</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tionate</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color w:val="auto"/>
                <w:w w:val="92"/>
              </w:rPr>
              <w:t>Unrealized</w:t>
            </w:r>
          </w:p>
        </w:tc>
        <w:tc>
          <w:tcPr>
            <w:tcW w:w="12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Tax Effects</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color w:val="auto"/>
                <w:w w:val="88"/>
              </w:rPr>
              <w:t>Gains on</w:t>
            </w: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color w:val="auto"/>
                <w:w w:val="99"/>
              </w:rPr>
              <w:t>from</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Unrealized</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color w:val="auto"/>
                <w:w w:val="91"/>
              </w:rPr>
              <w:t>Securities</w:t>
            </w: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Securities</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color w:val="auto"/>
                <w:w w:val="87"/>
              </w:rPr>
              <w:t>Losses on</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color w:val="auto"/>
                <w:w w:val="93"/>
              </w:rPr>
              <w:t>Available</w:t>
            </w: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color w:val="auto"/>
                <w:w w:val="93"/>
              </w:rPr>
              <w:t>Available</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Cash Flow</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59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0"/>
              </w:rPr>
              <w:t>for Sale</w:t>
            </w: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0"/>
              </w:rPr>
              <w:t>for Sale</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6"/>
              </w:rPr>
              <w:t>Hedges</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r>
      <w:tr>
        <w:trPr>
          <w:trHeight w:val="230"/>
        </w:trPr>
        <w:tc>
          <w:tcPr>
            <w:tcW w:w="5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40" w:type="dxa"/>
            <w:vAlign w:val="bottom"/>
            <w:gridSpan w:val="5"/>
          </w:tcPr>
          <w:p>
            <w:pPr>
              <w:jc w:val="right"/>
              <w:ind w:right="940"/>
              <w:spacing w:after="0"/>
              <w:rPr>
                <w:sz w:val="20"/>
                <w:szCs w:val="20"/>
                <w:color w:val="auto"/>
              </w:rPr>
            </w:pPr>
            <w:r>
              <w:rPr>
                <w:rFonts w:ascii="Arial" w:cs="Arial" w:eastAsia="Arial" w:hAnsi="Arial"/>
                <w:sz w:val="18"/>
                <w:szCs w:val="18"/>
                <w:color w:val="auto"/>
              </w:rPr>
              <w:t>(In thousands)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8"/>
        </w:trPr>
        <w:tc>
          <w:tcPr>
            <w:tcW w:w="5980" w:type="dxa"/>
            <w:vAlign w:val="bottom"/>
          </w:tcPr>
          <w:p>
            <w:pPr>
              <w:spacing w:after="0"/>
              <w:rPr>
                <w:sz w:val="20"/>
                <w:szCs w:val="20"/>
                <w:color w:val="auto"/>
              </w:rPr>
            </w:pPr>
            <w:r>
              <w:rPr>
                <w:rFonts w:ascii="Arial" w:cs="Arial" w:eastAsia="Arial" w:hAnsi="Arial"/>
                <w:sz w:val="18"/>
                <w:szCs w:val="18"/>
                <w:color w:val="auto"/>
              </w:rPr>
              <w:t>For the three months ended June 30, 2021</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Balances at beginning of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10,136</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(5,798)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4,338</w:t>
            </w:r>
          </w:p>
        </w:tc>
      </w:tr>
      <w:tr>
        <w:trPr>
          <w:trHeight w:val="216"/>
        </w:trPr>
        <w:tc>
          <w:tcPr>
            <w:tcW w:w="5980" w:type="dxa"/>
            <w:vAlign w:val="bottom"/>
          </w:tcPr>
          <w:p>
            <w:pPr>
              <w:ind w:left="340"/>
              <w:spacing w:after="0"/>
              <w:rPr>
                <w:sz w:val="20"/>
                <w:szCs w:val="20"/>
                <w:color w:val="auto"/>
              </w:rPr>
            </w:pPr>
            <w:r>
              <w:rPr>
                <w:rFonts w:ascii="Arial" w:cs="Arial" w:eastAsia="Arial" w:hAnsi="Arial"/>
                <w:sz w:val="18"/>
                <w:szCs w:val="18"/>
                <w:color w:val="auto"/>
              </w:rPr>
              <w:t>Other comprehensive income loss before reclassifications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4,078</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4,078</w:t>
            </w:r>
          </w:p>
        </w:tc>
      </w:tr>
      <w:tr>
        <w:trPr>
          <w:trHeight w:val="216"/>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Amounts reclassified from AOCIL</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59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5980" w:type="dxa"/>
            <w:vAlign w:val="bottom"/>
          </w:tcPr>
          <w:p>
            <w:pPr>
              <w:ind w:left="500"/>
              <w:spacing w:after="0"/>
              <w:rPr>
                <w:sz w:val="20"/>
                <w:szCs w:val="20"/>
                <w:color w:val="auto"/>
              </w:rPr>
            </w:pPr>
            <w:r>
              <w:rPr>
                <w:rFonts w:ascii="Arial" w:cs="Arial" w:eastAsia="Arial" w:hAnsi="Arial"/>
                <w:sz w:val="18"/>
                <w:szCs w:val="18"/>
                <w:color w:val="auto"/>
              </w:rPr>
              <w:t>Net current period other comprehensive income</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4,078</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4,078</w:t>
            </w:r>
          </w:p>
        </w:tc>
      </w:tr>
      <w:tr>
        <w:trPr>
          <w:trHeight w:val="257"/>
        </w:trPr>
        <w:tc>
          <w:tcPr>
            <w:tcW w:w="59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Balances at end of period</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14,214</w:t>
            </w:r>
          </w:p>
        </w:tc>
        <w:tc>
          <w:tcPr>
            <w:tcW w:w="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(5,798)</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8,416</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2020</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Balances at beginning of period</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2,933</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(5,798)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(1,989)</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(4,854)</w:t>
            </w:r>
          </w:p>
        </w:tc>
      </w:tr>
      <w:tr>
        <w:trPr>
          <w:trHeight w:val="216"/>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comprehensive income loss before reclassifications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8,382</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8,444</w:t>
            </w:r>
          </w:p>
        </w:tc>
      </w:tr>
      <w:tr>
        <w:trPr>
          <w:trHeight w:val="223"/>
        </w:trPr>
        <w:tc>
          <w:tcPr>
            <w:tcW w:w="5980" w:type="dxa"/>
            <w:vAlign w:val="bottom"/>
          </w:tcPr>
          <w:p>
            <w:pPr>
              <w:ind w:left="340"/>
              <w:spacing w:after="0"/>
              <w:rPr>
                <w:sz w:val="20"/>
                <w:szCs w:val="20"/>
                <w:color w:val="auto"/>
              </w:rPr>
            </w:pPr>
            <w:r>
              <w:rPr>
                <w:rFonts w:ascii="Arial" w:cs="Arial" w:eastAsia="Arial" w:hAnsi="Arial"/>
                <w:sz w:val="18"/>
                <w:szCs w:val="18"/>
                <w:color w:val="auto"/>
              </w:rPr>
              <w:t>Amounts reclassified from AOCIL</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206</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206</w:t>
            </w:r>
          </w:p>
        </w:tc>
      </w:tr>
      <w:tr>
        <w:trPr>
          <w:trHeight w:val="223"/>
        </w:trPr>
        <w:tc>
          <w:tcPr>
            <w:tcW w:w="5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current period other comprehensive income (loss)</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8,382</w:t>
            </w:r>
          </w:p>
        </w:tc>
        <w:tc>
          <w:tcPr>
            <w:tcW w:w="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5980" w:type="dxa"/>
            <w:vAlign w:val="bottom"/>
          </w:tcPr>
          <w:p>
            <w:pPr>
              <w:ind w:left="340"/>
              <w:spacing w:after="0"/>
              <w:rPr>
                <w:sz w:val="20"/>
                <w:szCs w:val="20"/>
                <w:color w:val="auto"/>
              </w:rPr>
            </w:pPr>
            <w:r>
              <w:rPr>
                <w:rFonts w:ascii="Arial" w:cs="Arial" w:eastAsia="Arial" w:hAnsi="Arial"/>
                <w:sz w:val="18"/>
                <w:szCs w:val="18"/>
                <w:color w:val="auto"/>
              </w:rPr>
              <w:t>Balances at end of period</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11,315</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(5,798)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(1,721)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3,796</w:t>
            </w:r>
          </w:p>
        </w:tc>
      </w:tr>
      <w:tr>
        <w:trPr>
          <w:trHeight w:val="20"/>
        </w:trPr>
        <w:tc>
          <w:tcPr>
            <w:tcW w:w="59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For the six months ended June 30, 2021</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Balances at beginning of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15,822</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(5,798)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10,024</w:t>
            </w:r>
          </w:p>
        </w:tc>
      </w:tr>
      <w:tr>
        <w:trPr>
          <w:trHeight w:val="216"/>
        </w:trPr>
        <w:tc>
          <w:tcPr>
            <w:tcW w:w="5980" w:type="dxa"/>
            <w:vAlign w:val="bottom"/>
          </w:tcPr>
          <w:p>
            <w:pPr>
              <w:ind w:left="340"/>
              <w:spacing w:after="0"/>
              <w:rPr>
                <w:sz w:val="20"/>
                <w:szCs w:val="20"/>
                <w:color w:val="auto"/>
              </w:rPr>
            </w:pPr>
            <w:r>
              <w:rPr>
                <w:rFonts w:ascii="Arial" w:cs="Arial" w:eastAsia="Arial" w:hAnsi="Arial"/>
                <w:sz w:val="18"/>
                <w:szCs w:val="18"/>
                <w:color w:val="auto"/>
              </w:rPr>
              <w:t>Other comprehensive loss before reclassifications</w:t>
            </w:r>
          </w:p>
        </w:tc>
        <w:tc>
          <w:tcPr>
            <w:tcW w:w="12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(2,727)</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(2,727)</w:t>
            </w:r>
          </w:p>
        </w:tc>
      </w:tr>
      <w:tr>
        <w:trPr>
          <w:trHeight w:val="216"/>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Amounts reclassified from AOCIL</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1,119</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1,119</w:t>
            </w:r>
          </w:p>
        </w:tc>
      </w:tr>
      <w:tr>
        <w:trPr>
          <w:trHeight w:val="27"/>
        </w:trPr>
        <w:tc>
          <w:tcPr>
            <w:tcW w:w="59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5980" w:type="dxa"/>
            <w:vAlign w:val="bottom"/>
          </w:tcPr>
          <w:p>
            <w:pPr>
              <w:ind w:left="500"/>
              <w:spacing w:after="0"/>
              <w:rPr>
                <w:sz w:val="20"/>
                <w:szCs w:val="20"/>
                <w:color w:val="auto"/>
              </w:rPr>
            </w:pPr>
            <w:r>
              <w:rPr>
                <w:rFonts w:ascii="Arial" w:cs="Arial" w:eastAsia="Arial" w:hAnsi="Arial"/>
                <w:sz w:val="18"/>
                <w:szCs w:val="18"/>
                <w:color w:val="auto"/>
              </w:rPr>
              <w:t>Net current period other comprehensive loss</w:t>
            </w:r>
          </w:p>
        </w:tc>
        <w:tc>
          <w:tcPr>
            <w:tcW w:w="12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(1,608)</w:t>
            </w: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(1,608)</w:t>
            </w:r>
          </w:p>
        </w:tc>
      </w:tr>
      <w:tr>
        <w:trPr>
          <w:trHeight w:val="257"/>
        </w:trPr>
        <w:tc>
          <w:tcPr>
            <w:tcW w:w="59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Balances at end of period</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14,214</w:t>
            </w:r>
          </w:p>
        </w:tc>
        <w:tc>
          <w:tcPr>
            <w:tcW w:w="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(5,798)</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8,416</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2020</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Balances at beginning of period</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3,739</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(5,798)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(1,727)</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(3,786)</w:t>
            </w:r>
          </w:p>
        </w:tc>
      </w:tr>
      <w:tr>
        <w:trPr>
          <w:trHeight w:val="216"/>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comprehensive income (loss) before reclassifications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7,776</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7,517</w:t>
            </w:r>
          </w:p>
        </w:tc>
      </w:tr>
      <w:tr>
        <w:trPr>
          <w:trHeight w:val="223"/>
        </w:trPr>
        <w:tc>
          <w:tcPr>
            <w:tcW w:w="5980" w:type="dxa"/>
            <w:vAlign w:val="bottom"/>
          </w:tcPr>
          <w:p>
            <w:pPr>
              <w:ind w:left="340"/>
              <w:spacing w:after="0"/>
              <w:rPr>
                <w:sz w:val="20"/>
                <w:szCs w:val="20"/>
                <w:color w:val="auto"/>
              </w:rPr>
            </w:pPr>
            <w:r>
              <w:rPr>
                <w:rFonts w:ascii="Arial" w:cs="Arial" w:eastAsia="Arial" w:hAnsi="Arial"/>
                <w:sz w:val="18"/>
                <w:szCs w:val="18"/>
                <w:color w:val="auto"/>
              </w:rPr>
              <w:t>Amounts reclassified from AOCIL</w:t>
            </w:r>
          </w:p>
        </w:tc>
        <w:tc>
          <w:tcPr>
            <w:tcW w:w="12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265</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65</w:t>
            </w:r>
          </w:p>
        </w:tc>
      </w:tr>
      <w:tr>
        <w:trPr>
          <w:trHeight w:val="223"/>
        </w:trPr>
        <w:tc>
          <w:tcPr>
            <w:tcW w:w="5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current period other comprehensive income</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7,576</w:t>
            </w:r>
          </w:p>
        </w:tc>
        <w:tc>
          <w:tcPr>
            <w:tcW w:w="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5980" w:type="dxa"/>
            <w:vAlign w:val="bottom"/>
          </w:tcPr>
          <w:p>
            <w:pPr>
              <w:ind w:left="340"/>
              <w:spacing w:after="0"/>
              <w:rPr>
                <w:sz w:val="20"/>
                <w:szCs w:val="20"/>
                <w:color w:val="auto"/>
              </w:rPr>
            </w:pPr>
            <w:r>
              <w:rPr>
                <w:rFonts w:ascii="Arial" w:cs="Arial" w:eastAsia="Arial" w:hAnsi="Arial"/>
                <w:sz w:val="18"/>
                <w:szCs w:val="18"/>
                <w:color w:val="auto"/>
              </w:rPr>
              <w:t>Balances at end of period</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11,315</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(5,798)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(1,721)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3,796</w:t>
            </w:r>
          </w:p>
        </w:tc>
      </w:tr>
      <w:tr>
        <w:trPr>
          <w:trHeight w:val="20"/>
        </w:trPr>
        <w:tc>
          <w:tcPr>
            <w:tcW w:w="59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disproportionate tax effects from securities available for sale arose due to tax effects of other comprehensive income (“OCI”) in the presence of a valuation allowance against our deferred tax assets and a pretax loss from operations. Generally, the amount of income tax expense or benefit allocated to operations is determined without regard to the tax effects of other categories of income or loss, such as OCI. However, an exception to the general rule is provided when, in the presence of a valuation allowance against deferred tax assets, there is a pretax loss from operations and pretax income from other categories in the current period. In such instances, income from other categories must offset the current loss from operations, the tax benefit of such offset being reflected in operations. Release of material disproportionate tax effects from other comprehensive income to earnings is done by the portfolio method whereby the effects will remain in AOCIL as long as we carry a more than inconsequential portfolio of securities available for sale.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2" w:name="page63"/>
    <w:bookmarkEnd w:id="6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 summary of reclassifications out of each component of AOCIL for the three months ended June 30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color w:val="auto"/>
                <w:w w:val="96"/>
              </w:rPr>
              <w:t>Amount</w:t>
            </w:r>
          </w:p>
        </w:tc>
        <w:tc>
          <w:tcPr>
            <w:tcW w:w="4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Reclassified</w:t>
            </w:r>
          </w:p>
        </w:tc>
        <w:tc>
          <w:tcPr>
            <w:tcW w:w="4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From</w:t>
            </w:r>
          </w:p>
        </w:tc>
        <w:tc>
          <w:tcPr>
            <w:tcW w:w="4940" w:type="dxa"/>
            <w:vAlign w:val="bottom"/>
          </w:tcPr>
          <w:p>
            <w:pPr>
              <w:ind w:left="1280"/>
              <w:spacing w:after="0"/>
              <w:rPr>
                <w:sz w:val="20"/>
                <w:szCs w:val="20"/>
                <w:color w:val="auto"/>
              </w:rPr>
            </w:pPr>
            <w:r>
              <w:rPr>
                <w:rFonts w:ascii="Arial" w:cs="Arial" w:eastAsia="Arial" w:hAnsi="Arial"/>
                <w:sz w:val="18"/>
                <w:szCs w:val="18"/>
                <w:color w:val="auto"/>
              </w:rPr>
              <w:t>Affected Line Item in Condensed</w:t>
            </w:r>
          </w:p>
        </w:tc>
        <w:tc>
          <w:tcPr>
            <w:tcW w:w="0" w:type="dxa"/>
            <w:vAlign w:val="bottom"/>
          </w:tcPr>
          <w:p>
            <w:pPr>
              <w:spacing w:after="0"/>
              <w:rPr>
                <w:sz w:val="1"/>
                <w:szCs w:val="1"/>
                <w:color w:val="auto"/>
              </w:rPr>
            </w:pPr>
          </w:p>
        </w:tc>
      </w:tr>
      <w:tr>
        <w:trPr>
          <w:trHeight w:val="237"/>
        </w:trPr>
        <w:tc>
          <w:tcPr>
            <w:tcW w:w="5180" w:type="dxa"/>
            <w:vAlign w:val="bottom"/>
            <w:gridSpan w:val="3"/>
          </w:tcPr>
          <w:p>
            <w:pPr>
              <w:spacing w:after="0"/>
              <w:rPr>
                <w:sz w:val="20"/>
                <w:szCs w:val="20"/>
                <w:color w:val="auto"/>
              </w:rPr>
            </w:pPr>
            <w:r>
              <w:rPr>
                <w:rFonts w:ascii="Arial" w:cs="Arial" w:eastAsia="Arial" w:hAnsi="Arial"/>
                <w:sz w:val="18"/>
                <w:szCs w:val="18"/>
                <w:color w:val="auto"/>
              </w:rPr>
              <w:t>AOCIL Component</w:t>
            </w: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color w:val="auto"/>
              </w:rPr>
              <w:t>AOCIL</w:t>
            </w:r>
          </w:p>
        </w:tc>
        <w:tc>
          <w:tcPr>
            <w:tcW w:w="4940" w:type="dxa"/>
            <w:vAlign w:val="bottom"/>
          </w:tcPr>
          <w:p>
            <w:pPr>
              <w:ind w:left="1080"/>
              <w:spacing w:after="0"/>
              <w:rPr>
                <w:sz w:val="20"/>
                <w:szCs w:val="20"/>
                <w:color w:val="auto"/>
              </w:rPr>
            </w:pPr>
            <w:r>
              <w:rPr>
                <w:rFonts w:ascii="Arial" w:cs="Arial" w:eastAsia="Arial" w:hAnsi="Arial"/>
                <w:sz w:val="18"/>
                <w:szCs w:val="18"/>
                <w:color w:val="auto"/>
              </w:rPr>
              <w:t>Consolidated Statements of Operations</w:t>
            </w:r>
          </w:p>
        </w:tc>
        <w:tc>
          <w:tcPr>
            <w:tcW w:w="0" w:type="dxa"/>
            <w:vAlign w:val="bottom"/>
          </w:tcPr>
          <w:p>
            <w:pPr>
              <w:spacing w:after="0"/>
              <w:rPr>
                <w:sz w:val="1"/>
                <w:szCs w:val="1"/>
                <w:color w:val="auto"/>
              </w:rPr>
            </w:pPr>
          </w:p>
        </w:tc>
      </w:tr>
      <w:tr>
        <w:trPr>
          <w:trHeight w:val="230"/>
        </w:trPr>
        <w:tc>
          <w:tcPr>
            <w:tcW w:w="4960" w:type="dxa"/>
            <w:vAlign w:val="bottom"/>
            <w:tcBorders>
              <w:top w:val="single" w:sz="8" w:color="auto"/>
            </w:tcBorders>
            <w:vMerge w:val="restart"/>
          </w:tcPr>
          <w:p>
            <w:pPr>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20"/>
                <w:szCs w:val="20"/>
                <w:color w:val="auto"/>
              </w:rPr>
            </w:pPr>
          </w:p>
        </w:tc>
        <w:tc>
          <w:tcPr>
            <w:tcW w:w="112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0"/>
              </w:rPr>
              <w:t>(In thousands)</w:t>
            </w:r>
          </w:p>
        </w:tc>
        <w:tc>
          <w:tcPr>
            <w:tcW w:w="100" w:type="dxa"/>
            <w:vAlign w:val="bottom"/>
          </w:tcPr>
          <w:p>
            <w:pPr>
              <w:spacing w:after="0"/>
              <w:rPr>
                <w:sz w:val="20"/>
                <w:szCs w:val="20"/>
                <w:color w:val="auto"/>
              </w:rPr>
            </w:pPr>
          </w:p>
        </w:tc>
        <w:tc>
          <w:tcPr>
            <w:tcW w:w="49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49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180" w:type="dxa"/>
            <w:vAlign w:val="bottom"/>
            <w:gridSpan w:val="3"/>
          </w:tcPr>
          <w:p>
            <w:pPr>
              <w:ind w:left="180"/>
              <w:spacing w:after="0"/>
              <w:rPr>
                <w:sz w:val="20"/>
                <w:szCs w:val="20"/>
                <w:color w:val="auto"/>
              </w:rPr>
            </w:pPr>
            <w:r>
              <w:rPr>
                <w:rFonts w:ascii="Arial" w:cs="Arial" w:eastAsia="Arial" w:hAnsi="Arial"/>
                <w:sz w:val="18"/>
                <w:szCs w:val="18"/>
                <w:color w:val="auto"/>
              </w:rPr>
              <w:t>Unrealized gains on securities available for sale</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gains on securities available for sale</w:t>
            </w:r>
          </w:p>
        </w:tc>
        <w:tc>
          <w:tcPr>
            <w:tcW w:w="0" w:type="dxa"/>
            <w:vAlign w:val="bottom"/>
          </w:tcPr>
          <w:p>
            <w:pPr>
              <w:spacing w:after="0"/>
              <w:rPr>
                <w:sz w:val="1"/>
                <w:szCs w:val="1"/>
                <w:color w:val="auto"/>
              </w:rPr>
            </w:pPr>
          </w:p>
        </w:tc>
      </w:tr>
      <w:tr>
        <w:trPr>
          <w:trHeight w:val="223"/>
        </w:trPr>
        <w:tc>
          <w:tcPr>
            <w:tcW w:w="4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494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0" w:type="dxa"/>
            <w:vAlign w:val="bottom"/>
          </w:tcPr>
          <w:p>
            <w:pPr>
              <w:spacing w:after="0"/>
              <w:rPr>
                <w:sz w:val="1"/>
                <w:szCs w:val="1"/>
                <w:color w:val="auto"/>
              </w:rPr>
            </w:pPr>
          </w:p>
        </w:tc>
      </w:tr>
      <w:tr>
        <w:trPr>
          <w:trHeight w:val="257"/>
        </w:trPr>
        <w:tc>
          <w:tcPr>
            <w:tcW w:w="5080" w:type="dxa"/>
            <w:vAlign w:val="bottom"/>
            <w:tcBorders>
              <w:bottom w:val="single" w:sz="8" w:color="CCEEFF"/>
            </w:tcBorders>
            <w:gridSpan w:val="2"/>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Reclassifications, net of tax</w:t>
            </w:r>
          </w:p>
        </w:tc>
        <w:tc>
          <w:tcPr>
            <w:tcW w:w="0" w:type="dxa"/>
            <w:vAlign w:val="bottom"/>
          </w:tcPr>
          <w:p>
            <w:pPr>
              <w:spacing w:after="0"/>
              <w:rPr>
                <w:sz w:val="1"/>
                <w:szCs w:val="1"/>
                <w:color w:val="auto"/>
              </w:rPr>
            </w:pPr>
          </w:p>
        </w:tc>
      </w:tr>
      <w:tr>
        <w:trPr>
          <w:trHeight w:val="209"/>
        </w:trPr>
        <w:tc>
          <w:tcPr>
            <w:tcW w:w="4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gridSpan w:val="3"/>
          </w:tcPr>
          <w:p>
            <w:pPr>
              <w:ind w:left="180"/>
              <w:spacing w:after="0"/>
              <w:rPr>
                <w:sz w:val="20"/>
                <w:szCs w:val="20"/>
                <w:color w:val="auto"/>
              </w:rPr>
            </w:pPr>
            <w:r>
              <w:rPr>
                <w:rFonts w:ascii="Arial" w:cs="Arial" w:eastAsia="Arial" w:hAnsi="Arial"/>
                <w:sz w:val="18"/>
                <w:szCs w:val="18"/>
                <w:color w:val="auto"/>
              </w:rPr>
              <w:t>Unrealized gains on securities available for sale</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gains on securities available for sale</w:t>
            </w:r>
          </w:p>
        </w:tc>
        <w:tc>
          <w:tcPr>
            <w:tcW w:w="0" w:type="dxa"/>
            <w:vAlign w:val="bottom"/>
          </w:tcPr>
          <w:p>
            <w:pPr>
              <w:spacing w:after="0"/>
              <w:rPr>
                <w:sz w:val="1"/>
                <w:szCs w:val="1"/>
                <w:color w:val="auto"/>
              </w:rPr>
            </w:pPr>
          </w:p>
        </w:tc>
      </w:tr>
      <w:tr>
        <w:trPr>
          <w:trHeight w:val="223"/>
        </w:trPr>
        <w:tc>
          <w:tcPr>
            <w:tcW w:w="4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4940" w:type="dxa"/>
            <w:vAlign w:val="bottom"/>
          </w:tcPr>
          <w:p>
            <w:pPr>
              <w:ind w:left="40"/>
              <w:spacing w:after="0"/>
              <w:rPr>
                <w:sz w:val="20"/>
                <w:szCs w:val="20"/>
                <w:color w:val="auto"/>
              </w:rPr>
            </w:pPr>
            <w:r>
              <w:rPr>
                <w:rFonts w:ascii="Arial" w:cs="Arial" w:eastAsia="Arial" w:hAnsi="Arial"/>
                <w:sz w:val="18"/>
                <w:szCs w:val="18"/>
                <w:color w:val="auto"/>
              </w:rPr>
              <w:t>Net impairment loss recognized in earnings</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reclassifications before tax</w:t>
            </w:r>
          </w:p>
        </w:tc>
        <w:tc>
          <w:tcPr>
            <w:tcW w:w="0" w:type="dxa"/>
            <w:vAlign w:val="bottom"/>
          </w:tcPr>
          <w:p>
            <w:pPr>
              <w:spacing w:after="0"/>
              <w:rPr>
                <w:sz w:val="1"/>
                <w:szCs w:val="1"/>
                <w:color w:val="auto"/>
              </w:rPr>
            </w:pPr>
          </w:p>
        </w:tc>
      </w:tr>
      <w:tr>
        <w:trPr>
          <w:trHeight w:val="223"/>
        </w:trPr>
        <w:tc>
          <w:tcPr>
            <w:tcW w:w="4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494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0" w:type="dxa"/>
            <w:vAlign w:val="bottom"/>
          </w:tcPr>
          <w:p>
            <w:pPr>
              <w:spacing w:after="0"/>
              <w:rPr>
                <w:sz w:val="1"/>
                <w:szCs w:val="1"/>
                <w:color w:val="auto"/>
              </w:rPr>
            </w:pPr>
          </w:p>
        </w:tc>
      </w:tr>
      <w:tr>
        <w:trPr>
          <w:trHeight w:val="257"/>
        </w:trPr>
        <w:tc>
          <w:tcPr>
            <w:tcW w:w="5080" w:type="dxa"/>
            <w:vAlign w:val="bottom"/>
            <w:tcBorders>
              <w:bottom w:val="single" w:sz="8" w:color="CCEEFF"/>
            </w:tcBorders>
            <w:gridSpan w:val="2"/>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Reclassifications, net of tax</w:t>
            </w:r>
          </w:p>
        </w:tc>
        <w:tc>
          <w:tcPr>
            <w:tcW w:w="0" w:type="dxa"/>
            <w:vAlign w:val="bottom"/>
          </w:tcPr>
          <w:p>
            <w:pPr>
              <w:spacing w:after="0"/>
              <w:rPr>
                <w:sz w:val="1"/>
                <w:szCs w:val="1"/>
                <w:color w:val="auto"/>
              </w:rPr>
            </w:pPr>
          </w:p>
        </w:tc>
      </w:tr>
      <w:tr>
        <w:trPr>
          <w:trHeight w:val="209"/>
        </w:trPr>
        <w:tc>
          <w:tcPr>
            <w:tcW w:w="5180" w:type="dxa"/>
            <w:vAlign w:val="bottom"/>
            <w:gridSpan w:val="3"/>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Unrealized losses on cash flow hedges</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261</w:t>
            </w:r>
          </w:p>
        </w:tc>
        <w:tc>
          <w:tcPr>
            <w:tcW w:w="494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0" w:type="dxa"/>
            <w:vAlign w:val="bottom"/>
          </w:tcPr>
          <w:p>
            <w:pPr>
              <w:spacing w:after="0"/>
              <w:rPr>
                <w:sz w:val="1"/>
                <w:szCs w:val="1"/>
                <w:color w:val="auto"/>
              </w:rPr>
            </w:pPr>
          </w:p>
        </w:tc>
      </w:tr>
      <w:tr>
        <w:trPr>
          <w:trHeight w:val="223"/>
        </w:trPr>
        <w:tc>
          <w:tcPr>
            <w:tcW w:w="49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w:t>
            </w:r>
          </w:p>
        </w:tc>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0" w:type="dxa"/>
            <w:vAlign w:val="bottom"/>
          </w:tcPr>
          <w:p>
            <w:pPr>
              <w:spacing w:after="0"/>
              <w:rPr>
                <w:sz w:val="1"/>
                <w:szCs w:val="1"/>
                <w:color w:val="auto"/>
              </w:rPr>
            </w:pPr>
          </w:p>
        </w:tc>
      </w:tr>
      <w:tr>
        <w:trPr>
          <w:trHeight w:val="216"/>
        </w:trPr>
        <w:tc>
          <w:tcPr>
            <w:tcW w:w="5080" w:type="dxa"/>
            <w:vAlign w:val="bottom"/>
            <w:gridSpan w:val="2"/>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206</w:t>
            </w:r>
          </w:p>
        </w:tc>
        <w:tc>
          <w:tcPr>
            <w:tcW w:w="4940" w:type="dxa"/>
            <w:vAlign w:val="bottom"/>
          </w:tcPr>
          <w:p>
            <w:pPr>
              <w:ind w:left="40"/>
              <w:spacing w:after="0"/>
              <w:rPr>
                <w:sz w:val="20"/>
                <w:szCs w:val="20"/>
                <w:color w:val="auto"/>
              </w:rPr>
            </w:pPr>
            <w:r>
              <w:rPr>
                <w:rFonts w:ascii="Arial" w:cs="Arial" w:eastAsia="Arial" w:hAnsi="Arial"/>
                <w:sz w:val="18"/>
                <w:szCs w:val="18"/>
                <w:color w:val="auto"/>
              </w:rPr>
              <w:t>Reclassification, net of tax</w:t>
            </w:r>
          </w:p>
        </w:tc>
        <w:tc>
          <w:tcPr>
            <w:tcW w:w="0" w:type="dxa"/>
            <w:vAlign w:val="bottom"/>
          </w:tcPr>
          <w:p>
            <w:pPr>
              <w:spacing w:after="0"/>
              <w:rPr>
                <w:sz w:val="1"/>
                <w:szCs w:val="1"/>
                <w:color w:val="auto"/>
              </w:rPr>
            </w:pPr>
          </w:p>
        </w:tc>
      </w:tr>
      <w:tr>
        <w:trPr>
          <w:trHeight w:val="20"/>
        </w:trPr>
        <w:tc>
          <w:tcPr>
            <w:tcW w:w="508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5180" w:type="dxa"/>
            <w:vAlign w:val="bottom"/>
            <w:gridSpan w:val="3"/>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4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(206)</w:t>
            </w:r>
          </w:p>
        </w:tc>
        <w:tc>
          <w:tcPr>
            <w:tcW w:w="4940" w:type="dxa"/>
            <w:vAlign w:val="bottom"/>
          </w:tcPr>
          <w:p>
            <w:pPr>
              <w:ind w:left="40"/>
              <w:spacing w:after="0"/>
              <w:rPr>
                <w:sz w:val="20"/>
                <w:szCs w:val="20"/>
                <w:color w:val="auto"/>
              </w:rPr>
            </w:pPr>
            <w:r>
              <w:rPr>
                <w:rFonts w:ascii="Arial" w:cs="Arial" w:eastAsia="Arial" w:hAnsi="Arial"/>
                <w:sz w:val="18"/>
                <w:szCs w:val="18"/>
                <w:color w:val="auto"/>
              </w:rPr>
              <w:t>Total reclassifications for the period, net of tax</w:t>
            </w:r>
          </w:p>
        </w:tc>
        <w:tc>
          <w:tcPr>
            <w:tcW w:w="0" w:type="dxa"/>
            <w:vAlign w:val="bottom"/>
          </w:tcPr>
          <w:p>
            <w:pPr>
              <w:spacing w:after="0"/>
              <w:rPr>
                <w:sz w:val="1"/>
                <w:szCs w:val="1"/>
                <w:color w:val="auto"/>
              </w:rPr>
            </w:pPr>
          </w:p>
        </w:tc>
      </w:tr>
      <w:tr>
        <w:trPr>
          <w:trHeight w:val="21"/>
        </w:trPr>
        <w:tc>
          <w:tcPr>
            <w:tcW w:w="4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41"/>
        </w:trPr>
        <w:tc>
          <w:tcPr>
            <w:tcW w:w="4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jc w:val="center"/>
              <w:ind w:right="30"/>
              <w:spacing w:after="0"/>
              <w:rPr>
                <w:sz w:val="20"/>
                <w:szCs w:val="20"/>
                <w:color w:val="auto"/>
              </w:rPr>
            </w:pPr>
            <w:r>
              <w:rPr>
                <w:rFonts w:ascii="Arial" w:cs="Arial" w:eastAsia="Arial" w:hAnsi="Arial"/>
                <w:sz w:val="18"/>
                <w:szCs w:val="18"/>
                <w:color w:val="auto"/>
                <w:w w:val="89"/>
              </w:rPr>
              <w:t>62</w:t>
            </w:r>
          </w:p>
        </w:tc>
        <w:tc>
          <w:tcPr>
            <w:tcW w:w="10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49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2" w:right="339" w:bottom="1440" w:gutter="0" w:footer="0" w:header="0"/>
        </w:sectPr>
      </w:pPr>
    </w:p>
    <w:bookmarkStart w:id="63" w:name="page64"/>
    <w:bookmarkEnd w:id="6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 summary of reclassifications out of each component of AOCIL for the six months ended June 30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6"/>
              </w:rPr>
              <w:t>Amount</w:t>
            </w:r>
          </w:p>
        </w:tc>
        <w:tc>
          <w:tcPr>
            <w:tcW w:w="10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Reclassified</w:t>
            </w:r>
          </w:p>
        </w:tc>
        <w:tc>
          <w:tcPr>
            <w:tcW w:w="10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5"/>
              </w:rPr>
              <w:t>From</w:t>
            </w:r>
          </w:p>
        </w:tc>
        <w:tc>
          <w:tcPr>
            <w:tcW w:w="100" w:type="dxa"/>
            <w:vAlign w:val="bottom"/>
          </w:tcPr>
          <w:p>
            <w:pPr>
              <w:spacing w:after="0"/>
              <w:rPr>
                <w:sz w:val="18"/>
                <w:szCs w:val="18"/>
                <w:color w:val="auto"/>
              </w:rPr>
            </w:pPr>
          </w:p>
        </w:tc>
        <w:tc>
          <w:tcPr>
            <w:tcW w:w="4940" w:type="dxa"/>
            <w:vAlign w:val="bottom"/>
          </w:tcPr>
          <w:p>
            <w:pPr>
              <w:jc w:val="center"/>
              <w:spacing w:after="0"/>
              <w:rPr>
                <w:sz w:val="20"/>
                <w:szCs w:val="20"/>
                <w:color w:val="auto"/>
              </w:rPr>
            </w:pPr>
            <w:r>
              <w:rPr>
                <w:rFonts w:ascii="Arial" w:cs="Arial" w:eastAsia="Arial" w:hAnsi="Arial"/>
                <w:sz w:val="18"/>
                <w:szCs w:val="18"/>
                <w:color w:val="auto"/>
                <w:w w:val="91"/>
              </w:rPr>
              <w:t>Affected Line Item in Condensed</w:t>
            </w:r>
          </w:p>
        </w:tc>
        <w:tc>
          <w:tcPr>
            <w:tcW w:w="0" w:type="dxa"/>
            <w:vAlign w:val="bottom"/>
          </w:tcPr>
          <w:p>
            <w:pPr>
              <w:spacing w:after="0"/>
              <w:rPr>
                <w:sz w:val="1"/>
                <w:szCs w:val="1"/>
                <w:color w:val="auto"/>
              </w:rPr>
            </w:pPr>
          </w:p>
        </w:tc>
      </w:tr>
      <w:tr>
        <w:trPr>
          <w:trHeight w:val="237"/>
        </w:trPr>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AOCIL Component</w:t>
            </w:r>
          </w:p>
        </w:tc>
        <w:tc>
          <w:tcPr>
            <w:tcW w:w="12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AOCIL</w:t>
            </w:r>
          </w:p>
        </w:tc>
        <w:tc>
          <w:tcPr>
            <w:tcW w:w="100" w:type="dxa"/>
            <w:vAlign w:val="bottom"/>
          </w:tcPr>
          <w:p>
            <w:pPr>
              <w:spacing w:after="0"/>
              <w:rPr>
                <w:sz w:val="20"/>
                <w:szCs w:val="20"/>
                <w:color w:val="auto"/>
              </w:rPr>
            </w:pPr>
          </w:p>
        </w:tc>
        <w:tc>
          <w:tcPr>
            <w:tcW w:w="4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Consolidated Statements of Operations</w:t>
            </w:r>
          </w:p>
        </w:tc>
        <w:tc>
          <w:tcPr>
            <w:tcW w:w="0" w:type="dxa"/>
            <w:vAlign w:val="bottom"/>
          </w:tcPr>
          <w:p>
            <w:pPr>
              <w:spacing w:after="0"/>
              <w:rPr>
                <w:sz w:val="1"/>
                <w:szCs w:val="1"/>
                <w:color w:val="auto"/>
              </w:rPr>
            </w:pPr>
          </w:p>
        </w:tc>
      </w:tr>
      <w:tr>
        <w:trPr>
          <w:trHeight w:val="230"/>
        </w:trPr>
        <w:tc>
          <w:tcPr>
            <w:tcW w:w="4960" w:type="dxa"/>
            <w:vAlign w:val="bottom"/>
            <w:vMerge w:val="restart"/>
          </w:tcPr>
          <w:p>
            <w:pPr>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(In thousands)</w:t>
            </w:r>
          </w:p>
        </w:tc>
        <w:tc>
          <w:tcPr>
            <w:tcW w:w="10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49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960" w:type="dxa"/>
            <w:vAlign w:val="bottom"/>
          </w:tcPr>
          <w:p>
            <w:pPr>
              <w:ind w:left="180"/>
              <w:spacing w:after="0"/>
              <w:rPr>
                <w:sz w:val="20"/>
                <w:szCs w:val="20"/>
                <w:color w:val="auto"/>
              </w:rPr>
            </w:pPr>
            <w:r>
              <w:rPr>
                <w:rFonts w:ascii="Arial" w:cs="Arial" w:eastAsia="Arial" w:hAnsi="Arial"/>
                <w:sz w:val="18"/>
                <w:szCs w:val="18"/>
                <w:color w:val="auto"/>
              </w:rPr>
              <w:t>Unrealized gains on securities available for sale</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371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5780" w:hanging="696"/>
        <w:spacing w:after="0"/>
        <w:tabs>
          <w:tab w:leader="none" w:pos="57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1,416  Net gains on securities available for sale</w:t>
      </w:r>
    </w:p>
    <w:p>
      <w:pPr>
        <w:spacing w:after="0" w:line="9" w:lineRule="exact"/>
        <w:rPr>
          <w:rFonts w:ascii="Arial" w:cs="Arial" w:eastAsia="Arial" w:hAnsi="Arial"/>
          <w:sz w:val="18"/>
          <w:szCs w:val="18"/>
          <w:color w:val="auto"/>
        </w:rPr>
      </w:pPr>
    </w:p>
    <w:p>
      <w:pPr>
        <w:ind w:left="5920"/>
        <w:spacing w:after="0"/>
        <w:rPr>
          <w:rFonts w:ascii="Arial" w:cs="Arial" w:eastAsia="Arial" w:hAnsi="Arial"/>
          <w:sz w:val="18"/>
          <w:szCs w:val="18"/>
          <w:color w:val="auto"/>
        </w:rPr>
      </w:pPr>
      <w:r>
        <w:rPr>
          <w:rFonts w:ascii="Arial" w:cs="Arial" w:eastAsia="Arial" w:hAnsi="Arial"/>
          <w:sz w:val="18"/>
          <w:szCs w:val="18"/>
          <w:color w:val="auto"/>
        </w:rPr>
        <w:t>297  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5715</wp:posOffset>
            </wp:positionV>
            <wp:extent cx="77152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71525" cy="17145"/>
                    </a:xfrm>
                    <a:prstGeom prst="rect">
                      <a:avLst/>
                    </a:prstGeom>
                    <a:noFill/>
                  </pic:spPr>
                </pic:pic>
              </a:graphicData>
            </a:graphic>
          </wp:anchor>
        </w:drawing>
      </w:r>
    </w:p>
    <w:p>
      <w:pPr>
        <w:spacing w:after="0" w:line="2" w:lineRule="exact"/>
        <w:rPr>
          <w:sz w:val="20"/>
          <w:szCs w:val="20"/>
          <w:color w:val="auto"/>
        </w:rPr>
      </w:pPr>
    </w:p>
    <w:p>
      <w:pPr>
        <w:ind w:left="5800" w:hanging="716"/>
        <w:spacing w:after="0"/>
        <w:tabs>
          <w:tab w:leader="none" w:pos="5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1,119  Reclassifications,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714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Unrealized gains on securities available for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5920" w:hanging="836"/>
        <w:spacing w:after="0"/>
        <w:tabs>
          <w:tab w:leader="none" w:pos="59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253  Net gains on securities available for sale</w:t>
      </w:r>
    </w:p>
    <w:p>
      <w:pPr>
        <w:spacing w:after="0" w:line="9" w:lineRule="exact"/>
        <w:rPr>
          <w:rFonts w:ascii="Arial" w:cs="Arial" w:eastAsia="Arial" w:hAnsi="Arial"/>
          <w:sz w:val="18"/>
          <w:szCs w:val="18"/>
          <w:color w:val="auto"/>
        </w:rPr>
      </w:pPr>
    </w:p>
    <w:p>
      <w:pPr>
        <w:ind w:left="6340" w:hanging="209"/>
        <w:spacing w:after="0"/>
        <w:tabs>
          <w:tab w:leader="none" w:pos="6340" w:val="left"/>
        </w:tabs>
        <w:numPr>
          <w:ilvl w:val="1"/>
          <w:numId w:val="39"/>
        </w:numPr>
        <w:rPr>
          <w:rFonts w:ascii="Arial" w:cs="Arial" w:eastAsia="Arial" w:hAnsi="Arial"/>
          <w:sz w:val="18"/>
          <w:szCs w:val="18"/>
          <w:color w:val="auto"/>
        </w:rPr>
      </w:pPr>
      <w:r>
        <w:rPr>
          <w:rFonts w:ascii="Arial" w:cs="Arial" w:eastAsia="Arial" w:hAnsi="Arial"/>
          <w:sz w:val="18"/>
          <w:szCs w:val="18"/>
          <w:color w:val="auto"/>
        </w:rPr>
        <w:t>Net impairment loss recognized in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5715</wp:posOffset>
            </wp:positionV>
            <wp:extent cx="77152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71525" cy="17145"/>
                    </a:xfrm>
                    <a:prstGeom prst="rect">
                      <a:avLst/>
                    </a:prstGeom>
                    <a:noFill/>
                  </pic:spPr>
                </pic:pic>
              </a:graphicData>
            </a:graphic>
          </wp:anchor>
        </w:drawing>
      </w:r>
    </w:p>
    <w:p>
      <w:pPr>
        <w:spacing w:after="0" w:line="2" w:lineRule="exact"/>
        <w:rPr>
          <w:sz w:val="20"/>
          <w:szCs w:val="20"/>
          <w:color w:val="auto"/>
        </w:rPr>
      </w:pPr>
    </w:p>
    <w:p>
      <w:pPr>
        <w:ind w:left="5920"/>
        <w:spacing w:after="0"/>
        <w:tabs>
          <w:tab w:leader="none" w:pos="6320" w:val="left"/>
        </w:tabs>
        <w:rPr>
          <w:sz w:val="20"/>
          <w:szCs w:val="20"/>
          <w:color w:val="auto"/>
        </w:rPr>
      </w:pPr>
      <w:r>
        <w:rPr>
          <w:rFonts w:ascii="Arial" w:cs="Arial" w:eastAsia="Arial" w:hAnsi="Arial"/>
          <w:sz w:val="18"/>
          <w:szCs w:val="18"/>
          <w:color w:val="auto"/>
        </w:rPr>
        <w:t>253</w:t>
      </w:r>
      <w:r>
        <w:rPr>
          <w:sz w:val="20"/>
          <w:szCs w:val="20"/>
          <w:color w:val="auto"/>
        </w:rPr>
        <w:tab/>
      </w:r>
      <w:r>
        <w:rPr>
          <w:rFonts w:ascii="Arial" w:cs="Arial" w:eastAsia="Arial" w:hAnsi="Arial"/>
          <w:sz w:val="16"/>
          <w:szCs w:val="16"/>
          <w:color w:val="auto"/>
        </w:rPr>
        <w:t>Total reclassifications before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ind w:left="6020"/>
        <w:spacing w:after="0"/>
        <w:tabs>
          <w:tab w:leader="none" w:pos="632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6"/>
          <w:szCs w:val="16"/>
          <w:color w:val="auto"/>
        </w:rPr>
        <w:t>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5715</wp:posOffset>
            </wp:positionV>
            <wp:extent cx="77152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71525" cy="17145"/>
                    </a:xfrm>
                    <a:prstGeom prst="rect">
                      <a:avLst/>
                    </a:prstGeom>
                    <a:noFill/>
                  </pic:spPr>
                </pic:pic>
              </a:graphicData>
            </a:graphic>
          </wp:anchor>
        </w:drawing>
      </w:r>
    </w:p>
    <w:p>
      <w:pPr>
        <w:spacing w:after="0" w:line="2" w:lineRule="exact"/>
        <w:rPr>
          <w:sz w:val="20"/>
          <w:szCs w:val="20"/>
          <w:color w:val="auto"/>
        </w:rPr>
      </w:pPr>
    </w:p>
    <w:p>
      <w:pPr>
        <w:ind w:left="5920" w:hanging="836"/>
        <w:spacing w:after="0"/>
        <w:tabs>
          <w:tab w:leader="none" w:pos="59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200  Reclassifications,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714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5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Unrealized losses on cash flow hedges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ind w:left="5920" w:hanging="836"/>
        <w:spacing w:after="0"/>
        <w:tabs>
          <w:tab w:leader="none" w:pos="59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336  Interest expense</w:t>
      </w:r>
    </w:p>
    <w:p>
      <w:pPr>
        <w:spacing w:after="0" w:line="9" w:lineRule="exact"/>
        <w:rPr>
          <w:rFonts w:ascii="Arial" w:cs="Arial" w:eastAsia="Arial" w:hAnsi="Arial"/>
          <w:sz w:val="18"/>
          <w:szCs w:val="18"/>
          <w:color w:val="auto"/>
        </w:rPr>
      </w:pPr>
    </w:p>
    <w:p>
      <w:pPr>
        <w:ind w:left="6020"/>
        <w:spacing w:after="0"/>
        <w:rPr>
          <w:rFonts w:ascii="Arial" w:cs="Arial" w:eastAsia="Arial" w:hAnsi="Arial"/>
          <w:sz w:val="18"/>
          <w:szCs w:val="18"/>
          <w:color w:val="auto"/>
        </w:rPr>
      </w:pPr>
      <w:r>
        <w:rPr>
          <w:rFonts w:ascii="Arial" w:cs="Arial" w:eastAsia="Arial" w:hAnsi="Arial"/>
          <w:sz w:val="18"/>
          <w:szCs w:val="18"/>
          <w:color w:val="auto"/>
        </w:rPr>
        <w:t>71  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1543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 w:lineRule="exact"/>
        <w:rPr>
          <w:sz w:val="20"/>
          <w:szCs w:val="20"/>
          <w:color w:val="auto"/>
        </w:rPr>
      </w:pPr>
    </w:p>
    <w:p>
      <w:pPr>
        <w:ind w:left="5920" w:hanging="836"/>
        <w:spacing w:after="0"/>
        <w:tabs>
          <w:tab w:leader="none" w:pos="59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265  Reclassification,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14605</wp:posOffset>
            </wp:positionV>
            <wp:extent cx="77152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7152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460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59" w:lineRule="exact"/>
        <w:rPr>
          <w:sz w:val="20"/>
          <w:szCs w:val="20"/>
          <w:color w:val="auto"/>
        </w:rPr>
      </w:pPr>
    </w:p>
    <w:p>
      <w:pPr>
        <w:ind w:left="5080"/>
        <w:spacing w:after="0"/>
        <w:tabs>
          <w:tab w:leader="none" w:pos="59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(65) Total reclassifications for the period,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14605</wp:posOffset>
            </wp:positionV>
            <wp:extent cx="77152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71525" cy="8890"/>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40640</wp:posOffset>
            </wp:positionV>
            <wp:extent cx="77152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86" w:lineRule="exact"/>
        <w:rPr>
          <w:sz w:val="20"/>
          <w:szCs w:val="20"/>
          <w:color w:val="auto"/>
        </w:rPr>
      </w:pPr>
    </w:p>
    <w:p>
      <w:pPr>
        <w:ind w:left="340" w:hanging="332"/>
        <w:spacing w:after="0"/>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Revenue from Contracts with Customers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account for revenue in accordance with ASC Topic 606, Revenue from Contracts with Customers. We derive the majority of our revenue from financial instruments and their related contractual rights and obligations which for the most part are excluded from the scope of this topic. These sources of revenue that are excluded from the scope of this topic include interest income, net gains on mortgage loans, net gains on securities available for sale, mortgage loan servicing, net and bank owned life insurance and were approximately 86.6% and 87.7% of total revenues for the six month periods ending June 30, 2021 and 2020, respectively.</w:t>
      </w:r>
    </w:p>
    <w:p>
      <w:pPr>
        <w:spacing w:after="0" w:line="21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Material sources of revenue that are included in the scope of this topic include service charges on deposit accounts, other deposit related income, interchange income and investment and insurance commissions and are discussed in the following paragraphs. Generally these sources of revenue are earned at the time the service is delivered or over the course of a monthly period and do not result in any contract asset or liability balance at any given period end. As a result, there were no contract assets or liabilities recorded as of June 30, 2021 and December 31, 2020.</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4" w:name="page65"/>
    <w:bookmarkEnd w:id="6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7"/>
          <w:szCs w:val="17"/>
          <w:u w:val="single" w:color="auto"/>
          <w:color w:val="auto"/>
        </w:rPr>
        <w:t>Service charges on deposit accounts and other deposit related income</w:t>
      </w:r>
      <w:r>
        <w:rPr>
          <w:rFonts w:ascii="Arial" w:cs="Arial" w:eastAsia="Arial" w:hAnsi="Arial"/>
          <w:sz w:val="17"/>
          <w:szCs w:val="17"/>
          <w:b w:val="1"/>
          <w:bCs w:val="1"/>
          <w:u w:val="single" w:color="auto"/>
          <w:color w:val="auto"/>
        </w:rPr>
        <w:t>:</w:t>
      </w:r>
      <w:r>
        <w:rPr>
          <w:rFonts w:ascii="Arial" w:cs="Arial" w:eastAsia="Arial" w:hAnsi="Arial"/>
          <w:sz w:val="17"/>
          <w:szCs w:val="17"/>
          <w:color w:val="auto"/>
        </w:rPr>
        <w:t xml:space="preserve"> Revenues are earned on depository accounts for commercial and retail customers and include fees for transaction-based, account maintenance and overdraft services. Transaction-based fees, which includes services such as ATM use fees, stop payment charges and ACH fees are recognized at the time the transaction is executed as that is the time we fulfill our customer’s request. Account maintenance fees, which includes monthly maintenance services are earned over the course of a month representing the period over which the performance obligation is satisfied. Our obligation for overdraft services is satisfied at the time of the overdraft.</w:t>
      </w:r>
    </w:p>
    <w:p>
      <w:pPr>
        <w:spacing w:after="0" w:line="19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u w:val="single" w:color="auto"/>
          <w:color w:val="auto"/>
        </w:rPr>
        <w:t>Interchange income:</w:t>
      </w:r>
      <w:r>
        <w:rPr>
          <w:rFonts w:ascii="Arial" w:cs="Arial" w:eastAsia="Arial" w:hAnsi="Arial"/>
          <w:sz w:val="18"/>
          <w:szCs w:val="18"/>
          <w:color w:val="auto"/>
        </w:rPr>
        <w:t xml:space="preserve"> Interchange income primarily includes debit card interchange and network revenues. Debit card interchange and network revenues are earned on debit card transactions conducted through payment networks such as MasterCard, NYCE and Accel. Interchange income is recognized concurrently with the delivery of services on a daily basis. Interchange and network revenues are presented gross of interchange expenses, which are presented separately as a component of non-interest expense.</w:t>
      </w:r>
    </w:p>
    <w:p>
      <w:pPr>
        <w:spacing w:after="0" w:line="21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u w:val="single" w:color="auto"/>
          <w:color w:val="auto"/>
        </w:rPr>
        <w:t>Investment and insurance commissions:</w:t>
      </w:r>
      <w:r>
        <w:rPr>
          <w:rFonts w:ascii="Arial" w:cs="Arial" w:eastAsia="Arial" w:hAnsi="Arial"/>
          <w:sz w:val="16"/>
          <w:szCs w:val="16"/>
          <w:color w:val="auto"/>
        </w:rPr>
        <w:t xml:space="preserve"> Investment and insurance commissions include fees and commissions from asset management, custody, recordkeeping, investment advisory and other services provided to our customers. Revenue is recognized on an accrual basis at the time the services are performed and is generally based on either the market value of the assets managed or the services provided. We have an agent relationship with a third party provider of these services and net certain direct costs charged by the third party provider associated with providing these services to our customers.</w:t>
      </w:r>
    </w:p>
    <w:p>
      <w:pPr>
        <w:spacing w:after="0" w:line="18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u w:val="single" w:color="auto"/>
          <w:color w:val="auto"/>
        </w:rPr>
        <w:t>Net (gains) losses on other real estate and repossessed assets:</w:t>
      </w:r>
      <w:r>
        <w:rPr>
          <w:rFonts w:ascii="Arial" w:cs="Arial" w:eastAsia="Arial" w:hAnsi="Arial"/>
          <w:sz w:val="16"/>
          <w:szCs w:val="16"/>
          <w:color w:val="auto"/>
        </w:rPr>
        <w:t xml:space="preserve"> We record a gain or loss from the sale of other real estate when control of the property transfers to the buyer, which generally occurs at the time of an executed deed. If we were to finance the sale of other real estate to the buyer, we would assess whether the buyer is committed to perform their obligations under the contract and whether collectability of the transaction is probable. Once these criteria are met, the other real estate asset would be derecognized and the gain or loss on sale would be recorded upon the transfer of control of the property to the buyer. There were no other real estate properties sold during the six month periods ending June 30, 2021 and 2020 that were financed by us.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5" w:name="page66"/>
    <w:bookmarkEnd w:id="6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20" w:type="dxa"/>
            <w:vAlign w:val="bottom"/>
          </w:tcPr>
          <w:p>
            <w:pPr>
              <w:spacing w:after="0"/>
              <w:rPr>
                <w:sz w:val="20"/>
                <w:szCs w:val="20"/>
                <w:color w:val="auto"/>
              </w:rPr>
            </w:pPr>
            <w:r>
              <w:rPr>
                <w:rFonts w:ascii="Arial" w:cs="Arial" w:eastAsia="Arial" w:hAnsi="Arial"/>
                <w:sz w:val="18"/>
                <w:szCs w:val="18"/>
                <w:color w:val="auto"/>
                <w:w w:val="98"/>
              </w:rPr>
              <w:t>Disaggregation of our revenue sources by attribute follows:</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4620" w:type="dxa"/>
            <w:vAlign w:val="bottom"/>
          </w:tcPr>
          <w:p>
            <w:pPr>
              <w:spacing w:after="0"/>
              <w:rPr>
                <w:sz w:val="20"/>
                <w:szCs w:val="20"/>
                <w:color w:val="auto"/>
              </w:rPr>
            </w:pPr>
            <w:r>
              <w:rPr>
                <w:rFonts w:ascii="Arial" w:cs="Arial" w:eastAsia="Arial" w:hAnsi="Arial"/>
                <w:sz w:val="18"/>
                <w:szCs w:val="18"/>
                <w:color w:val="auto"/>
              </w:rPr>
              <w:t>Three months ending June 30, 2021</w:t>
            </w:r>
          </w:p>
        </w:tc>
        <w:tc>
          <w:tcPr>
            <w:tcW w:w="140" w:type="dxa"/>
            <w:vAlign w:val="bottom"/>
          </w:tcPr>
          <w:p>
            <w:pPr>
              <w:spacing w:after="0"/>
              <w:rPr>
                <w:sz w:val="24"/>
                <w:szCs w:val="24"/>
                <w:color w:val="auto"/>
              </w:rPr>
            </w:pPr>
          </w:p>
        </w:tc>
        <w:tc>
          <w:tcPr>
            <w:tcW w:w="1240" w:type="dxa"/>
            <w:vAlign w:val="bottom"/>
            <w:gridSpan w:val="2"/>
            <w:vMerge w:val="restart"/>
          </w:tcPr>
          <w:p>
            <w:pPr>
              <w:jc w:val="center"/>
              <w:ind w:right="380"/>
              <w:spacing w:after="0"/>
              <w:rPr>
                <w:sz w:val="20"/>
                <w:szCs w:val="20"/>
                <w:color w:val="auto"/>
              </w:rPr>
            </w:pPr>
            <w:r>
              <w:rPr>
                <w:rFonts w:ascii="Arial" w:cs="Arial" w:eastAsia="Arial" w:hAnsi="Arial"/>
                <w:sz w:val="18"/>
                <w:szCs w:val="18"/>
                <w:color w:val="auto"/>
                <w:w w:val="89"/>
              </w:rPr>
              <w:t>Service</w:t>
            </w:r>
          </w:p>
        </w:tc>
        <w:tc>
          <w:tcPr>
            <w:tcW w:w="200" w:type="dxa"/>
            <w:vAlign w:val="bottom"/>
          </w:tcPr>
          <w:p>
            <w:pPr>
              <w:spacing w:after="0"/>
              <w:rPr>
                <w:sz w:val="24"/>
                <w:szCs w:val="24"/>
                <w:color w:val="auto"/>
              </w:rPr>
            </w:pPr>
          </w:p>
        </w:tc>
        <w:tc>
          <w:tcPr>
            <w:tcW w:w="1040" w:type="dxa"/>
            <w:vAlign w:val="bottom"/>
            <w:gridSpan w:val="2"/>
            <w:vMerge w:val="restart"/>
          </w:tcPr>
          <w:p>
            <w:pPr>
              <w:jc w:val="center"/>
              <w:ind w:right="300"/>
              <w:spacing w:after="0"/>
              <w:rPr>
                <w:sz w:val="20"/>
                <w:szCs w:val="20"/>
                <w:color w:val="auto"/>
              </w:rPr>
            </w:pPr>
            <w:r>
              <w:rPr>
                <w:rFonts w:ascii="Arial" w:cs="Arial" w:eastAsia="Arial" w:hAnsi="Arial"/>
                <w:sz w:val="18"/>
                <w:szCs w:val="18"/>
                <w:color w:val="auto"/>
                <w:w w:val="93"/>
              </w:rPr>
              <w:t>Other</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vMerge w:val="restart"/>
          </w:tcPr>
          <w:p>
            <w:pPr>
              <w:jc w:val="center"/>
              <w:ind w:right="320"/>
              <w:spacing w:after="0"/>
              <w:rPr>
                <w:sz w:val="20"/>
                <w:szCs w:val="20"/>
                <w:color w:val="auto"/>
              </w:rPr>
            </w:pPr>
            <w:r>
              <w:rPr>
                <w:rFonts w:ascii="Arial" w:cs="Arial" w:eastAsia="Arial" w:hAnsi="Arial"/>
                <w:sz w:val="18"/>
                <w:szCs w:val="18"/>
                <w:color w:val="auto"/>
                <w:w w:val="90"/>
              </w:rPr>
              <w:t>Investment</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4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color w:val="auto"/>
                <w:w w:val="85"/>
              </w:rPr>
              <w:t>Charges</w:t>
            </w:r>
          </w:p>
        </w:tc>
        <w:tc>
          <w:tcPr>
            <w:tcW w:w="200" w:type="dxa"/>
            <w:vAlign w:val="bottom"/>
          </w:tcPr>
          <w:p>
            <w:pPr>
              <w:spacing w:after="0"/>
              <w:rPr>
                <w:sz w:val="18"/>
                <w:szCs w:val="18"/>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Deposit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color w:val="auto"/>
                <w:w w:val="86"/>
              </w:rPr>
              <w:t>and</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color w:val="auto"/>
                <w:w w:val="90"/>
              </w:rPr>
              <w:t>on Deposit</w:t>
            </w:r>
          </w:p>
        </w:tc>
        <w:tc>
          <w:tcPr>
            <w:tcW w:w="200" w:type="dxa"/>
            <w:vAlign w:val="bottom"/>
          </w:tcPr>
          <w:p>
            <w:pPr>
              <w:spacing w:after="0"/>
              <w:rPr>
                <w:sz w:val="18"/>
                <w:szCs w:val="18"/>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8"/>
                <w:szCs w:val="18"/>
                <w:color w:val="auto"/>
                <w:w w:val="86"/>
              </w:rPr>
              <w:t>Related</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w w:val="90"/>
              </w:rPr>
              <w:t>Interchange</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Insurance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Accounts</w:t>
            </w:r>
          </w:p>
        </w:tc>
        <w:tc>
          <w:tcPr>
            <w:tcW w:w="200" w:type="dxa"/>
            <w:vAlign w:val="bottom"/>
          </w:tcPr>
          <w:p>
            <w:pPr>
              <w:spacing w:after="0"/>
              <w:rPr>
                <w:sz w:val="20"/>
                <w:szCs w:val="20"/>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Income</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Income</w:t>
            </w:r>
          </w:p>
        </w:tc>
        <w:tc>
          <w:tcPr>
            <w:tcW w:w="1320" w:type="dxa"/>
            <w:vAlign w:val="bottom"/>
            <w:gridSpan w:val="3"/>
          </w:tcPr>
          <w:p>
            <w:pPr>
              <w:jc w:val="center"/>
              <w:ind w:right="220"/>
              <w:spacing w:after="0"/>
              <w:rPr>
                <w:sz w:val="20"/>
                <w:szCs w:val="20"/>
                <w:color w:val="auto"/>
              </w:rPr>
            </w:pPr>
            <w:r>
              <w:rPr>
                <w:rFonts w:ascii="Arial" w:cs="Arial" w:eastAsia="Arial" w:hAnsi="Arial"/>
                <w:sz w:val="18"/>
                <w:szCs w:val="18"/>
                <w:color w:val="auto"/>
                <w:w w:val="90"/>
              </w:rPr>
              <w:t>Commissions</w:t>
            </w:r>
          </w:p>
        </w:tc>
        <w:tc>
          <w:tcPr>
            <w:tcW w:w="240" w:type="dxa"/>
            <w:vAlign w:val="bottom"/>
          </w:tcPr>
          <w:p>
            <w:pPr>
              <w:spacing w:after="0"/>
              <w:rPr>
                <w:sz w:val="20"/>
                <w:szCs w:val="20"/>
                <w:color w:val="auto"/>
              </w:rPr>
            </w:pPr>
          </w:p>
        </w:tc>
        <w:tc>
          <w:tcPr>
            <w:tcW w:w="980" w:type="dxa"/>
            <w:vAlign w:val="bottom"/>
            <w:gridSpan w:val="2"/>
          </w:tcPr>
          <w:p>
            <w:pPr>
              <w:ind w:left="14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30"/>
        </w:trPr>
        <w:tc>
          <w:tcPr>
            <w:tcW w:w="4620" w:type="dxa"/>
            <w:vAlign w:val="bottom"/>
            <w:vMerge w:val="restart"/>
          </w:tcPr>
          <w:p>
            <w:pPr>
              <w:spacing w:after="0"/>
              <w:rPr>
                <w:sz w:val="20"/>
                <w:szCs w:val="20"/>
                <w:color w:val="auto"/>
              </w:rPr>
            </w:pPr>
            <w:r>
              <w:rPr>
                <w:rFonts w:ascii="Arial" w:cs="Arial" w:eastAsia="Arial" w:hAnsi="Arial"/>
                <w:sz w:val="18"/>
                <w:szCs w:val="18"/>
                <w:color w:val="auto"/>
              </w:rPr>
              <w:t>Retail</w:t>
            </w: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3"/>
              </w:rPr>
              <w:t>(In thousands)</w:t>
            </w:r>
          </w:p>
        </w:tc>
        <w:tc>
          <w:tcPr>
            <w:tcW w:w="2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6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Overdraft fees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1,835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40"/>
              <w:spacing w:after="0"/>
              <w:rPr>
                <w:sz w:val="20"/>
                <w:szCs w:val="20"/>
                <w:color w:val="auto"/>
              </w:rPr>
            </w:pPr>
            <w:r>
              <w:rPr>
                <w:rFonts w:ascii="Arial" w:cs="Arial" w:eastAsia="Arial" w:hAnsi="Arial"/>
                <w:sz w:val="18"/>
                <w:szCs w:val="18"/>
                <w:color w:val="auto"/>
              </w:rPr>
              <w:t>Account service charges</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331</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ATM fees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16"/>
        </w:trPr>
        <w:tc>
          <w:tcPr>
            <w:tcW w:w="4620" w:type="dxa"/>
            <w:vAlign w:val="bottom"/>
          </w:tcPr>
          <w:p>
            <w:pPr>
              <w:ind w:left="14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175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Business</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40"/>
              <w:spacing w:after="0"/>
              <w:rPr>
                <w:sz w:val="20"/>
                <w:szCs w:val="20"/>
                <w:color w:val="auto"/>
              </w:rPr>
            </w:pPr>
            <w:r>
              <w:rPr>
                <w:rFonts w:ascii="Arial" w:cs="Arial" w:eastAsia="Arial" w:hAnsi="Arial"/>
                <w:sz w:val="18"/>
                <w:szCs w:val="18"/>
                <w:color w:val="auto"/>
              </w:rPr>
              <w:t>Overdraft fees</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152</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ATM fees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4620" w:type="dxa"/>
            <w:vAlign w:val="bottom"/>
          </w:tcPr>
          <w:p>
            <w:pPr>
              <w:ind w:left="14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Interchange income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3,453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Asset management revenue</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401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Transaction based revenue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23"/>
        </w:trPr>
        <w:tc>
          <w:tcPr>
            <w:tcW w:w="4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spacing w:after="0"/>
              <w:rPr>
                <w:sz w:val="19"/>
                <w:szCs w:val="19"/>
                <w:color w:val="auto"/>
              </w:rPr>
            </w:pPr>
          </w:p>
        </w:tc>
        <w:tc>
          <w:tcPr>
            <w:tcW w:w="240" w:type="dxa"/>
            <w:vAlign w:val="bottom"/>
            <w:gridSpan w:val="2"/>
          </w:tcPr>
          <w:p>
            <w:pPr>
              <w:spacing w:after="0"/>
              <w:rPr>
                <w:sz w:val="19"/>
                <w:szCs w:val="19"/>
                <w:color w:val="auto"/>
              </w:rPr>
            </w:pPr>
          </w:p>
        </w:tc>
        <w:tc>
          <w:tcPr>
            <w:tcW w:w="1220" w:type="dxa"/>
            <w:vAlign w:val="bottom"/>
            <w:gridSpan w:val="2"/>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6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2,318</w:t>
            </w:r>
          </w:p>
        </w:tc>
        <w:tc>
          <w:tcPr>
            <w:tcW w:w="2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3,453</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6,867</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6000" w:type="dxa"/>
            <w:vAlign w:val="bottom"/>
            <w:gridSpan w:val="4"/>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Reconciliation to Condensed Consolidated Statement of Operations:</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40"/>
              <w:spacing w:after="0"/>
              <w:rPr>
                <w:sz w:val="20"/>
                <w:szCs w:val="20"/>
                <w:color w:val="auto"/>
              </w:rPr>
            </w:pPr>
            <w:r>
              <w:rPr>
                <w:rFonts w:ascii="Arial" w:cs="Arial" w:eastAsia="Arial" w:hAnsi="Arial"/>
                <w:sz w:val="18"/>
                <w:szCs w:val="18"/>
                <w:color w:val="auto"/>
              </w:rPr>
              <w:t>Non-interest income - other:</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deposit related income</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16"/>
        </w:trPr>
        <w:tc>
          <w:tcPr>
            <w:tcW w:w="4620" w:type="dxa"/>
            <w:vAlign w:val="bottom"/>
          </w:tcPr>
          <w:p>
            <w:pPr>
              <w:ind w:left="340"/>
              <w:spacing w:after="0"/>
              <w:rPr>
                <w:sz w:val="20"/>
                <w:szCs w:val="20"/>
                <w:color w:val="auto"/>
              </w:rPr>
            </w:pPr>
            <w:r>
              <w:rPr>
                <w:rFonts w:ascii="Arial" w:cs="Arial" w:eastAsia="Arial" w:hAnsi="Arial"/>
                <w:sz w:val="18"/>
                <w:szCs w:val="18"/>
                <w:color w:val="auto"/>
              </w:rPr>
              <w:t>Investment and insurance commissions</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634</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Bank owned life insurance</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23"/>
        </w:trPr>
        <w:tc>
          <w:tcPr>
            <w:tcW w:w="4620" w:type="dxa"/>
            <w:vAlign w:val="bottom"/>
          </w:tcPr>
          <w:p>
            <w:pPr>
              <w:ind w:left="34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648</w:t>
            </w:r>
          </w:p>
        </w:tc>
        <w:tc>
          <w:tcPr>
            <w:tcW w:w="0" w:type="dxa"/>
            <w:vAlign w:val="bottom"/>
          </w:tcPr>
          <w:p>
            <w:pPr>
              <w:spacing w:after="0"/>
              <w:rPr>
                <w:sz w:val="1"/>
                <w:szCs w:val="1"/>
                <w:color w:val="auto"/>
              </w:rPr>
            </w:pPr>
          </w:p>
        </w:tc>
      </w:tr>
      <w:tr>
        <w:trPr>
          <w:trHeight w:val="256"/>
        </w:trPr>
        <w:tc>
          <w:tcPr>
            <w:tcW w:w="46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1,871</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642"/>
        </w:trPr>
        <w:tc>
          <w:tcPr>
            <w:tcW w:w="4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65</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46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2" w:right="339" w:bottom="1440" w:gutter="0" w:footer="0" w:header="0"/>
        </w:sectPr>
      </w:pPr>
    </w:p>
    <w:bookmarkStart w:id="66" w:name="page67"/>
    <w:bookmarkEnd w:id="6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Three months ending June 30, 2020</w:t>
            </w:r>
          </w:p>
        </w:tc>
        <w:tc>
          <w:tcPr>
            <w:tcW w:w="140" w:type="dxa"/>
            <w:vAlign w:val="bottom"/>
          </w:tcPr>
          <w:p>
            <w:pPr>
              <w:spacing w:after="0"/>
              <w:rPr>
                <w:sz w:val="20"/>
                <w:szCs w:val="20"/>
                <w:color w:val="auto"/>
              </w:rPr>
            </w:pPr>
          </w:p>
        </w:tc>
        <w:tc>
          <w:tcPr>
            <w:tcW w:w="1240" w:type="dxa"/>
            <w:vAlign w:val="bottom"/>
            <w:gridSpan w:val="2"/>
            <w:vMerge w:val="restart"/>
          </w:tcPr>
          <w:p>
            <w:pPr>
              <w:jc w:val="center"/>
              <w:ind w:right="380"/>
              <w:spacing w:after="0"/>
              <w:rPr>
                <w:sz w:val="20"/>
                <w:szCs w:val="20"/>
                <w:color w:val="auto"/>
              </w:rPr>
            </w:pPr>
            <w:r>
              <w:rPr>
                <w:rFonts w:ascii="Arial" w:cs="Arial" w:eastAsia="Arial" w:hAnsi="Arial"/>
                <w:sz w:val="18"/>
                <w:szCs w:val="18"/>
                <w:color w:val="auto"/>
                <w:w w:val="89"/>
              </w:rPr>
              <w:t>Service</w:t>
            </w:r>
          </w:p>
        </w:tc>
        <w:tc>
          <w:tcPr>
            <w:tcW w:w="200" w:type="dxa"/>
            <w:vAlign w:val="bottom"/>
          </w:tcPr>
          <w:p>
            <w:pPr>
              <w:spacing w:after="0"/>
              <w:rPr>
                <w:sz w:val="20"/>
                <w:szCs w:val="20"/>
                <w:color w:val="auto"/>
              </w:rPr>
            </w:pPr>
          </w:p>
        </w:tc>
        <w:tc>
          <w:tcPr>
            <w:tcW w:w="1040" w:type="dxa"/>
            <w:vAlign w:val="bottom"/>
            <w:gridSpan w:val="2"/>
            <w:vMerge w:val="restart"/>
          </w:tcPr>
          <w:p>
            <w:pPr>
              <w:jc w:val="center"/>
              <w:ind w:right="300"/>
              <w:spacing w:after="0"/>
              <w:rPr>
                <w:sz w:val="20"/>
                <w:szCs w:val="20"/>
                <w:color w:val="auto"/>
              </w:rPr>
            </w:pPr>
            <w:r>
              <w:rPr>
                <w:rFonts w:ascii="Arial" w:cs="Arial" w:eastAsia="Arial" w:hAnsi="Arial"/>
                <w:sz w:val="18"/>
                <w:szCs w:val="18"/>
                <w:color w:val="auto"/>
                <w:w w:val="93"/>
              </w:rPr>
              <w:t>Other</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vMerge w:val="restart"/>
          </w:tcPr>
          <w:p>
            <w:pPr>
              <w:jc w:val="center"/>
              <w:ind w:right="320"/>
              <w:spacing w:after="0"/>
              <w:rPr>
                <w:sz w:val="20"/>
                <w:szCs w:val="20"/>
                <w:color w:val="auto"/>
              </w:rPr>
            </w:pPr>
            <w:r>
              <w:rPr>
                <w:rFonts w:ascii="Arial" w:cs="Arial" w:eastAsia="Arial" w:hAnsi="Arial"/>
                <w:sz w:val="18"/>
                <w:szCs w:val="18"/>
                <w:color w:val="auto"/>
                <w:w w:val="90"/>
              </w:rPr>
              <w:t>Investment</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color w:val="auto"/>
                <w:w w:val="85"/>
              </w:rPr>
              <w:t>Charges</w:t>
            </w:r>
          </w:p>
        </w:tc>
        <w:tc>
          <w:tcPr>
            <w:tcW w:w="200" w:type="dxa"/>
            <w:vAlign w:val="bottom"/>
          </w:tcPr>
          <w:p>
            <w:pPr>
              <w:spacing w:after="0"/>
              <w:rPr>
                <w:sz w:val="18"/>
                <w:szCs w:val="18"/>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Deposit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color w:val="auto"/>
                <w:w w:val="86"/>
              </w:rPr>
              <w:t>and</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color w:val="auto"/>
                <w:w w:val="90"/>
              </w:rPr>
              <w:t>on Deposit</w:t>
            </w:r>
          </w:p>
        </w:tc>
        <w:tc>
          <w:tcPr>
            <w:tcW w:w="200" w:type="dxa"/>
            <w:vAlign w:val="bottom"/>
          </w:tcPr>
          <w:p>
            <w:pPr>
              <w:spacing w:after="0"/>
              <w:rPr>
                <w:sz w:val="18"/>
                <w:szCs w:val="18"/>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8"/>
                <w:szCs w:val="18"/>
                <w:color w:val="auto"/>
                <w:w w:val="86"/>
              </w:rPr>
              <w:t>Related</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w w:val="90"/>
              </w:rPr>
              <w:t>Interchange</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Insurance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Accounts</w:t>
            </w:r>
          </w:p>
        </w:tc>
        <w:tc>
          <w:tcPr>
            <w:tcW w:w="200" w:type="dxa"/>
            <w:vAlign w:val="bottom"/>
          </w:tcPr>
          <w:p>
            <w:pPr>
              <w:spacing w:after="0"/>
              <w:rPr>
                <w:sz w:val="20"/>
                <w:szCs w:val="20"/>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Income</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Income</w:t>
            </w:r>
          </w:p>
        </w:tc>
        <w:tc>
          <w:tcPr>
            <w:tcW w:w="1320" w:type="dxa"/>
            <w:vAlign w:val="bottom"/>
            <w:gridSpan w:val="3"/>
          </w:tcPr>
          <w:p>
            <w:pPr>
              <w:jc w:val="center"/>
              <w:ind w:right="220"/>
              <w:spacing w:after="0"/>
              <w:rPr>
                <w:sz w:val="20"/>
                <w:szCs w:val="20"/>
                <w:color w:val="auto"/>
              </w:rPr>
            </w:pPr>
            <w:r>
              <w:rPr>
                <w:rFonts w:ascii="Arial" w:cs="Arial" w:eastAsia="Arial" w:hAnsi="Arial"/>
                <w:sz w:val="18"/>
                <w:szCs w:val="18"/>
                <w:color w:val="auto"/>
                <w:w w:val="90"/>
              </w:rPr>
              <w:t>Commissions</w:t>
            </w:r>
          </w:p>
        </w:tc>
        <w:tc>
          <w:tcPr>
            <w:tcW w:w="240" w:type="dxa"/>
            <w:vAlign w:val="bottom"/>
          </w:tcPr>
          <w:p>
            <w:pPr>
              <w:spacing w:after="0"/>
              <w:rPr>
                <w:sz w:val="20"/>
                <w:szCs w:val="20"/>
                <w:color w:val="auto"/>
              </w:rPr>
            </w:pPr>
          </w:p>
        </w:tc>
        <w:tc>
          <w:tcPr>
            <w:tcW w:w="980" w:type="dxa"/>
            <w:vAlign w:val="bottom"/>
            <w:gridSpan w:val="2"/>
          </w:tcPr>
          <w:p>
            <w:pPr>
              <w:ind w:left="14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30"/>
        </w:trPr>
        <w:tc>
          <w:tcPr>
            <w:tcW w:w="4620" w:type="dxa"/>
            <w:vAlign w:val="bottom"/>
            <w:vMerge w:val="restart"/>
          </w:tcPr>
          <w:p>
            <w:pPr>
              <w:spacing w:after="0"/>
              <w:rPr>
                <w:sz w:val="20"/>
                <w:szCs w:val="20"/>
                <w:color w:val="auto"/>
              </w:rPr>
            </w:pPr>
            <w:r>
              <w:rPr>
                <w:rFonts w:ascii="Arial" w:cs="Arial" w:eastAsia="Arial" w:hAnsi="Arial"/>
                <w:sz w:val="18"/>
                <w:szCs w:val="18"/>
                <w:color w:val="auto"/>
              </w:rPr>
              <w:t>Retail</w:t>
            </w: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3"/>
              </w:rPr>
              <w:t>(In thousands)</w:t>
            </w:r>
          </w:p>
        </w:tc>
        <w:tc>
          <w:tcPr>
            <w:tcW w:w="2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6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Overdraft fees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1,019</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40"/>
              <w:spacing w:after="0"/>
              <w:rPr>
                <w:sz w:val="20"/>
                <w:szCs w:val="20"/>
                <w:color w:val="auto"/>
              </w:rPr>
            </w:pPr>
            <w:r>
              <w:rPr>
                <w:rFonts w:ascii="Arial" w:cs="Arial" w:eastAsia="Arial" w:hAnsi="Arial"/>
                <w:sz w:val="18"/>
                <w:szCs w:val="18"/>
                <w:color w:val="auto"/>
              </w:rPr>
              <w:t>Account service charges</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451</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ATM fees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16"/>
        </w:trPr>
        <w:tc>
          <w:tcPr>
            <w:tcW w:w="4620" w:type="dxa"/>
            <w:vAlign w:val="bottom"/>
          </w:tcPr>
          <w:p>
            <w:pPr>
              <w:ind w:left="14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157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Business</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40"/>
              <w:spacing w:after="0"/>
              <w:rPr>
                <w:sz w:val="20"/>
                <w:szCs w:val="20"/>
                <w:color w:val="auto"/>
              </w:rPr>
            </w:pPr>
            <w:r>
              <w:rPr>
                <w:rFonts w:ascii="Arial" w:cs="Arial" w:eastAsia="Arial" w:hAnsi="Arial"/>
                <w:sz w:val="18"/>
                <w:szCs w:val="18"/>
                <w:color w:val="auto"/>
              </w:rPr>
              <w:t>Overdraft fees</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153</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ATM fees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Interchange income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2,526</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Asset management revenue</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289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Transaction based revenue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23"/>
        </w:trPr>
        <w:tc>
          <w:tcPr>
            <w:tcW w:w="4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spacing w:after="0"/>
              <w:rPr>
                <w:sz w:val="19"/>
                <w:szCs w:val="19"/>
                <w:color w:val="auto"/>
              </w:rPr>
            </w:pPr>
          </w:p>
        </w:tc>
        <w:tc>
          <w:tcPr>
            <w:tcW w:w="240" w:type="dxa"/>
            <w:vAlign w:val="bottom"/>
            <w:gridSpan w:val="2"/>
          </w:tcPr>
          <w:p>
            <w:pPr>
              <w:spacing w:after="0"/>
              <w:rPr>
                <w:sz w:val="19"/>
                <w:szCs w:val="19"/>
                <w:color w:val="auto"/>
              </w:rPr>
            </w:pPr>
          </w:p>
        </w:tc>
        <w:tc>
          <w:tcPr>
            <w:tcW w:w="1220" w:type="dxa"/>
            <w:vAlign w:val="bottom"/>
            <w:gridSpan w:val="2"/>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6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1,623</w:t>
            </w:r>
          </w:p>
        </w:tc>
        <w:tc>
          <w:tcPr>
            <w:tcW w:w="2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2,526</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5,094</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6000" w:type="dxa"/>
            <w:vAlign w:val="bottom"/>
            <w:gridSpan w:val="4"/>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Reconciliation to Condensed Consolidated Statement of Operations:</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40"/>
              <w:spacing w:after="0"/>
              <w:rPr>
                <w:sz w:val="20"/>
                <w:szCs w:val="20"/>
                <w:color w:val="auto"/>
              </w:rPr>
            </w:pPr>
            <w:r>
              <w:rPr>
                <w:rFonts w:ascii="Arial" w:cs="Arial" w:eastAsia="Arial" w:hAnsi="Arial"/>
                <w:sz w:val="18"/>
                <w:szCs w:val="18"/>
                <w:color w:val="auto"/>
              </w:rPr>
              <w:t>Non-interest income - other:</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deposit related income</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16"/>
        </w:trPr>
        <w:tc>
          <w:tcPr>
            <w:tcW w:w="4620" w:type="dxa"/>
            <w:vAlign w:val="bottom"/>
          </w:tcPr>
          <w:p>
            <w:pPr>
              <w:ind w:left="340"/>
              <w:spacing w:after="0"/>
              <w:rPr>
                <w:sz w:val="20"/>
                <w:szCs w:val="20"/>
                <w:color w:val="auto"/>
              </w:rPr>
            </w:pPr>
            <w:r>
              <w:rPr>
                <w:rFonts w:ascii="Arial" w:cs="Arial" w:eastAsia="Arial" w:hAnsi="Arial"/>
                <w:sz w:val="18"/>
                <w:szCs w:val="18"/>
                <w:color w:val="auto"/>
              </w:rPr>
              <w:t>Investment and insurance commissions</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Bank owned life insurance</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23"/>
        </w:trPr>
        <w:tc>
          <w:tcPr>
            <w:tcW w:w="4620" w:type="dxa"/>
            <w:vAlign w:val="bottom"/>
          </w:tcPr>
          <w:p>
            <w:pPr>
              <w:ind w:left="34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57"/>
        </w:trPr>
        <w:tc>
          <w:tcPr>
            <w:tcW w:w="462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1,598</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642"/>
        </w:trPr>
        <w:tc>
          <w:tcPr>
            <w:tcW w:w="4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66</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46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2" w:right="339" w:bottom="1440" w:gutter="0" w:footer="0" w:header="0"/>
        </w:sectPr>
      </w:pPr>
    </w:p>
    <w:bookmarkStart w:id="67" w:name="page68"/>
    <w:bookmarkEnd w:id="6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Six months ending June 30, 2021</w:t>
            </w:r>
          </w:p>
        </w:tc>
        <w:tc>
          <w:tcPr>
            <w:tcW w:w="140" w:type="dxa"/>
            <w:vAlign w:val="bottom"/>
          </w:tcPr>
          <w:p>
            <w:pPr>
              <w:spacing w:after="0"/>
              <w:rPr>
                <w:sz w:val="20"/>
                <w:szCs w:val="20"/>
                <w:color w:val="auto"/>
              </w:rPr>
            </w:pPr>
          </w:p>
        </w:tc>
        <w:tc>
          <w:tcPr>
            <w:tcW w:w="1240" w:type="dxa"/>
            <w:vAlign w:val="bottom"/>
            <w:gridSpan w:val="2"/>
            <w:vMerge w:val="restart"/>
          </w:tcPr>
          <w:p>
            <w:pPr>
              <w:jc w:val="center"/>
              <w:ind w:right="380"/>
              <w:spacing w:after="0"/>
              <w:rPr>
                <w:sz w:val="20"/>
                <w:szCs w:val="20"/>
                <w:color w:val="auto"/>
              </w:rPr>
            </w:pPr>
            <w:r>
              <w:rPr>
                <w:rFonts w:ascii="Arial" w:cs="Arial" w:eastAsia="Arial" w:hAnsi="Arial"/>
                <w:sz w:val="18"/>
                <w:szCs w:val="18"/>
                <w:color w:val="auto"/>
                <w:w w:val="89"/>
              </w:rPr>
              <w:t>Service</w:t>
            </w:r>
          </w:p>
        </w:tc>
        <w:tc>
          <w:tcPr>
            <w:tcW w:w="200" w:type="dxa"/>
            <w:vAlign w:val="bottom"/>
          </w:tcPr>
          <w:p>
            <w:pPr>
              <w:spacing w:after="0"/>
              <w:rPr>
                <w:sz w:val="20"/>
                <w:szCs w:val="20"/>
                <w:color w:val="auto"/>
              </w:rPr>
            </w:pPr>
          </w:p>
        </w:tc>
        <w:tc>
          <w:tcPr>
            <w:tcW w:w="1040" w:type="dxa"/>
            <w:vAlign w:val="bottom"/>
            <w:gridSpan w:val="2"/>
            <w:vMerge w:val="restart"/>
          </w:tcPr>
          <w:p>
            <w:pPr>
              <w:jc w:val="center"/>
              <w:ind w:right="300"/>
              <w:spacing w:after="0"/>
              <w:rPr>
                <w:sz w:val="20"/>
                <w:szCs w:val="20"/>
                <w:color w:val="auto"/>
              </w:rPr>
            </w:pPr>
            <w:r>
              <w:rPr>
                <w:rFonts w:ascii="Arial" w:cs="Arial" w:eastAsia="Arial" w:hAnsi="Arial"/>
                <w:sz w:val="18"/>
                <w:szCs w:val="18"/>
                <w:color w:val="auto"/>
                <w:w w:val="93"/>
              </w:rPr>
              <w:t>Other</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vMerge w:val="restart"/>
          </w:tcPr>
          <w:p>
            <w:pPr>
              <w:jc w:val="center"/>
              <w:ind w:right="320"/>
              <w:spacing w:after="0"/>
              <w:rPr>
                <w:sz w:val="20"/>
                <w:szCs w:val="20"/>
                <w:color w:val="auto"/>
              </w:rPr>
            </w:pPr>
            <w:r>
              <w:rPr>
                <w:rFonts w:ascii="Arial" w:cs="Arial" w:eastAsia="Arial" w:hAnsi="Arial"/>
                <w:sz w:val="18"/>
                <w:szCs w:val="18"/>
                <w:color w:val="auto"/>
                <w:w w:val="90"/>
              </w:rPr>
              <w:t>Investment</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color w:val="auto"/>
                <w:w w:val="85"/>
              </w:rPr>
              <w:t>Charges</w:t>
            </w:r>
          </w:p>
        </w:tc>
        <w:tc>
          <w:tcPr>
            <w:tcW w:w="200" w:type="dxa"/>
            <w:vAlign w:val="bottom"/>
          </w:tcPr>
          <w:p>
            <w:pPr>
              <w:spacing w:after="0"/>
              <w:rPr>
                <w:sz w:val="18"/>
                <w:szCs w:val="18"/>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Deposit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color w:val="auto"/>
                <w:w w:val="86"/>
              </w:rPr>
              <w:t>and</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color w:val="auto"/>
                <w:w w:val="90"/>
              </w:rPr>
              <w:t>on Deposit</w:t>
            </w:r>
          </w:p>
        </w:tc>
        <w:tc>
          <w:tcPr>
            <w:tcW w:w="200" w:type="dxa"/>
            <w:vAlign w:val="bottom"/>
          </w:tcPr>
          <w:p>
            <w:pPr>
              <w:spacing w:after="0"/>
              <w:rPr>
                <w:sz w:val="18"/>
                <w:szCs w:val="18"/>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8"/>
                <w:szCs w:val="18"/>
                <w:color w:val="auto"/>
                <w:w w:val="86"/>
              </w:rPr>
              <w:t>Related</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w w:val="90"/>
              </w:rPr>
              <w:t>Interchange</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Insurance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Accounts</w:t>
            </w:r>
          </w:p>
        </w:tc>
        <w:tc>
          <w:tcPr>
            <w:tcW w:w="200" w:type="dxa"/>
            <w:vAlign w:val="bottom"/>
          </w:tcPr>
          <w:p>
            <w:pPr>
              <w:spacing w:after="0"/>
              <w:rPr>
                <w:sz w:val="20"/>
                <w:szCs w:val="20"/>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Income</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Income</w:t>
            </w:r>
          </w:p>
        </w:tc>
        <w:tc>
          <w:tcPr>
            <w:tcW w:w="1320" w:type="dxa"/>
            <w:vAlign w:val="bottom"/>
            <w:gridSpan w:val="3"/>
          </w:tcPr>
          <w:p>
            <w:pPr>
              <w:jc w:val="center"/>
              <w:ind w:right="220"/>
              <w:spacing w:after="0"/>
              <w:rPr>
                <w:sz w:val="20"/>
                <w:szCs w:val="20"/>
                <w:color w:val="auto"/>
              </w:rPr>
            </w:pPr>
            <w:r>
              <w:rPr>
                <w:rFonts w:ascii="Arial" w:cs="Arial" w:eastAsia="Arial" w:hAnsi="Arial"/>
                <w:sz w:val="18"/>
                <w:szCs w:val="18"/>
                <w:color w:val="auto"/>
                <w:w w:val="90"/>
              </w:rPr>
              <w:t>Commissions</w:t>
            </w:r>
          </w:p>
        </w:tc>
        <w:tc>
          <w:tcPr>
            <w:tcW w:w="240" w:type="dxa"/>
            <w:vAlign w:val="bottom"/>
          </w:tcPr>
          <w:p>
            <w:pPr>
              <w:spacing w:after="0"/>
              <w:rPr>
                <w:sz w:val="20"/>
                <w:szCs w:val="20"/>
                <w:color w:val="auto"/>
              </w:rPr>
            </w:pPr>
          </w:p>
        </w:tc>
        <w:tc>
          <w:tcPr>
            <w:tcW w:w="980" w:type="dxa"/>
            <w:vAlign w:val="bottom"/>
            <w:gridSpan w:val="2"/>
          </w:tcPr>
          <w:p>
            <w:pPr>
              <w:ind w:left="14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30"/>
        </w:trPr>
        <w:tc>
          <w:tcPr>
            <w:tcW w:w="4620" w:type="dxa"/>
            <w:vAlign w:val="bottom"/>
            <w:vMerge w:val="restart"/>
          </w:tcPr>
          <w:p>
            <w:pPr>
              <w:spacing w:after="0"/>
              <w:rPr>
                <w:sz w:val="20"/>
                <w:szCs w:val="20"/>
                <w:color w:val="auto"/>
              </w:rPr>
            </w:pPr>
            <w:r>
              <w:rPr>
                <w:rFonts w:ascii="Arial" w:cs="Arial" w:eastAsia="Arial" w:hAnsi="Arial"/>
                <w:sz w:val="18"/>
                <w:szCs w:val="18"/>
                <w:color w:val="auto"/>
              </w:rPr>
              <w:t>Retail</w:t>
            </w: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3"/>
              </w:rPr>
              <w:t>(In thousands)</w:t>
            </w:r>
          </w:p>
        </w:tc>
        <w:tc>
          <w:tcPr>
            <w:tcW w:w="2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6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Overdraft fees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3,047</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40"/>
              <w:spacing w:after="0"/>
              <w:rPr>
                <w:sz w:val="20"/>
                <w:szCs w:val="20"/>
                <w:color w:val="auto"/>
              </w:rPr>
            </w:pPr>
            <w:r>
              <w:rPr>
                <w:rFonts w:ascii="Arial" w:cs="Arial" w:eastAsia="Arial" w:hAnsi="Arial"/>
                <w:sz w:val="18"/>
                <w:szCs w:val="18"/>
                <w:color w:val="auto"/>
              </w:rPr>
              <w:t>Account service charges</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843</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843</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ATM fees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16"/>
        </w:trPr>
        <w:tc>
          <w:tcPr>
            <w:tcW w:w="4620" w:type="dxa"/>
            <w:vAlign w:val="bottom"/>
          </w:tcPr>
          <w:p>
            <w:pPr>
              <w:ind w:left="14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373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Business</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40"/>
              <w:spacing w:after="0"/>
              <w:rPr>
                <w:sz w:val="20"/>
                <w:szCs w:val="20"/>
                <w:color w:val="auto"/>
              </w:rPr>
            </w:pPr>
            <w:r>
              <w:rPr>
                <w:rFonts w:ascii="Arial" w:cs="Arial" w:eastAsia="Arial" w:hAnsi="Arial"/>
                <w:sz w:val="18"/>
                <w:szCs w:val="18"/>
                <w:color w:val="auto"/>
              </w:rPr>
              <w:t>Overdraft fees</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344</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ATM fees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4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159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Interchange income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6,502</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Asset management revenue</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783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783</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Transaction based revenue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23"/>
        </w:trPr>
        <w:tc>
          <w:tcPr>
            <w:tcW w:w="4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spacing w:after="0"/>
              <w:rPr>
                <w:sz w:val="19"/>
                <w:szCs w:val="19"/>
                <w:color w:val="auto"/>
              </w:rPr>
            </w:pPr>
          </w:p>
        </w:tc>
        <w:tc>
          <w:tcPr>
            <w:tcW w:w="240" w:type="dxa"/>
            <w:vAlign w:val="bottom"/>
            <w:gridSpan w:val="2"/>
          </w:tcPr>
          <w:p>
            <w:pPr>
              <w:spacing w:after="0"/>
              <w:rPr>
                <w:sz w:val="19"/>
                <w:szCs w:val="19"/>
                <w:color w:val="auto"/>
              </w:rPr>
            </w:pPr>
          </w:p>
        </w:tc>
        <w:tc>
          <w:tcPr>
            <w:tcW w:w="1220" w:type="dxa"/>
            <w:vAlign w:val="bottom"/>
            <w:gridSpan w:val="2"/>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6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4,234</w:t>
            </w:r>
          </w:p>
        </w:tc>
        <w:tc>
          <w:tcPr>
            <w:tcW w:w="2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6,502</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1,217</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12,976</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6000" w:type="dxa"/>
            <w:vAlign w:val="bottom"/>
            <w:gridSpan w:val="4"/>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Reconciliation to Condensed Consolidated Statement of Operations:</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40"/>
              <w:spacing w:after="0"/>
              <w:rPr>
                <w:sz w:val="20"/>
                <w:szCs w:val="20"/>
                <w:color w:val="auto"/>
              </w:rPr>
            </w:pPr>
            <w:r>
              <w:rPr>
                <w:rFonts w:ascii="Arial" w:cs="Arial" w:eastAsia="Arial" w:hAnsi="Arial"/>
                <w:sz w:val="18"/>
                <w:szCs w:val="18"/>
                <w:color w:val="auto"/>
              </w:rPr>
              <w:t>Non-interest income - other:</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deposit related income</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340"/>
              <w:spacing w:after="0"/>
              <w:rPr>
                <w:sz w:val="20"/>
                <w:szCs w:val="20"/>
                <w:color w:val="auto"/>
              </w:rPr>
            </w:pPr>
            <w:r>
              <w:rPr>
                <w:rFonts w:ascii="Arial" w:cs="Arial" w:eastAsia="Arial" w:hAnsi="Arial"/>
                <w:sz w:val="18"/>
                <w:szCs w:val="18"/>
                <w:color w:val="auto"/>
              </w:rPr>
              <w:t>Investment and insurance commissions</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Bank owned life insurance</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23"/>
        </w:trPr>
        <w:tc>
          <w:tcPr>
            <w:tcW w:w="4620" w:type="dxa"/>
            <w:vAlign w:val="bottom"/>
          </w:tcPr>
          <w:p>
            <w:pPr>
              <w:ind w:left="34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6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3,901</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642"/>
        </w:trPr>
        <w:tc>
          <w:tcPr>
            <w:tcW w:w="4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67</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46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2" w:right="339" w:bottom="1440" w:gutter="0" w:footer="0" w:header="0"/>
        </w:sectPr>
      </w:pPr>
    </w:p>
    <w:bookmarkStart w:id="68" w:name="page69"/>
    <w:bookmarkEnd w:id="6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Six months ending June 30, 2020</w:t>
            </w:r>
          </w:p>
        </w:tc>
        <w:tc>
          <w:tcPr>
            <w:tcW w:w="140" w:type="dxa"/>
            <w:vAlign w:val="bottom"/>
          </w:tcPr>
          <w:p>
            <w:pPr>
              <w:spacing w:after="0"/>
              <w:rPr>
                <w:sz w:val="20"/>
                <w:szCs w:val="20"/>
                <w:color w:val="auto"/>
              </w:rPr>
            </w:pPr>
          </w:p>
        </w:tc>
        <w:tc>
          <w:tcPr>
            <w:tcW w:w="1240" w:type="dxa"/>
            <w:vAlign w:val="bottom"/>
            <w:gridSpan w:val="2"/>
            <w:vMerge w:val="restart"/>
          </w:tcPr>
          <w:p>
            <w:pPr>
              <w:jc w:val="center"/>
              <w:ind w:right="380"/>
              <w:spacing w:after="0"/>
              <w:rPr>
                <w:sz w:val="20"/>
                <w:szCs w:val="20"/>
                <w:color w:val="auto"/>
              </w:rPr>
            </w:pPr>
            <w:r>
              <w:rPr>
                <w:rFonts w:ascii="Arial" w:cs="Arial" w:eastAsia="Arial" w:hAnsi="Arial"/>
                <w:sz w:val="18"/>
                <w:szCs w:val="18"/>
                <w:color w:val="auto"/>
                <w:w w:val="89"/>
              </w:rPr>
              <w:t>Service</w:t>
            </w:r>
          </w:p>
        </w:tc>
        <w:tc>
          <w:tcPr>
            <w:tcW w:w="200" w:type="dxa"/>
            <w:vAlign w:val="bottom"/>
          </w:tcPr>
          <w:p>
            <w:pPr>
              <w:spacing w:after="0"/>
              <w:rPr>
                <w:sz w:val="20"/>
                <w:szCs w:val="20"/>
                <w:color w:val="auto"/>
              </w:rPr>
            </w:pPr>
          </w:p>
        </w:tc>
        <w:tc>
          <w:tcPr>
            <w:tcW w:w="1040" w:type="dxa"/>
            <w:vAlign w:val="bottom"/>
            <w:gridSpan w:val="2"/>
            <w:vMerge w:val="restart"/>
          </w:tcPr>
          <w:p>
            <w:pPr>
              <w:jc w:val="center"/>
              <w:ind w:right="300"/>
              <w:spacing w:after="0"/>
              <w:rPr>
                <w:sz w:val="20"/>
                <w:szCs w:val="20"/>
                <w:color w:val="auto"/>
              </w:rPr>
            </w:pPr>
            <w:r>
              <w:rPr>
                <w:rFonts w:ascii="Arial" w:cs="Arial" w:eastAsia="Arial" w:hAnsi="Arial"/>
                <w:sz w:val="18"/>
                <w:szCs w:val="18"/>
                <w:color w:val="auto"/>
                <w:w w:val="93"/>
              </w:rPr>
              <w:t>Other</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vMerge w:val="restart"/>
          </w:tcPr>
          <w:p>
            <w:pPr>
              <w:jc w:val="center"/>
              <w:ind w:right="320"/>
              <w:spacing w:after="0"/>
              <w:rPr>
                <w:sz w:val="20"/>
                <w:szCs w:val="20"/>
                <w:color w:val="auto"/>
              </w:rPr>
            </w:pPr>
            <w:r>
              <w:rPr>
                <w:rFonts w:ascii="Arial" w:cs="Arial" w:eastAsia="Arial" w:hAnsi="Arial"/>
                <w:sz w:val="18"/>
                <w:szCs w:val="18"/>
                <w:color w:val="auto"/>
                <w:w w:val="90"/>
              </w:rPr>
              <w:t>Investment</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color w:val="auto"/>
                <w:w w:val="85"/>
              </w:rPr>
              <w:t>Charges</w:t>
            </w:r>
          </w:p>
        </w:tc>
        <w:tc>
          <w:tcPr>
            <w:tcW w:w="200" w:type="dxa"/>
            <w:vAlign w:val="bottom"/>
          </w:tcPr>
          <w:p>
            <w:pPr>
              <w:spacing w:after="0"/>
              <w:rPr>
                <w:sz w:val="18"/>
                <w:szCs w:val="18"/>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Deposit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color w:val="auto"/>
                <w:w w:val="86"/>
              </w:rPr>
              <w:t>and</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color w:val="auto"/>
                <w:w w:val="90"/>
              </w:rPr>
              <w:t>on Deposit</w:t>
            </w:r>
          </w:p>
        </w:tc>
        <w:tc>
          <w:tcPr>
            <w:tcW w:w="200" w:type="dxa"/>
            <w:vAlign w:val="bottom"/>
          </w:tcPr>
          <w:p>
            <w:pPr>
              <w:spacing w:after="0"/>
              <w:rPr>
                <w:sz w:val="18"/>
                <w:szCs w:val="18"/>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8"/>
                <w:szCs w:val="18"/>
                <w:color w:val="auto"/>
                <w:w w:val="86"/>
              </w:rPr>
              <w:t>Related</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w w:val="90"/>
              </w:rPr>
              <w:t>Interchange</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Insurance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Accounts</w:t>
            </w:r>
          </w:p>
        </w:tc>
        <w:tc>
          <w:tcPr>
            <w:tcW w:w="200" w:type="dxa"/>
            <w:vAlign w:val="bottom"/>
          </w:tcPr>
          <w:p>
            <w:pPr>
              <w:spacing w:after="0"/>
              <w:rPr>
                <w:sz w:val="20"/>
                <w:szCs w:val="20"/>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Income</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Income</w:t>
            </w:r>
          </w:p>
        </w:tc>
        <w:tc>
          <w:tcPr>
            <w:tcW w:w="1320" w:type="dxa"/>
            <w:vAlign w:val="bottom"/>
            <w:gridSpan w:val="3"/>
          </w:tcPr>
          <w:p>
            <w:pPr>
              <w:jc w:val="center"/>
              <w:ind w:right="220"/>
              <w:spacing w:after="0"/>
              <w:rPr>
                <w:sz w:val="20"/>
                <w:szCs w:val="20"/>
                <w:color w:val="auto"/>
              </w:rPr>
            </w:pPr>
            <w:r>
              <w:rPr>
                <w:rFonts w:ascii="Arial" w:cs="Arial" w:eastAsia="Arial" w:hAnsi="Arial"/>
                <w:sz w:val="18"/>
                <w:szCs w:val="18"/>
                <w:color w:val="auto"/>
                <w:w w:val="90"/>
              </w:rPr>
              <w:t>Commissions</w:t>
            </w:r>
          </w:p>
        </w:tc>
        <w:tc>
          <w:tcPr>
            <w:tcW w:w="240" w:type="dxa"/>
            <w:vAlign w:val="bottom"/>
          </w:tcPr>
          <w:p>
            <w:pPr>
              <w:spacing w:after="0"/>
              <w:rPr>
                <w:sz w:val="20"/>
                <w:szCs w:val="20"/>
                <w:color w:val="auto"/>
              </w:rPr>
            </w:pPr>
          </w:p>
        </w:tc>
        <w:tc>
          <w:tcPr>
            <w:tcW w:w="980" w:type="dxa"/>
            <w:vAlign w:val="bottom"/>
            <w:gridSpan w:val="2"/>
          </w:tcPr>
          <w:p>
            <w:pPr>
              <w:ind w:left="14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30"/>
        </w:trPr>
        <w:tc>
          <w:tcPr>
            <w:tcW w:w="4620" w:type="dxa"/>
            <w:vAlign w:val="bottom"/>
            <w:vMerge w:val="restart"/>
          </w:tcPr>
          <w:p>
            <w:pPr>
              <w:spacing w:after="0"/>
              <w:rPr>
                <w:sz w:val="20"/>
                <w:szCs w:val="20"/>
                <w:color w:val="auto"/>
              </w:rPr>
            </w:pPr>
            <w:r>
              <w:rPr>
                <w:rFonts w:ascii="Arial" w:cs="Arial" w:eastAsia="Arial" w:hAnsi="Arial"/>
                <w:sz w:val="18"/>
                <w:szCs w:val="18"/>
                <w:color w:val="auto"/>
              </w:rPr>
              <w:t>Retail</w:t>
            </w: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3"/>
              </w:rPr>
              <w:t>(In thousands)</w:t>
            </w:r>
          </w:p>
        </w:tc>
        <w:tc>
          <w:tcPr>
            <w:tcW w:w="2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6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Overdraft fees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2,759</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40"/>
              <w:spacing w:after="0"/>
              <w:rPr>
                <w:sz w:val="20"/>
                <w:szCs w:val="20"/>
                <w:color w:val="auto"/>
              </w:rPr>
            </w:pPr>
            <w:r>
              <w:rPr>
                <w:rFonts w:ascii="Arial" w:cs="Arial" w:eastAsia="Arial" w:hAnsi="Arial"/>
                <w:sz w:val="18"/>
                <w:szCs w:val="18"/>
                <w:color w:val="auto"/>
              </w:rPr>
              <w:t>Account service charges</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957</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957</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ATM fees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576</w:t>
            </w:r>
          </w:p>
        </w:tc>
        <w:tc>
          <w:tcPr>
            <w:tcW w:w="0" w:type="dxa"/>
            <w:vAlign w:val="bottom"/>
          </w:tcPr>
          <w:p>
            <w:pPr>
              <w:spacing w:after="0"/>
              <w:rPr>
                <w:sz w:val="1"/>
                <w:szCs w:val="1"/>
                <w:color w:val="auto"/>
              </w:rPr>
            </w:pPr>
          </w:p>
        </w:tc>
      </w:tr>
      <w:tr>
        <w:trPr>
          <w:trHeight w:val="216"/>
        </w:trPr>
        <w:tc>
          <w:tcPr>
            <w:tcW w:w="4620" w:type="dxa"/>
            <w:vAlign w:val="bottom"/>
          </w:tcPr>
          <w:p>
            <w:pPr>
              <w:ind w:left="14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393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Business</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40"/>
              <w:spacing w:after="0"/>
              <w:rPr>
                <w:sz w:val="20"/>
                <w:szCs w:val="20"/>
                <w:color w:val="auto"/>
              </w:rPr>
            </w:pPr>
            <w:r>
              <w:rPr>
                <w:rFonts w:ascii="Arial" w:cs="Arial" w:eastAsia="Arial" w:hAnsi="Arial"/>
                <w:sz w:val="18"/>
                <w:szCs w:val="18"/>
                <w:color w:val="auto"/>
              </w:rPr>
              <w:t>Overdraft fees</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498</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ATM fees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4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163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Interchange income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4,983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Asset management revenue</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602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Transaction based revenue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23"/>
        </w:trPr>
        <w:tc>
          <w:tcPr>
            <w:tcW w:w="4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spacing w:after="0"/>
              <w:rPr>
                <w:sz w:val="19"/>
                <w:szCs w:val="19"/>
                <w:color w:val="auto"/>
              </w:rPr>
            </w:pPr>
          </w:p>
        </w:tc>
        <w:tc>
          <w:tcPr>
            <w:tcW w:w="240" w:type="dxa"/>
            <w:vAlign w:val="bottom"/>
            <w:gridSpan w:val="2"/>
          </w:tcPr>
          <w:p>
            <w:pPr>
              <w:spacing w:after="0"/>
              <w:rPr>
                <w:sz w:val="19"/>
                <w:szCs w:val="19"/>
                <w:color w:val="auto"/>
              </w:rPr>
            </w:pPr>
          </w:p>
        </w:tc>
        <w:tc>
          <w:tcPr>
            <w:tcW w:w="1220" w:type="dxa"/>
            <w:vAlign w:val="bottom"/>
            <w:gridSpan w:val="2"/>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6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4,214</w:t>
            </w:r>
          </w:p>
        </w:tc>
        <w:tc>
          <w:tcPr>
            <w:tcW w:w="2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4,983</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948</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11,288</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6000" w:type="dxa"/>
            <w:vAlign w:val="bottom"/>
            <w:gridSpan w:val="4"/>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Reconciliation to Condensed Consolidated Statement of Operations:</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40"/>
              <w:spacing w:after="0"/>
              <w:rPr>
                <w:sz w:val="20"/>
                <w:szCs w:val="20"/>
                <w:color w:val="auto"/>
              </w:rPr>
            </w:pPr>
            <w:r>
              <w:rPr>
                <w:rFonts w:ascii="Arial" w:cs="Arial" w:eastAsia="Arial" w:hAnsi="Arial"/>
                <w:sz w:val="18"/>
                <w:szCs w:val="18"/>
                <w:color w:val="auto"/>
              </w:rPr>
              <w:t>Non-interest income - other:</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deposit related income</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340"/>
              <w:spacing w:after="0"/>
              <w:rPr>
                <w:sz w:val="20"/>
                <w:szCs w:val="20"/>
                <w:color w:val="auto"/>
              </w:rPr>
            </w:pPr>
            <w:r>
              <w:rPr>
                <w:rFonts w:ascii="Arial" w:cs="Arial" w:eastAsia="Arial" w:hAnsi="Arial"/>
                <w:sz w:val="18"/>
                <w:szCs w:val="18"/>
                <w:color w:val="auto"/>
              </w:rPr>
              <w:t>Investment and insurance commissions</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948</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Bank owned life insurance</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535</w:t>
            </w:r>
          </w:p>
        </w:tc>
        <w:tc>
          <w:tcPr>
            <w:tcW w:w="0" w:type="dxa"/>
            <w:vAlign w:val="bottom"/>
          </w:tcPr>
          <w:p>
            <w:pPr>
              <w:spacing w:after="0"/>
              <w:rPr>
                <w:sz w:val="1"/>
                <w:szCs w:val="1"/>
                <w:color w:val="auto"/>
              </w:rPr>
            </w:pPr>
          </w:p>
        </w:tc>
      </w:tr>
      <w:tr>
        <w:trPr>
          <w:trHeight w:val="223"/>
        </w:trPr>
        <w:tc>
          <w:tcPr>
            <w:tcW w:w="4620" w:type="dxa"/>
            <w:vAlign w:val="bottom"/>
          </w:tcPr>
          <w:p>
            <w:pPr>
              <w:ind w:left="34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6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3,761</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16. </w:t>
      </w:r>
      <w:r>
        <w:rPr>
          <w:rFonts w:ascii="Arial" w:cs="Arial" w:eastAsia="Arial" w:hAnsi="Arial"/>
          <w:sz w:val="18"/>
          <w:szCs w:val="18"/>
          <w:u w:val="single" w:color="auto"/>
          <w:color w:val="auto"/>
        </w:rPr>
        <w:t>Leases</w:t>
      </w:r>
    </w:p>
    <w:p>
      <w:pPr>
        <w:spacing w:after="0" w:line="25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We have entered into leases in the normal course of business primarily for office facilities, some of which include renewal options and escalation clauses. Certain leases also include both lease components (fixed payments including rent, taxes and insurance costs) and non-lease components (common area or other maintenance costs) which are accounted for as a single lease component as we have elected the practical expedient to group lease and non-lease components together for all leases. We have also elected not to recognize leases with original lease terms of 12 months or less (short-term leases) on our Condensed </w:t>
      </w:r>
      <w:r>
        <w:rPr>
          <w:rFonts w:ascii="Arial" w:cs="Arial" w:eastAsia="Arial" w:hAnsi="Arial"/>
          <w:sz w:val="16"/>
          <w:szCs w:val="16"/>
          <w:color w:val="231F20"/>
        </w:rPr>
        <w:t>Consolidated Statements of Financial Condition</w:t>
      </w:r>
      <w:r>
        <w:rPr>
          <w:rFonts w:ascii="Arial" w:cs="Arial" w:eastAsia="Arial" w:hAnsi="Arial"/>
          <w:sz w:val="16"/>
          <w:szCs w:val="16"/>
          <w:color w:val="auto"/>
        </w:rPr>
        <w:t>. Most of our leases include one or more options to renew. The exercise of lease renewal options is typically at our sole discretion and are included in our right of use (“ROU”) assets and lease liabilities if they are reasonably certain of exercise.</w:t>
      </w:r>
    </w:p>
    <w:p>
      <w:pPr>
        <w:spacing w:after="0" w:line="19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Leases are classified as operating or finance leases at the lease commencement date (we did not have any finance leases as of June 30, 2021). Lease expense for operating leases and short-term leases is recognized on a straight-line basis over the lease term. The ROU assets represent our right to use an underlying asset for the lease term and lease liabilities represent our obligation to make lease payments arising from the lease. ROU assets and lease liabilities are recognized at the lease commencement date based on the estimated present value of the lease payment over the lease term.</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most of our leases do not provide an implicit rate, we use our incremental borrowing rate based on the information available at the lease commencement date in determining the present value of the lease payments.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9" w:name="page70"/>
    <w:bookmarkEnd w:id="6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The cost components of our operating leases follows:</w:t>
            </w: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5"/>
        </w:trPr>
        <w:tc>
          <w:tcPr>
            <w:tcW w:w="5980" w:type="dxa"/>
            <w:vAlign w:val="bottom"/>
          </w:tcPr>
          <w:p>
            <w:pPr>
              <w:spacing w:after="0"/>
              <w:rPr>
                <w:sz w:val="24"/>
                <w:szCs w:val="24"/>
                <w:color w:val="auto"/>
              </w:rPr>
            </w:pPr>
          </w:p>
        </w:tc>
        <w:tc>
          <w:tcPr>
            <w:tcW w:w="2180" w:type="dxa"/>
            <w:vAlign w:val="bottom"/>
            <w:gridSpan w:val="4"/>
          </w:tcPr>
          <w:p>
            <w:pPr>
              <w:jc w:val="center"/>
              <w:ind w:left="257"/>
              <w:spacing w:after="0"/>
              <w:rPr>
                <w:sz w:val="20"/>
                <w:szCs w:val="20"/>
                <w:color w:val="auto"/>
              </w:rPr>
            </w:pPr>
            <w:r>
              <w:rPr>
                <w:rFonts w:ascii="Arial" w:cs="Arial" w:eastAsia="Arial" w:hAnsi="Arial"/>
                <w:sz w:val="18"/>
                <w:szCs w:val="18"/>
                <w:color w:val="auto"/>
                <w:w w:val="90"/>
              </w:rPr>
              <w:t>Three Months Ended</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60" w:type="dxa"/>
            <w:vAlign w:val="bottom"/>
            <w:gridSpan w:val="4"/>
          </w:tcPr>
          <w:p>
            <w:pPr>
              <w:jc w:val="right"/>
              <w:spacing w:after="0"/>
              <w:rPr>
                <w:sz w:val="20"/>
                <w:szCs w:val="20"/>
                <w:color w:val="auto"/>
              </w:rPr>
            </w:pPr>
            <w:r>
              <w:rPr>
                <w:rFonts w:ascii="Arial" w:cs="Arial" w:eastAsia="Arial" w:hAnsi="Arial"/>
                <w:sz w:val="18"/>
                <w:szCs w:val="18"/>
                <w:color w:val="auto"/>
              </w:rPr>
              <w:t>Six Months Ended</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9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380" w:type="dxa"/>
            <w:vAlign w:val="bottom"/>
            <w:gridSpan w:val="3"/>
          </w:tcPr>
          <w:p>
            <w:pPr>
              <w:jc w:val="center"/>
              <w:ind w:right="370"/>
              <w:spacing w:after="0"/>
              <w:rPr>
                <w:sz w:val="20"/>
                <w:szCs w:val="20"/>
                <w:color w:val="auto"/>
              </w:rPr>
            </w:pPr>
            <w:r>
              <w:rPr>
                <w:rFonts w:ascii="Arial" w:cs="Arial" w:eastAsia="Arial" w:hAnsi="Arial"/>
                <w:sz w:val="18"/>
                <w:szCs w:val="18"/>
                <w:color w:val="auto"/>
                <w:w w:val="86"/>
              </w:rPr>
              <w:t>June 30,</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80" w:type="dxa"/>
            <w:vAlign w:val="bottom"/>
            <w:gridSpan w:val="3"/>
          </w:tcPr>
          <w:p>
            <w:pPr>
              <w:jc w:val="right"/>
              <w:ind w:right="350"/>
              <w:spacing w:after="0"/>
              <w:rPr>
                <w:sz w:val="20"/>
                <w:szCs w:val="20"/>
                <w:color w:val="auto"/>
              </w:rPr>
            </w:pPr>
            <w:r>
              <w:rPr>
                <w:rFonts w:ascii="Arial" w:cs="Arial" w:eastAsia="Arial" w:hAnsi="Arial"/>
                <w:sz w:val="18"/>
                <w:szCs w:val="18"/>
                <w:color w:val="auto"/>
              </w:rPr>
              <w:t>June 30,</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5980" w:type="dxa"/>
            <w:vAlign w:val="bottom"/>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3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3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3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r>
      <w:tr>
        <w:trPr>
          <w:trHeight w:val="216"/>
        </w:trPr>
        <w:tc>
          <w:tcPr>
            <w:tcW w:w="5980" w:type="dxa"/>
            <w:vAlign w:val="bottom"/>
          </w:tcPr>
          <w:p>
            <w:pPr>
              <w:spacing w:after="0"/>
              <w:rPr>
                <w:sz w:val="18"/>
                <w:szCs w:val="18"/>
                <w:color w:val="auto"/>
              </w:rPr>
            </w:pPr>
          </w:p>
        </w:tc>
        <w:tc>
          <w:tcPr>
            <w:tcW w:w="1120" w:type="dxa"/>
            <w:vAlign w:val="bottom"/>
            <w:gridSpan w:val="2"/>
          </w:tcPr>
          <w:p>
            <w:pPr>
              <w:jc w:val="right"/>
              <w:ind w:right="90"/>
              <w:spacing w:after="0"/>
              <w:rPr>
                <w:sz w:val="20"/>
                <w:szCs w:val="20"/>
                <w:color w:val="auto"/>
              </w:rPr>
            </w:pPr>
            <w:r>
              <w:rPr>
                <w:rFonts w:ascii="Arial" w:cs="Arial" w:eastAsia="Arial" w:hAnsi="Arial"/>
                <w:sz w:val="18"/>
                <w:szCs w:val="18"/>
                <w:color w:val="auto"/>
              </w:rPr>
              <w:t>(In</w:t>
            </w:r>
          </w:p>
        </w:tc>
        <w:tc>
          <w:tcPr>
            <w:tcW w:w="1060" w:type="dxa"/>
            <w:vAlign w:val="bottom"/>
            <w:gridSpan w:val="2"/>
          </w:tcPr>
          <w:p>
            <w:pPr>
              <w:jc w:val="center"/>
              <w:ind w:right="330"/>
              <w:spacing w:after="0"/>
              <w:rPr>
                <w:sz w:val="20"/>
                <w:szCs w:val="20"/>
                <w:color w:val="auto"/>
              </w:rPr>
            </w:pPr>
            <w:r>
              <w:rPr>
                <w:rFonts w:ascii="Arial" w:cs="Arial" w:eastAsia="Arial" w:hAnsi="Arial"/>
                <w:sz w:val="18"/>
                <w:szCs w:val="18"/>
                <w:color w:val="auto"/>
                <w:w w:val="71"/>
              </w:rPr>
              <w:t>thousands)</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ind w:left="700"/>
              <w:spacing w:after="0"/>
              <w:rPr>
                <w:sz w:val="20"/>
                <w:szCs w:val="20"/>
                <w:color w:val="auto"/>
              </w:rPr>
            </w:pPr>
            <w:r>
              <w:rPr>
                <w:rFonts w:ascii="Arial" w:cs="Arial" w:eastAsia="Arial" w:hAnsi="Arial"/>
                <w:sz w:val="18"/>
                <w:szCs w:val="18"/>
                <w:color w:val="auto"/>
              </w:rPr>
              <w:t>(In</w:t>
            </w:r>
          </w:p>
        </w:tc>
        <w:tc>
          <w:tcPr>
            <w:tcW w:w="860" w:type="dxa"/>
            <w:vAlign w:val="bottom"/>
            <w:gridSpan w:val="2"/>
          </w:tcPr>
          <w:p>
            <w:pPr>
              <w:jc w:val="right"/>
              <w:ind w:right="130"/>
              <w:spacing w:after="0"/>
              <w:rPr>
                <w:sz w:val="20"/>
                <w:szCs w:val="20"/>
                <w:color w:val="auto"/>
              </w:rPr>
            </w:pPr>
            <w:r>
              <w:rPr>
                <w:rFonts w:ascii="Arial" w:cs="Arial" w:eastAsia="Arial" w:hAnsi="Arial"/>
                <w:sz w:val="17"/>
                <w:szCs w:val="17"/>
                <w:color w:val="auto"/>
                <w:w w:val="73"/>
              </w:rPr>
              <w:t>thousands)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800" w:type="dxa"/>
            <w:vAlign w:val="bottom"/>
            <w:shd w:val="clear" w:color="auto" w:fill="CCEEFF"/>
          </w:tcPr>
          <w:p>
            <w:pPr>
              <w:jc w:val="right"/>
              <w:ind w:right="637"/>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412</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center"/>
              <w:ind w:right="630"/>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476</w:t>
            </w:r>
          </w:p>
        </w:tc>
        <w:tc>
          <w:tcPr>
            <w:tcW w:w="78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136"/>
              <w:spacing w:after="0"/>
              <w:rPr>
                <w:sz w:val="20"/>
                <w:szCs w:val="20"/>
                <w:color w:val="auto"/>
              </w:rPr>
            </w:pPr>
            <w:r>
              <w:rPr>
                <w:rFonts w:ascii="Arial" w:cs="Arial" w:eastAsia="Arial" w:hAnsi="Arial"/>
                <w:sz w:val="18"/>
                <w:szCs w:val="18"/>
                <w:color w:val="auto"/>
                <w:w w:val="99"/>
              </w:rPr>
              <w:t>835</w:t>
            </w:r>
          </w:p>
        </w:tc>
        <w:tc>
          <w:tcPr>
            <w:tcW w:w="6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962</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Variable lease cost</w:t>
            </w:r>
          </w:p>
        </w:tc>
        <w:tc>
          <w:tcPr>
            <w:tcW w:w="8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15</w:t>
            </w: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21</w:t>
            </w:r>
          </w:p>
        </w:tc>
        <w:tc>
          <w:tcPr>
            <w:tcW w:w="780" w:type="dxa"/>
            <w:vAlign w:val="bottom"/>
          </w:tcPr>
          <w:p>
            <w:pPr>
              <w:spacing w:after="0"/>
              <w:rPr>
                <w:sz w:val="18"/>
                <w:szCs w:val="18"/>
                <w:color w:val="auto"/>
              </w:rPr>
            </w:pPr>
          </w:p>
        </w:tc>
        <w:tc>
          <w:tcPr>
            <w:tcW w:w="540" w:type="dxa"/>
            <w:vAlign w:val="bottom"/>
            <w:gridSpan w:val="2"/>
          </w:tcPr>
          <w:p>
            <w:pPr>
              <w:jc w:val="right"/>
              <w:ind w:right="136"/>
              <w:spacing w:after="0"/>
              <w:rPr>
                <w:sz w:val="20"/>
                <w:szCs w:val="20"/>
                <w:color w:val="auto"/>
              </w:rPr>
            </w:pPr>
            <w:r>
              <w:rPr>
                <w:rFonts w:ascii="Arial" w:cs="Arial" w:eastAsia="Arial" w:hAnsi="Arial"/>
                <w:sz w:val="18"/>
                <w:szCs w:val="18"/>
                <w:color w:val="auto"/>
              </w:rPr>
              <w:t>31</w:t>
            </w:r>
          </w:p>
        </w:tc>
        <w:tc>
          <w:tcPr>
            <w:tcW w:w="64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36</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Short-term lease cost</w:t>
            </w: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w:t>
            </w:r>
          </w:p>
        </w:tc>
        <w:tc>
          <w:tcPr>
            <w:tcW w:w="7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36"/>
              <w:spacing w:after="0"/>
              <w:rPr>
                <w:sz w:val="20"/>
                <w:szCs w:val="20"/>
                <w:color w:val="auto"/>
              </w:rPr>
            </w:pPr>
            <w:r>
              <w:rPr>
                <w:rFonts w:ascii="Arial" w:cs="Arial" w:eastAsia="Arial" w:hAnsi="Arial"/>
                <w:sz w:val="18"/>
                <w:szCs w:val="18"/>
                <w:color w:val="auto"/>
              </w:rPr>
              <w:t>30</w:t>
            </w:r>
          </w:p>
        </w:tc>
        <w:tc>
          <w:tcPr>
            <w:tcW w:w="6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r>
      <w:tr>
        <w:trPr>
          <w:trHeight w:val="27"/>
        </w:trPr>
        <w:tc>
          <w:tcPr>
            <w:tcW w:w="5980" w:type="dxa"/>
            <w:vAlign w:val="bottom"/>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80" w:type="dxa"/>
            <w:vAlign w:val="bottom"/>
          </w:tcPr>
          <w:p>
            <w:pPr>
              <w:ind w:left="340"/>
              <w:spacing w:after="0"/>
              <w:rPr>
                <w:sz w:val="20"/>
                <w:szCs w:val="20"/>
                <w:color w:val="auto"/>
              </w:rPr>
            </w:pPr>
            <w:r>
              <w:rPr>
                <w:rFonts w:ascii="Arial" w:cs="Arial" w:eastAsia="Arial" w:hAnsi="Arial"/>
                <w:sz w:val="18"/>
                <w:szCs w:val="18"/>
                <w:color w:val="auto"/>
              </w:rPr>
              <w:t>Total</w:t>
            </w:r>
          </w:p>
        </w:tc>
        <w:tc>
          <w:tcPr>
            <w:tcW w:w="800" w:type="dxa"/>
            <w:vAlign w:val="bottom"/>
          </w:tcPr>
          <w:p>
            <w:pPr>
              <w:jc w:val="right"/>
              <w:ind w:right="637"/>
              <w:spacing w:after="0"/>
              <w:rPr>
                <w:sz w:val="20"/>
                <w:szCs w:val="20"/>
                <w:color w:val="auto"/>
              </w:rPr>
            </w:pPr>
            <w:r>
              <w:rPr>
                <w:rFonts w:ascii="Arial" w:cs="Arial" w:eastAsia="Arial" w:hAnsi="Arial"/>
                <w:sz w:val="15"/>
                <w:szCs w:val="15"/>
                <w:color w:val="auto"/>
                <w:w w:val="71"/>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443</w:t>
            </w:r>
          </w:p>
        </w:tc>
        <w:tc>
          <w:tcPr>
            <w:tcW w:w="260" w:type="dxa"/>
            <w:vAlign w:val="bottom"/>
          </w:tcPr>
          <w:p>
            <w:pPr>
              <w:spacing w:after="0"/>
              <w:rPr>
                <w:sz w:val="18"/>
                <w:szCs w:val="18"/>
                <w:color w:val="auto"/>
              </w:rPr>
            </w:pPr>
          </w:p>
        </w:tc>
        <w:tc>
          <w:tcPr>
            <w:tcW w:w="800" w:type="dxa"/>
            <w:vAlign w:val="bottom"/>
          </w:tcPr>
          <w:p>
            <w:pPr>
              <w:jc w:val="center"/>
              <w:ind w:right="630"/>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506</w:t>
            </w:r>
          </w:p>
        </w:tc>
        <w:tc>
          <w:tcPr>
            <w:tcW w:w="780" w:type="dxa"/>
            <w:vAlign w:val="bottom"/>
          </w:tcPr>
          <w:p>
            <w:pPr>
              <w:jc w:val="right"/>
              <w:ind w:right="590"/>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136"/>
              <w:spacing w:after="0"/>
              <w:rPr>
                <w:sz w:val="20"/>
                <w:szCs w:val="20"/>
                <w:color w:val="auto"/>
              </w:rPr>
            </w:pPr>
            <w:r>
              <w:rPr>
                <w:rFonts w:ascii="Arial" w:cs="Arial" w:eastAsia="Arial" w:hAnsi="Arial"/>
                <w:sz w:val="18"/>
                <w:szCs w:val="18"/>
                <w:color w:val="auto"/>
                <w:w w:val="99"/>
              </w:rPr>
              <w:t>896</w:t>
            </w:r>
          </w:p>
        </w:tc>
        <w:tc>
          <w:tcPr>
            <w:tcW w:w="640" w:type="dxa"/>
            <w:vAlign w:val="bottom"/>
          </w:tcPr>
          <w:p>
            <w:pPr>
              <w:jc w:val="right"/>
              <w:ind w:right="450"/>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1,014</w:t>
            </w:r>
          </w:p>
        </w:tc>
      </w:tr>
      <w:tr>
        <w:trPr>
          <w:trHeight w:val="21"/>
        </w:trPr>
        <w:tc>
          <w:tcPr>
            <w:tcW w:w="59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Variable lease costs consist primarily of taxes, insurance, and common area or other maintenance costs for our leased facilities.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00" w:type="dxa"/>
            <w:vAlign w:val="bottom"/>
          </w:tcPr>
          <w:p>
            <w:pPr>
              <w:spacing w:after="0"/>
              <w:rPr>
                <w:sz w:val="20"/>
                <w:szCs w:val="20"/>
                <w:color w:val="auto"/>
              </w:rPr>
            </w:pPr>
            <w:r>
              <w:rPr>
                <w:rFonts w:ascii="Arial" w:cs="Arial" w:eastAsia="Arial" w:hAnsi="Arial"/>
                <w:sz w:val="18"/>
                <w:szCs w:val="18"/>
                <w:color w:val="auto"/>
              </w:rPr>
              <w:t>Supplemental balance sheet information related to our operating leases follows: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45"/>
        </w:trPr>
        <w:tc>
          <w:tcPr>
            <w:tcW w:w="8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gridSpan w:val="2"/>
          </w:tcPr>
          <w:p>
            <w:pPr>
              <w:jc w:val="right"/>
              <w:ind w:right="473"/>
              <w:spacing w:after="0"/>
              <w:rPr>
                <w:sz w:val="20"/>
                <w:szCs w:val="20"/>
                <w:color w:val="auto"/>
              </w:rPr>
            </w:pPr>
            <w:r>
              <w:rPr>
                <w:rFonts w:ascii="Arial" w:cs="Arial" w:eastAsia="Arial" w:hAnsi="Arial"/>
                <w:sz w:val="18"/>
                <w:szCs w:val="18"/>
                <w:color w:val="auto"/>
                <w:w w:val="95"/>
              </w:rPr>
              <w:t>June 30,</w:t>
            </w:r>
          </w:p>
        </w:tc>
        <w:tc>
          <w:tcPr>
            <w:tcW w:w="1260" w:type="dxa"/>
            <w:vAlign w:val="bottom"/>
            <w:gridSpan w:val="3"/>
          </w:tcPr>
          <w:p>
            <w:pPr>
              <w:ind w:left="40"/>
              <w:spacing w:after="0"/>
              <w:rPr>
                <w:sz w:val="20"/>
                <w:szCs w:val="20"/>
                <w:color w:val="auto"/>
              </w:rPr>
            </w:pPr>
            <w:r>
              <w:rPr>
                <w:rFonts w:ascii="Arial" w:cs="Arial" w:eastAsia="Arial" w:hAnsi="Arial"/>
                <w:sz w:val="18"/>
                <w:szCs w:val="18"/>
                <w:color w:val="auto"/>
              </w:rPr>
              <w:t>December 31,</w:t>
            </w:r>
          </w:p>
        </w:tc>
      </w:tr>
      <w:tr>
        <w:trPr>
          <w:trHeight w:val="237"/>
        </w:trPr>
        <w:tc>
          <w:tcPr>
            <w:tcW w:w="86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2021</w:t>
            </w: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160" w:type="dxa"/>
            <w:vAlign w:val="bottom"/>
          </w:tcPr>
          <w:p>
            <w:pPr>
              <w:spacing w:after="0"/>
              <w:rPr>
                <w:sz w:val="20"/>
                <w:szCs w:val="20"/>
                <w:color w:val="auto"/>
              </w:rPr>
            </w:pPr>
          </w:p>
        </w:tc>
      </w:tr>
      <w:tr>
        <w:trPr>
          <w:trHeight w:val="216"/>
        </w:trPr>
        <w:tc>
          <w:tcPr>
            <w:tcW w:w="8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(Dollars</w:t>
            </w:r>
          </w:p>
        </w:tc>
        <w:tc>
          <w:tcPr>
            <w:tcW w:w="260" w:type="dxa"/>
            <w:vAlign w:val="bottom"/>
          </w:tcPr>
          <w:p>
            <w:pPr>
              <w:jc w:val="right"/>
              <w:ind w:right="93"/>
              <w:spacing w:after="0"/>
              <w:rPr>
                <w:sz w:val="20"/>
                <w:szCs w:val="20"/>
                <w:color w:val="auto"/>
              </w:rPr>
            </w:pPr>
            <w:r>
              <w:rPr>
                <w:rFonts w:ascii="Arial" w:cs="Arial" w:eastAsia="Arial" w:hAnsi="Arial"/>
                <w:sz w:val="13"/>
                <w:szCs w:val="13"/>
                <w:color w:val="auto"/>
                <w:w w:val="78"/>
              </w:rPr>
              <w:t>in</w:t>
            </w:r>
          </w:p>
        </w:tc>
        <w:tc>
          <w:tcPr>
            <w:tcW w:w="1100" w:type="dxa"/>
            <w:vAlign w:val="bottom"/>
            <w:gridSpan w:val="2"/>
          </w:tcPr>
          <w:p>
            <w:pPr>
              <w:spacing w:after="0"/>
              <w:rPr>
                <w:sz w:val="20"/>
                <w:szCs w:val="20"/>
                <w:color w:val="auto"/>
              </w:rPr>
            </w:pPr>
            <w:r>
              <w:rPr>
                <w:rFonts w:ascii="Arial" w:cs="Arial" w:eastAsia="Arial" w:hAnsi="Arial"/>
                <w:sz w:val="18"/>
                <w:szCs w:val="18"/>
                <w:color w:val="auto"/>
              </w:rPr>
              <w:t>thousands)</w:t>
            </w:r>
          </w:p>
        </w:tc>
        <w:tc>
          <w:tcPr>
            <w:tcW w:w="160" w:type="dxa"/>
            <w:vAlign w:val="bottom"/>
          </w:tcPr>
          <w:p>
            <w:pPr>
              <w:spacing w:after="0"/>
              <w:rPr>
                <w:sz w:val="18"/>
                <w:szCs w:val="18"/>
                <w:color w:val="auto"/>
              </w:rPr>
            </w:pPr>
          </w:p>
        </w:tc>
      </w:tr>
      <w:tr>
        <w:trPr>
          <w:trHeight w:val="257"/>
        </w:trPr>
        <w:tc>
          <w:tcPr>
            <w:tcW w:w="8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Lease right of use asset (1)</w:t>
            </w: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6,977</w:t>
            </w:r>
          </w:p>
        </w:tc>
        <w:tc>
          <w:tcPr>
            <w:tcW w:w="2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7,646</w:t>
            </w:r>
          </w:p>
        </w:tc>
        <w:tc>
          <w:tcPr>
            <w:tcW w:w="160" w:type="dxa"/>
            <w:vAlign w:val="bottom"/>
            <w:tcBorders>
              <w:bottom w:val="single" w:sz="8" w:color="CCEEFF"/>
            </w:tcBorders>
            <w:shd w:val="clear" w:color="auto" w:fill="CCEEFF"/>
          </w:tcPr>
          <w:p>
            <w:pPr>
              <w:spacing w:after="0"/>
              <w:rPr>
                <w:sz w:val="22"/>
                <w:szCs w:val="22"/>
                <w:color w:val="auto"/>
              </w:rPr>
            </w:pPr>
          </w:p>
        </w:tc>
      </w:tr>
      <w:tr>
        <w:trPr>
          <w:trHeight w:val="209"/>
        </w:trPr>
        <w:tc>
          <w:tcPr>
            <w:tcW w:w="8600" w:type="dxa"/>
            <w:vAlign w:val="bottom"/>
          </w:tcPr>
          <w:p>
            <w:pPr>
              <w:spacing w:after="0"/>
              <w:rPr>
                <w:sz w:val="20"/>
                <w:szCs w:val="20"/>
                <w:color w:val="auto"/>
              </w:rPr>
            </w:pPr>
            <w:r>
              <w:rPr>
                <w:rFonts w:ascii="Arial" w:cs="Arial" w:eastAsia="Arial" w:hAnsi="Arial"/>
                <w:sz w:val="18"/>
                <w:szCs w:val="18"/>
                <w:color w:val="auto"/>
              </w:rPr>
              <w:t>Lease liabilities (2)</w:t>
            </w: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7,134</w:t>
            </w: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7,868</w:t>
            </w:r>
          </w:p>
        </w:tc>
        <w:tc>
          <w:tcPr>
            <w:tcW w:w="160" w:type="dxa"/>
            <w:vAlign w:val="bottom"/>
          </w:tcPr>
          <w:p>
            <w:pPr>
              <w:spacing w:after="0"/>
              <w:rPr>
                <w:sz w:val="18"/>
                <w:szCs w:val="18"/>
                <w:color w:val="auto"/>
              </w:rPr>
            </w:pPr>
          </w:p>
        </w:tc>
      </w:tr>
      <w:tr>
        <w:trPr>
          <w:trHeight w:val="21"/>
        </w:trPr>
        <w:tc>
          <w:tcPr>
            <w:tcW w:w="8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8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Weighted average remaining lease term (years)</w:t>
            </w: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6.87</w:t>
            </w: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7.12</w:t>
            </w:r>
          </w:p>
        </w:tc>
        <w:tc>
          <w:tcPr>
            <w:tcW w:w="160" w:type="dxa"/>
            <w:vAlign w:val="bottom"/>
          </w:tcPr>
          <w:p>
            <w:pPr>
              <w:spacing w:after="0"/>
              <w:rPr>
                <w:sz w:val="18"/>
                <w:szCs w:val="18"/>
                <w:color w:val="auto"/>
              </w:rPr>
            </w:pPr>
          </w:p>
        </w:tc>
      </w:tr>
      <w:tr>
        <w:trPr>
          <w:trHeight w:val="21"/>
        </w:trPr>
        <w:tc>
          <w:tcPr>
            <w:tcW w:w="8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0"/>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discount rate</w:t>
            </w:r>
          </w:p>
        </w:tc>
        <w:tc>
          <w:tcPr>
            <w:tcW w:w="16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53"/>
              <w:spacing w:after="0"/>
              <w:rPr>
                <w:sz w:val="20"/>
                <w:szCs w:val="20"/>
                <w:color w:val="auto"/>
              </w:rPr>
            </w:pPr>
            <w:r>
              <w:rPr>
                <w:rFonts w:ascii="Arial" w:cs="Arial" w:eastAsia="Arial" w:hAnsi="Arial"/>
                <w:sz w:val="18"/>
                <w:szCs w:val="18"/>
                <w:color w:val="auto"/>
              </w:rPr>
              <w:t>2.4%</w:t>
            </w:r>
          </w:p>
        </w:tc>
        <w:tc>
          <w:tcPr>
            <w:tcW w:w="2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w:t>
            </w:r>
          </w:p>
        </w:tc>
      </w:tr>
      <w:tr>
        <w:trPr>
          <w:trHeight w:val="20"/>
        </w:trPr>
        <w:tc>
          <w:tcPr>
            <w:tcW w:w="86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ind w:left="340" w:hanging="332"/>
        <w:spacing w:after="0"/>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Included in Accrued income and other assets in our Condensed Consolidated Statements of Financial Condition.</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Included in Accrued expenses and other liabilities in our Condensed Consolidated Statements of Financial Condition.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Maturity analysis of our lease liabilities at June 30, 2021 based on required contractual payments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80" w:type="dxa"/>
            <w:vAlign w:val="bottom"/>
          </w:tcPr>
          <w:p>
            <w:pPr>
              <w:spacing w:after="0"/>
              <w:rPr>
                <w:sz w:val="20"/>
                <w:szCs w:val="20"/>
                <w:color w:val="auto"/>
              </w:rPr>
            </w:pPr>
          </w:p>
        </w:tc>
        <w:tc>
          <w:tcPr>
            <w:tcW w:w="5840" w:type="dxa"/>
            <w:vAlign w:val="bottom"/>
          </w:tcPr>
          <w:p>
            <w:pPr>
              <w:spacing w:after="0"/>
              <w:rPr>
                <w:sz w:val="20"/>
                <w:szCs w:val="20"/>
                <w:color w:val="auto"/>
              </w:rPr>
            </w:pPr>
          </w:p>
        </w:tc>
        <w:tc>
          <w:tcPr>
            <w:tcW w:w="1220" w:type="dxa"/>
            <w:vAlign w:val="bottom"/>
            <w:gridSpan w:val="3"/>
          </w:tcPr>
          <w:p>
            <w:pPr>
              <w:spacing w:after="0"/>
              <w:rPr>
                <w:sz w:val="20"/>
                <w:szCs w:val="20"/>
                <w:color w:val="auto"/>
              </w:rPr>
            </w:pPr>
            <w:r>
              <w:rPr>
                <w:rFonts w:ascii="Arial" w:cs="Arial" w:eastAsia="Arial" w:hAnsi="Arial"/>
                <w:sz w:val="18"/>
                <w:szCs w:val="18"/>
                <w:b w:val="1"/>
                <w:bCs w:val="1"/>
                <w:color w:val="auto"/>
                <w:w w:val="96"/>
              </w:rPr>
              <w:t>(In thousands)</w:t>
            </w:r>
          </w:p>
        </w:tc>
      </w:tr>
      <w:tr>
        <w:trPr>
          <w:trHeight w:val="216"/>
        </w:trPr>
        <w:tc>
          <w:tcPr>
            <w:tcW w:w="4180" w:type="dxa"/>
            <w:vAlign w:val="bottom"/>
          </w:tcPr>
          <w:p>
            <w:pPr>
              <w:spacing w:after="0"/>
              <w:rPr>
                <w:sz w:val="18"/>
                <w:szCs w:val="18"/>
                <w:color w:val="auto"/>
              </w:rPr>
            </w:pPr>
          </w:p>
        </w:tc>
        <w:tc>
          <w:tcPr>
            <w:tcW w:w="5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Six months ending December 31, 2021</w:t>
            </w:r>
          </w:p>
        </w:tc>
        <w:tc>
          <w:tcPr>
            <w:tcW w:w="6240" w:type="dxa"/>
            <w:vAlign w:val="bottom"/>
            <w:gridSpan w:val="2"/>
            <w:shd w:val="clear" w:color="auto" w:fill="CCEEFF"/>
          </w:tcPr>
          <w:p>
            <w:pPr>
              <w:ind w:left="58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838</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2022</w:t>
            </w:r>
          </w:p>
        </w:tc>
        <w:tc>
          <w:tcPr>
            <w:tcW w:w="5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1,489</w:t>
            </w:r>
          </w:p>
        </w:tc>
        <w:tc>
          <w:tcPr>
            <w:tcW w:w="100" w:type="dxa"/>
            <w:vAlign w:val="bottom"/>
          </w:tcPr>
          <w:p>
            <w:pPr>
              <w:spacing w:after="0"/>
              <w:rPr>
                <w:sz w:val="18"/>
                <w:szCs w:val="18"/>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5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w:t>
            </w:r>
          </w:p>
        </w:tc>
        <w:tc>
          <w:tcPr>
            <w:tcW w:w="100" w:type="dxa"/>
            <w:vAlign w:val="bottom"/>
            <w:shd w:val="clear" w:color="auto" w:fill="CCEEFF"/>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2024</w:t>
            </w:r>
          </w:p>
        </w:tc>
        <w:tc>
          <w:tcPr>
            <w:tcW w:w="5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815</w:t>
            </w: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5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809</w:t>
            </w:r>
          </w:p>
        </w:tc>
      </w:tr>
      <w:tr>
        <w:trPr>
          <w:trHeight w:val="223"/>
        </w:trPr>
        <w:tc>
          <w:tcPr>
            <w:tcW w:w="4180" w:type="dxa"/>
            <w:vAlign w:val="bottom"/>
          </w:tcPr>
          <w:p>
            <w:pPr>
              <w:spacing w:after="0"/>
              <w:rPr>
                <w:sz w:val="20"/>
                <w:szCs w:val="20"/>
                <w:color w:val="auto"/>
              </w:rPr>
            </w:pPr>
            <w:r>
              <w:rPr>
                <w:rFonts w:ascii="Arial" w:cs="Arial" w:eastAsia="Arial" w:hAnsi="Arial"/>
                <w:sz w:val="18"/>
                <w:szCs w:val="18"/>
                <w:color w:val="auto"/>
              </w:rPr>
              <w:t>2026 and thereafter</w:t>
            </w:r>
          </w:p>
        </w:tc>
        <w:tc>
          <w:tcPr>
            <w:tcW w:w="584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2,533</w:t>
            </w:r>
          </w:p>
        </w:tc>
        <w:tc>
          <w:tcPr>
            <w:tcW w:w="100" w:type="dxa"/>
            <w:vAlign w:val="bottom"/>
          </w:tcPr>
          <w:p>
            <w:pPr>
              <w:spacing w:after="0"/>
              <w:rPr>
                <w:sz w:val="19"/>
                <w:szCs w:val="19"/>
                <w:color w:val="auto"/>
              </w:rPr>
            </w:pPr>
          </w:p>
        </w:tc>
      </w:tr>
      <w:tr>
        <w:trPr>
          <w:trHeight w:val="216"/>
        </w:trPr>
        <w:tc>
          <w:tcPr>
            <w:tcW w:w="4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lease payments</w:t>
            </w:r>
          </w:p>
        </w:tc>
        <w:tc>
          <w:tcPr>
            <w:tcW w:w="5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7,706</w:t>
            </w:r>
          </w:p>
        </w:tc>
        <w:tc>
          <w:tcPr>
            <w:tcW w:w="100" w:type="dxa"/>
            <w:vAlign w:val="bottom"/>
            <w:shd w:val="clear" w:color="auto" w:fill="CCEEFF"/>
          </w:tcPr>
          <w:p>
            <w:pPr>
              <w:spacing w:after="0"/>
              <w:rPr>
                <w:sz w:val="18"/>
                <w:szCs w:val="18"/>
                <w:color w:val="auto"/>
              </w:rPr>
            </w:pPr>
          </w:p>
        </w:tc>
      </w:tr>
      <w:tr>
        <w:trPr>
          <w:trHeight w:val="223"/>
        </w:trPr>
        <w:tc>
          <w:tcPr>
            <w:tcW w:w="4180" w:type="dxa"/>
            <w:vAlign w:val="bottom"/>
          </w:tcPr>
          <w:p>
            <w:pPr>
              <w:spacing w:after="0"/>
              <w:rPr>
                <w:sz w:val="20"/>
                <w:szCs w:val="20"/>
                <w:color w:val="auto"/>
              </w:rPr>
            </w:pPr>
            <w:r>
              <w:rPr>
                <w:rFonts w:ascii="Arial" w:cs="Arial" w:eastAsia="Arial" w:hAnsi="Arial"/>
                <w:sz w:val="18"/>
                <w:szCs w:val="18"/>
                <w:color w:val="auto"/>
              </w:rPr>
              <w:t>Less imputed interest</w:t>
            </w:r>
          </w:p>
        </w:tc>
        <w:tc>
          <w:tcPr>
            <w:tcW w:w="5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(572)</w:t>
            </w:r>
          </w:p>
        </w:tc>
      </w:tr>
      <w:tr>
        <w:trPr>
          <w:trHeight w:val="257"/>
        </w:trPr>
        <w:tc>
          <w:tcPr>
            <w:tcW w:w="41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58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7,134</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885"/>
        </w:trPr>
        <w:tc>
          <w:tcPr>
            <w:tcW w:w="4180" w:type="dxa"/>
            <w:vAlign w:val="bottom"/>
          </w:tcPr>
          <w:p>
            <w:pPr>
              <w:spacing w:after="0"/>
              <w:rPr>
                <w:sz w:val="24"/>
                <w:szCs w:val="24"/>
                <w:color w:val="auto"/>
              </w:rPr>
            </w:pPr>
          </w:p>
        </w:tc>
        <w:tc>
          <w:tcPr>
            <w:tcW w:w="5840" w:type="dxa"/>
            <w:vAlign w:val="bottom"/>
          </w:tcPr>
          <w:p>
            <w:pPr>
              <w:jc w:val="right"/>
              <w:ind w:right="4210"/>
              <w:spacing w:after="0"/>
              <w:rPr>
                <w:sz w:val="20"/>
                <w:szCs w:val="20"/>
                <w:color w:val="auto"/>
              </w:rPr>
            </w:pPr>
            <w:r>
              <w:rPr>
                <w:rFonts w:ascii="Arial" w:cs="Arial" w:eastAsia="Arial" w:hAnsi="Arial"/>
                <w:sz w:val="18"/>
                <w:szCs w:val="18"/>
                <w:color w:val="auto"/>
              </w:rPr>
              <w:t>69</w:t>
            </w: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1"/>
        </w:trPr>
        <w:tc>
          <w:tcPr>
            <w:tcW w:w="4180" w:type="dxa"/>
            <w:vAlign w:val="bottom"/>
            <w:tcBorders>
              <w:bottom w:val="single" w:sz="8" w:color="auto"/>
            </w:tcBorders>
          </w:tcPr>
          <w:p>
            <w:pPr>
              <w:spacing w:after="0"/>
              <w:rPr>
                <w:sz w:val="5"/>
                <w:szCs w:val="5"/>
                <w:color w:val="auto"/>
              </w:rPr>
            </w:pPr>
          </w:p>
        </w:tc>
        <w:tc>
          <w:tcPr>
            <w:tcW w:w="584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r>
    </w:tbl>
    <w:p>
      <w:pPr>
        <w:sectPr>
          <w:pgSz w:w="11900" w:h="16838" w:orient="portrait"/>
          <w:cols w:equalWidth="0" w:num="1">
            <w:col w:w="11240"/>
          </w:cols>
          <w:pgMar w:left="320" w:top="122" w:right="339" w:bottom="1440" w:gutter="0" w:footer="0" w:header="0"/>
        </w:sectPr>
      </w:pPr>
    </w:p>
    <w:bookmarkStart w:id="70" w:name="page71"/>
    <w:bookmarkEnd w:id="7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TEM</w:t>
      </w:r>
      <w:r>
        <w:rPr>
          <w:rFonts w:ascii="Arial" w:cs="Arial" w:eastAsia="Arial" w:hAnsi="Arial"/>
          <w:sz w:val="18"/>
          <w:szCs w:val="18"/>
          <w:b w:val="1"/>
          <w:bCs w:val="1"/>
          <w:color w:val="auto"/>
        </w:rPr>
        <w:t xml:space="preserve"> 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2"/>
          <w:szCs w:val="12"/>
          <w:b w:val="1"/>
          <w:bCs w:val="1"/>
          <w:color w:val="auto"/>
        </w:rPr>
        <w:t>ANAGEMENT</w:t>
      </w:r>
      <w:r>
        <w:rPr>
          <w:rFonts w:ascii="Arial" w:cs="Arial" w:eastAsia="Arial" w:hAnsi="Arial"/>
          <w:sz w:val="18"/>
          <w:szCs w:val="18"/>
          <w:b w:val="1"/>
          <w:bCs w:val="1"/>
          <w:color w:val="auto"/>
        </w:rPr>
        <w:t>’</w:t>
      </w:r>
      <w:r>
        <w:rPr>
          <w:rFonts w:ascii="Arial" w:cs="Arial" w:eastAsia="Arial" w:hAnsi="Arial"/>
          <w:sz w:val="12"/>
          <w:szCs w:val="12"/>
          <w:b w:val="1"/>
          <w:bCs w:val="1"/>
          <w:color w:val="auto"/>
        </w:rPr>
        <w:t>S</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ISCUSSION AND</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NALYSIS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 xml:space="preserve">OF </w:t>
      </w:r>
      <w:r>
        <w:rPr>
          <w:rFonts w:ascii="Arial" w:cs="Arial" w:eastAsia="Arial" w:hAnsi="Arial"/>
          <w:sz w:val="17"/>
          <w:szCs w:val="17"/>
          <w:b w:val="1"/>
          <w:bCs w:val="1"/>
          <w:color w:val="auto"/>
        </w:rPr>
        <w:t>F</w:t>
      </w:r>
      <w:r>
        <w:rPr>
          <w:rFonts w:ascii="Arial" w:cs="Arial" w:eastAsia="Arial" w:hAnsi="Arial"/>
          <w:sz w:val="12"/>
          <w:szCs w:val="12"/>
          <w:b w:val="1"/>
          <w:bCs w:val="1"/>
          <w:color w:val="auto"/>
        </w:rPr>
        <w:t xml:space="preserve">INANCIAL </w:t>
      </w:r>
      <w:r>
        <w:rPr>
          <w:rFonts w:ascii="Arial" w:cs="Arial" w:eastAsia="Arial" w:hAnsi="Arial"/>
          <w:sz w:val="17"/>
          <w:szCs w:val="17"/>
          <w:b w:val="1"/>
          <w:bCs w:val="1"/>
          <w:color w:val="auto"/>
        </w:rPr>
        <w:t>C</w:t>
      </w:r>
      <w:r>
        <w:rPr>
          <w:rFonts w:ascii="Arial" w:cs="Arial" w:eastAsia="Arial" w:hAnsi="Arial"/>
          <w:sz w:val="12"/>
          <w:szCs w:val="12"/>
          <w:b w:val="1"/>
          <w:bCs w:val="1"/>
          <w:color w:val="auto"/>
        </w:rPr>
        <w:t xml:space="preserve">ONDITION AND </w:t>
      </w:r>
      <w:r>
        <w:rPr>
          <w:rFonts w:ascii="Arial" w:cs="Arial" w:eastAsia="Arial" w:hAnsi="Arial"/>
          <w:sz w:val="17"/>
          <w:szCs w:val="17"/>
          <w:b w:val="1"/>
          <w:bCs w:val="1"/>
          <w:color w:val="auto"/>
        </w:rPr>
        <w:t>R</w:t>
      </w:r>
      <w:r>
        <w:rPr>
          <w:rFonts w:ascii="Arial" w:cs="Arial" w:eastAsia="Arial" w:hAnsi="Arial"/>
          <w:sz w:val="12"/>
          <w:szCs w:val="12"/>
          <w:b w:val="1"/>
          <w:bCs w:val="1"/>
          <w:color w:val="auto"/>
        </w:rPr>
        <w:t xml:space="preserve">ESULTS OF </w:t>
      </w:r>
      <w:r>
        <w:rPr>
          <w:rFonts w:ascii="Arial" w:cs="Arial" w:eastAsia="Arial" w:hAnsi="Arial"/>
          <w:sz w:val="17"/>
          <w:szCs w:val="17"/>
          <w:b w:val="1"/>
          <w:bCs w:val="1"/>
          <w:color w:val="auto"/>
        </w:rPr>
        <w:t>O</w:t>
      </w:r>
      <w:r>
        <w:rPr>
          <w:rFonts w:ascii="Arial" w:cs="Arial" w:eastAsia="Arial" w:hAnsi="Arial"/>
          <w:sz w:val="12"/>
          <w:szCs w:val="12"/>
          <w:b w:val="1"/>
          <w:bCs w:val="1"/>
          <w:color w:val="auto"/>
        </w:rPr>
        <w:t>PERATIONS</w:t>
      </w:r>
    </w:p>
    <w:p>
      <w:pPr>
        <w:spacing w:after="0" w:line="24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Introduction</w:t>
      </w:r>
      <w:r>
        <w:rPr>
          <w:rFonts w:ascii="Arial" w:cs="Arial" w:eastAsia="Arial" w:hAnsi="Arial"/>
          <w:sz w:val="18"/>
          <w:szCs w:val="18"/>
          <w:color w:val="auto"/>
        </w:rPr>
        <w:t>. The following section presents additional information to assess the financial condition and results of operations of Independent Bank</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(“IBCP”), its wholly-owned bank, Independent Bank (the "Bank"), and their subsidiaries. This section should be read in conjunction with the Condensed Consolidated Financial Statements. We also encourage you to read our 2020 Annual Report on Form 10-K filed with the U.S. Securities and Exchange Commission ("SEC"). That report includes a list of risk factors that you should consider in connection with any decision to buy or sell our securities.</w:t>
      </w:r>
    </w:p>
    <w:p>
      <w:pPr>
        <w:spacing w:after="0" w:line="210" w:lineRule="exact"/>
        <w:rPr>
          <w:sz w:val="20"/>
          <w:szCs w:val="20"/>
          <w:color w:val="auto"/>
        </w:rPr>
      </w:pPr>
    </w:p>
    <w:p>
      <w:pPr>
        <w:jc w:val="both"/>
        <w:spacing w:after="0" w:line="312" w:lineRule="auto"/>
        <w:rPr>
          <w:sz w:val="20"/>
          <w:szCs w:val="20"/>
          <w:color w:val="auto"/>
        </w:rPr>
      </w:pPr>
      <w:r>
        <w:rPr>
          <w:rFonts w:ascii="Arial" w:cs="Arial" w:eastAsia="Arial" w:hAnsi="Arial"/>
          <w:sz w:val="17"/>
          <w:szCs w:val="17"/>
          <w:b w:val="1"/>
          <w:bCs w:val="1"/>
          <w:color w:val="auto"/>
        </w:rPr>
        <w:t>Overview</w:t>
      </w:r>
      <w:r>
        <w:rPr>
          <w:rFonts w:ascii="Arial" w:cs="Arial" w:eastAsia="Arial" w:hAnsi="Arial"/>
          <w:sz w:val="17"/>
          <w:szCs w:val="17"/>
          <w:color w:val="auto"/>
        </w:rPr>
        <w:t>. We provide banking services to customers located primarily in Michigan’s Lower Peninsula. We also have two loan production offices in Ohio</w:t>
      </w:r>
      <w:r>
        <w:rPr>
          <w:rFonts w:ascii="Arial" w:cs="Arial" w:eastAsia="Arial" w:hAnsi="Arial"/>
          <w:sz w:val="17"/>
          <w:szCs w:val="17"/>
          <w:b w:val="1"/>
          <w:bCs w:val="1"/>
          <w:color w:val="auto"/>
        </w:rPr>
        <w:t xml:space="preserve"> </w:t>
      </w:r>
      <w:r>
        <w:rPr>
          <w:rFonts w:ascii="Arial" w:cs="Arial" w:eastAsia="Arial" w:hAnsi="Arial"/>
          <w:sz w:val="17"/>
          <w:szCs w:val="17"/>
          <w:color w:val="auto"/>
        </w:rPr>
        <w:t>(Columbus and Fairlawn). As a result, our success depends to a great extent upon the economic conditions in Michigan’s Lower Peninsula.</w:t>
      </w:r>
    </w:p>
    <w:p>
      <w:pPr>
        <w:spacing w:after="0" w:line="167" w:lineRule="exact"/>
        <w:rPr>
          <w:sz w:val="20"/>
          <w:szCs w:val="20"/>
          <w:color w:val="auto"/>
        </w:rPr>
      </w:pPr>
    </w:p>
    <w:p>
      <w:pPr>
        <w:jc w:val="both"/>
        <w:spacing w:after="0" w:line="292" w:lineRule="auto"/>
        <w:rPr>
          <w:sz w:val="20"/>
          <w:szCs w:val="20"/>
          <w:color w:val="auto"/>
        </w:rPr>
      </w:pPr>
      <w:r>
        <w:rPr>
          <w:rFonts w:ascii="Arial" w:cs="Arial" w:eastAsia="Arial" w:hAnsi="Arial"/>
          <w:sz w:val="16"/>
          <w:szCs w:val="16"/>
          <w:b w:val="1"/>
          <w:bCs w:val="1"/>
          <w:color w:val="auto"/>
        </w:rPr>
        <w:t xml:space="preserve">Recent Developments. </w:t>
      </w:r>
      <w:r>
        <w:rPr>
          <w:rFonts w:ascii="Arial" w:cs="Arial" w:eastAsia="Arial" w:hAnsi="Arial"/>
          <w:sz w:val="16"/>
          <w:szCs w:val="16"/>
          <w:color w:val="auto"/>
        </w:rPr>
        <w:t>The COVID-19 pandemic and the related government restrictions and guidance have had and may continue to have a significant</w:t>
      </w:r>
      <w:r>
        <w:rPr>
          <w:rFonts w:ascii="Arial" w:cs="Arial" w:eastAsia="Arial" w:hAnsi="Arial"/>
          <w:sz w:val="16"/>
          <w:szCs w:val="16"/>
          <w:b w:val="1"/>
          <w:bCs w:val="1"/>
          <w:color w:val="auto"/>
        </w:rPr>
        <w:t xml:space="preserve"> </w:t>
      </w:r>
      <w:r>
        <w:rPr>
          <w:rFonts w:ascii="Arial" w:cs="Arial" w:eastAsia="Arial" w:hAnsi="Arial"/>
          <w:sz w:val="16"/>
          <w:szCs w:val="16"/>
          <w:color w:val="auto"/>
        </w:rPr>
        <w:t>effect on us, our customers, and the markets we serve. Since the U.S. Food and Drug Administration (FDA) issued its first emergency use authorization for a COVID-19 vaccine on December 11, 2020, more than two-thirds of the adult population in the U.S. has received at least one vaccination. Based on published reports, as of July 12, 2021, 62.4% of Michigan residents ages 16 and older have had at least one vaccination. Effective June 22, 2021, the State of Michigan rescinded the emergency orders it implemented in response to the pandemic, including the rescission of restrictions on restaurant capacities and other restrictions on the size of in-person gatherings. Despite these positive developments, the pandemic continues to cause a great deal of economic uncertainty and disruption in our markets, including as a result of concerns relating to possible variants of the original virus.</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 result of the pandemic, the related governmental responses, and the ongoing uncertainty, our business, results of operations, and financial condition may be adversely affected by a number of factors that could impact us and our customers, including but not limited to:</w:t>
      </w:r>
    </w:p>
    <w:p>
      <w:pPr>
        <w:spacing w:after="0" w:line="197" w:lineRule="exact"/>
        <w:rPr>
          <w:sz w:val="20"/>
          <w:szCs w:val="20"/>
          <w:color w:val="auto"/>
        </w:rPr>
      </w:pPr>
    </w:p>
    <w:p>
      <w:pPr>
        <w:ind w:left="660" w:hanging="328"/>
        <w:spacing w:after="0"/>
        <w:tabs>
          <w:tab w:leader="none" w:pos="6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business closures and higher than normal levels of unemployment may cause increases in loan delinquencies, foreclosures and defaults;</w:t>
      </w:r>
    </w:p>
    <w:p>
      <w:pPr>
        <w:spacing w:after="0" w:line="34" w:lineRule="exact"/>
        <w:rPr>
          <w:rFonts w:ascii="Arial" w:cs="Arial" w:eastAsia="Arial" w:hAnsi="Arial"/>
          <w:sz w:val="17"/>
          <w:szCs w:val="17"/>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increases in our allowance for credit losses may be necessary;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declines in collateral values may occur;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third party disruptions may occur, including outages at network providers, on-line banking vendors and other suppliers;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there is increased cyber and payment fraud risk, as cybercriminals attempt to profit from the disruption, given increased online and remote activity;</w:t>
      </w:r>
    </w:p>
    <w:p>
      <w:pPr>
        <w:ind w:left="660" w:hanging="328"/>
        <w:spacing w:after="0" w:line="250"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may experience operational failures due to changes in our normal business practices necessitated by the pandemic and related governmental actions; and/or</w:t>
      </w: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production and efficiency may suffer due to employee illnesses and/or employees having to work remotely.</w:t>
      </w:r>
    </w:p>
    <w:p>
      <w:pPr>
        <w:spacing w:after="0" w:line="2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Given the ongoing uncertainty with respect to the pandemic and potential governmental responses, these risk factors may continue to some degree for a significant period of time.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1" w:name="page72"/>
    <w:bookmarkEnd w:id="7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extent to which the COVID-19 pandemic may impact our business, results of operations and financial condition will depend on future developments, which are highly uncertain and difficult to predict. Those developments and factors are expected to include the evolution of the virus and possible virus variants, the number of people who become vaccinated, actions taken by governmental authorities to address the foregoing, and how quickly and to what extent normal economic and operating conditions can resume. We do not yet know the full extent of the impact. However, the effects could have a material adverse impact on our business, asset valuations, financial condition and results of operations. Material adverse impacts may include all or a combination of valuation impairments on our intangible assets, securities available for sale, loans, capitalized mortgage loan servicing rights or deferred tax assets.</w:t>
      </w:r>
    </w:p>
    <w:p>
      <w:pPr>
        <w:spacing w:after="0" w:line="191"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It is against this backdrop that we discuss our results of operations and financial condition in the first two quarters of 2021 as compared to earlier periods.</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2"/>
          <w:szCs w:val="12"/>
          <w:b w:val="1"/>
          <w:bCs w:val="1"/>
          <w:color w:val="auto"/>
        </w:rPr>
        <w:t>ESULTS OF</w:t>
      </w:r>
      <w:r>
        <w:rPr>
          <w:rFonts w:ascii="Arial" w:cs="Arial" w:eastAsia="Arial" w:hAnsi="Arial"/>
          <w:sz w:val="18"/>
          <w:szCs w:val="18"/>
          <w:b w:val="1"/>
          <w:bCs w:val="1"/>
          <w:color w:val="auto"/>
        </w:rPr>
        <w:t xml:space="preserve"> O</w:t>
      </w:r>
      <w:r>
        <w:rPr>
          <w:rFonts w:ascii="Arial" w:cs="Arial" w:eastAsia="Arial" w:hAnsi="Arial"/>
          <w:sz w:val="12"/>
          <w:szCs w:val="12"/>
          <w:b w:val="1"/>
          <w:bCs w:val="1"/>
          <w:color w:val="auto"/>
        </w:rPr>
        <w:t>PERATIONS</w:t>
      </w:r>
    </w:p>
    <w:p>
      <w:pPr>
        <w:spacing w:after="0" w:line="252"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Summary. </w:t>
      </w:r>
      <w:r>
        <w:rPr>
          <w:rFonts w:ascii="Arial" w:cs="Arial" w:eastAsia="Arial" w:hAnsi="Arial"/>
          <w:sz w:val="17"/>
          <w:szCs w:val="17"/>
          <w:color w:val="auto"/>
        </w:rPr>
        <w:t>We recorded net income of $12.4 million and $14.8 million during the three months ended June 30, 2021 and 2020, respectively. The decrease</w:t>
      </w:r>
      <w:r>
        <w:rPr>
          <w:rFonts w:ascii="Arial" w:cs="Arial" w:eastAsia="Arial" w:hAnsi="Arial"/>
          <w:sz w:val="17"/>
          <w:szCs w:val="17"/>
          <w:b w:val="1"/>
          <w:bCs w:val="1"/>
          <w:color w:val="auto"/>
        </w:rPr>
        <w:t xml:space="preserve"> </w:t>
      </w:r>
      <w:r>
        <w:rPr>
          <w:rFonts w:ascii="Arial" w:cs="Arial" w:eastAsia="Arial" w:hAnsi="Arial"/>
          <w:sz w:val="17"/>
          <w:szCs w:val="17"/>
          <w:color w:val="auto"/>
        </w:rPr>
        <w:t>in 2021 second quarter results as compared to 2020 is primarily due to a decline in non-interest income and an increase in non-interest expense that were partially offset by an increase in net interest income and decreases in the provision for credit losses and income tax expense.</w:t>
      </w:r>
    </w:p>
    <w:p>
      <w:pPr>
        <w:spacing w:after="0" w:line="1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recorded net income of $34.4 million and $19.6 million during the six months ended June 30, 2021 and 2020, respectively. The increase in 2021 year-to-date results as compared to 2020 is primarily due to increases in net interest income and non-interest income and a decrease in the provision for credit losses that was partially offset by increases in non-interest expense and income tax expense.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40" w:type="dxa"/>
            <w:vAlign w:val="bottom"/>
          </w:tcPr>
          <w:p>
            <w:pPr>
              <w:spacing w:after="0"/>
              <w:rPr>
                <w:sz w:val="20"/>
                <w:szCs w:val="20"/>
                <w:color w:val="auto"/>
              </w:rPr>
            </w:pPr>
            <w:r>
              <w:rPr>
                <w:rFonts w:ascii="Arial" w:cs="Arial" w:eastAsia="Arial" w:hAnsi="Arial"/>
                <w:sz w:val="18"/>
                <w:szCs w:val="18"/>
                <w:b w:val="1"/>
                <w:bCs w:val="1"/>
                <w:color w:val="auto"/>
              </w:rPr>
              <w:t>Key performance ratios</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45"/>
        </w:trPr>
        <w:tc>
          <w:tcPr>
            <w:tcW w:w="5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20" w:type="dxa"/>
            <w:vAlign w:val="bottom"/>
            <w:gridSpan w:val="5"/>
          </w:tcPr>
          <w:p>
            <w:pPr>
              <w:jc w:val="center"/>
              <w:ind w:right="520"/>
              <w:spacing w:after="0"/>
              <w:rPr>
                <w:sz w:val="20"/>
                <w:szCs w:val="20"/>
                <w:color w:val="auto"/>
              </w:rPr>
            </w:pPr>
            <w:r>
              <w:rPr>
                <w:rFonts w:ascii="Arial" w:cs="Arial" w:eastAsia="Arial" w:hAnsi="Arial"/>
                <w:sz w:val="18"/>
                <w:szCs w:val="18"/>
                <w:color w:val="auto"/>
                <w:w w:val="89"/>
              </w:rPr>
              <w:t>Three months ended</w:t>
            </w:r>
          </w:p>
        </w:tc>
        <w:tc>
          <w:tcPr>
            <w:tcW w:w="220" w:type="dxa"/>
            <w:vAlign w:val="bottom"/>
          </w:tcPr>
          <w:p>
            <w:pPr>
              <w:spacing w:after="0"/>
              <w:rPr>
                <w:sz w:val="24"/>
                <w:szCs w:val="24"/>
                <w:color w:val="auto"/>
              </w:rPr>
            </w:pPr>
          </w:p>
        </w:tc>
        <w:tc>
          <w:tcPr>
            <w:tcW w:w="2420" w:type="dxa"/>
            <w:vAlign w:val="bottom"/>
            <w:gridSpan w:val="5"/>
          </w:tcPr>
          <w:p>
            <w:pPr>
              <w:jc w:val="center"/>
              <w:ind w:right="380"/>
              <w:spacing w:after="0"/>
              <w:rPr>
                <w:sz w:val="20"/>
                <w:szCs w:val="20"/>
                <w:color w:val="auto"/>
              </w:rPr>
            </w:pPr>
            <w:r>
              <w:rPr>
                <w:rFonts w:ascii="Arial" w:cs="Arial" w:eastAsia="Arial" w:hAnsi="Arial"/>
                <w:sz w:val="18"/>
                <w:szCs w:val="18"/>
                <w:color w:val="auto"/>
                <w:w w:val="88"/>
              </w:rPr>
              <w:t>Six months ended</w:t>
            </w:r>
          </w:p>
        </w:tc>
      </w:tr>
      <w:tr>
        <w:trPr>
          <w:trHeight w:val="216"/>
        </w:trPr>
        <w:tc>
          <w:tcPr>
            <w:tcW w:w="5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3"/>
          </w:tcPr>
          <w:p>
            <w:pPr>
              <w:jc w:val="center"/>
              <w:ind w:left="510"/>
              <w:spacing w:after="0"/>
              <w:rPr>
                <w:sz w:val="20"/>
                <w:szCs w:val="20"/>
                <w:color w:val="auto"/>
              </w:rPr>
            </w:pPr>
            <w:r>
              <w:rPr>
                <w:rFonts w:ascii="Arial" w:cs="Arial" w:eastAsia="Arial" w:hAnsi="Arial"/>
                <w:sz w:val="18"/>
                <w:szCs w:val="18"/>
                <w:color w:val="auto"/>
                <w:w w:val="86"/>
              </w:rPr>
              <w:t>June 30,</w:t>
            </w: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3"/>
          </w:tcPr>
          <w:p>
            <w:pPr>
              <w:jc w:val="center"/>
              <w:ind w:left="530"/>
              <w:spacing w:after="0"/>
              <w:rPr>
                <w:sz w:val="20"/>
                <w:szCs w:val="20"/>
                <w:color w:val="auto"/>
              </w:rPr>
            </w:pPr>
            <w:r>
              <w:rPr>
                <w:rFonts w:ascii="Arial" w:cs="Arial" w:eastAsia="Arial" w:hAnsi="Arial"/>
                <w:sz w:val="18"/>
                <w:szCs w:val="18"/>
                <w:color w:val="auto"/>
                <w:w w:val="86"/>
              </w:rPr>
              <w:t>June 30,</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7"/>
        </w:trPr>
        <w:tc>
          <w:tcPr>
            <w:tcW w:w="58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2021</w:t>
            </w:r>
          </w:p>
        </w:tc>
        <w:tc>
          <w:tcPr>
            <w:tcW w:w="2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2020</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c>
          <w:tcPr>
            <w:tcW w:w="2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160" w:type="dxa"/>
            <w:vAlign w:val="bottom"/>
          </w:tcPr>
          <w:p>
            <w:pPr>
              <w:spacing w:after="0"/>
              <w:rPr>
                <w:sz w:val="20"/>
                <w:szCs w:val="20"/>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Net income (annualized) to</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Average assets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1.12%</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1.54%</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1.60%</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1.06%</w:t>
            </w:r>
          </w:p>
        </w:tc>
      </w:tr>
      <w:tr>
        <w:trPr>
          <w:trHeight w:val="216"/>
        </w:trPr>
        <w:tc>
          <w:tcPr>
            <w:tcW w:w="5840" w:type="dxa"/>
            <w:vAlign w:val="bottom"/>
          </w:tcPr>
          <w:p>
            <w:pPr>
              <w:ind w:left="140"/>
              <w:spacing w:after="0"/>
              <w:rPr>
                <w:sz w:val="20"/>
                <w:szCs w:val="20"/>
                <w:color w:val="auto"/>
              </w:rPr>
            </w:pPr>
            <w:r>
              <w:rPr>
                <w:rFonts w:ascii="Arial" w:cs="Arial" w:eastAsia="Arial" w:hAnsi="Arial"/>
                <w:sz w:val="18"/>
                <w:szCs w:val="18"/>
                <w:color w:val="auto"/>
              </w:rPr>
              <w:t>Average shareholders’ equity</w:t>
            </w:r>
          </w:p>
        </w:tc>
        <w:tc>
          <w:tcPr>
            <w:tcW w:w="2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12.78%</w:t>
            </w:r>
          </w:p>
        </w:tc>
        <w:tc>
          <w:tcPr>
            <w:tcW w:w="2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17.39%</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18.06%</w:t>
            </w:r>
          </w:p>
        </w:tc>
        <w:tc>
          <w:tcPr>
            <w:tcW w:w="2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11.41%</w:t>
            </w:r>
          </w:p>
        </w:tc>
      </w:tr>
      <w:tr>
        <w:trPr>
          <w:trHeight w:val="216"/>
        </w:trPr>
        <w:tc>
          <w:tcPr>
            <w:tcW w:w="5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Net income per common share</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0.57</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0.67</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1.58</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0.89</w:t>
            </w:r>
          </w:p>
        </w:tc>
      </w:tr>
      <w:tr>
        <w:trPr>
          <w:trHeight w:val="230"/>
        </w:trPr>
        <w:tc>
          <w:tcPr>
            <w:tcW w:w="5840" w:type="dxa"/>
            <w:vAlign w:val="bottom"/>
          </w:tcPr>
          <w:p>
            <w:pPr>
              <w:ind w:left="140"/>
              <w:spacing w:after="0"/>
              <w:rPr>
                <w:sz w:val="20"/>
                <w:szCs w:val="20"/>
                <w:color w:val="auto"/>
              </w:rPr>
            </w:pPr>
            <w:r>
              <w:rPr>
                <w:rFonts w:ascii="Arial" w:cs="Arial" w:eastAsia="Arial" w:hAnsi="Arial"/>
                <w:sz w:val="18"/>
                <w:szCs w:val="18"/>
                <w:color w:val="auto"/>
              </w:rPr>
              <w:t>Diluted</w:t>
            </w:r>
          </w:p>
        </w:tc>
        <w:tc>
          <w:tcPr>
            <w:tcW w:w="240" w:type="dxa"/>
            <w:vAlign w:val="bottom"/>
          </w:tcPr>
          <w:p>
            <w:pPr>
              <w:spacing w:after="0"/>
              <w:rPr>
                <w:sz w:val="20"/>
                <w:szCs w:val="20"/>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0.56</w:t>
            </w:r>
          </w:p>
        </w:tc>
        <w:tc>
          <w:tcPr>
            <w:tcW w:w="260" w:type="dxa"/>
            <w:vAlign w:val="bottom"/>
          </w:tcPr>
          <w:p>
            <w:pPr>
              <w:spacing w:after="0"/>
              <w:rPr>
                <w:sz w:val="20"/>
                <w:szCs w:val="20"/>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0.67</w:t>
            </w:r>
          </w:p>
        </w:tc>
        <w:tc>
          <w:tcPr>
            <w:tcW w:w="220" w:type="dxa"/>
            <w:vAlign w:val="bottom"/>
          </w:tcPr>
          <w:p>
            <w:pPr>
              <w:spacing w:after="0"/>
              <w:rPr>
                <w:sz w:val="20"/>
                <w:szCs w:val="20"/>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1.56</w:t>
            </w:r>
          </w:p>
        </w:tc>
        <w:tc>
          <w:tcPr>
            <w:tcW w:w="26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0.88</w:t>
            </w:r>
          </w:p>
        </w:tc>
      </w:tr>
    </w:tbl>
    <w:p>
      <w:pPr>
        <w:spacing w:after="0" w:line="210"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Net interest income. </w:t>
      </w:r>
      <w:r>
        <w:rPr>
          <w:rFonts w:ascii="Arial" w:cs="Arial" w:eastAsia="Arial" w:hAnsi="Arial"/>
          <w:sz w:val="17"/>
          <w:szCs w:val="17"/>
          <w:color w:val="auto"/>
        </w:rPr>
        <w:t>Net interest income is the most important source of our earnings and thus is critical in evaluating our results of operations. Changes</w:t>
      </w:r>
      <w:r>
        <w:rPr>
          <w:rFonts w:ascii="Arial" w:cs="Arial" w:eastAsia="Arial" w:hAnsi="Arial"/>
          <w:sz w:val="17"/>
          <w:szCs w:val="17"/>
          <w:b w:val="1"/>
          <w:bCs w:val="1"/>
          <w:color w:val="auto"/>
        </w:rPr>
        <w:t xml:space="preserve"> </w:t>
      </w:r>
      <w:r>
        <w:rPr>
          <w:rFonts w:ascii="Arial" w:cs="Arial" w:eastAsia="Arial" w:hAnsi="Arial"/>
          <w:sz w:val="17"/>
          <w:szCs w:val="17"/>
          <w:color w:val="auto"/>
        </w:rPr>
        <w:t>in our net interest income are primarily influenced by our level of interest-earning assets and the income or yield that we earn on those assets and the manner and cost of funding our interest-earning assets. Certain macro-economic factors can also influence our net interest income such as the level and direction of interest rates, the difference between short-term and long-term interest rates (the steepness of the yield curve) and the general strength of the economies in which we are doing business. Finally, risk management plays an important role in our level of net interest income. The ineffective management of credit risk and interest-rate risk in particular can adversely impact our net interest income.</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2" w:name="page73"/>
    <w:bookmarkEnd w:id="7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net interest income totaled $31.4 million during the second quarter of 2021, an increase of $0.9 million, or 3.1% from the year-ago period. This increase primarily reflects a $564.0 million increase in average interest-earning assets that was partially offset by a 34 basis point decrease in our tax equivalent net interest income as a percent of average interest-earning assets (the “net interest margin”).</w:t>
      </w:r>
    </w:p>
    <w:p>
      <w:pPr>
        <w:spacing w:after="0" w:line="21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For the first six months of 2021, net interest income totaled $61.7 million, an increase of $1.0 million, or 1.7% from 2020. This increase primarily reflects a $631.0 million increase in average interest-earning assets that was partially offset by a 45 basis point decrease in our net interest margin.</w:t>
      </w:r>
    </w:p>
    <w:p>
      <w:pPr>
        <w:spacing w:after="0" w:line="17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Due principally to the economic impact of COVID-19, the Federal Reserve has taken a variety of actions to stimulate the economy, including significantly lowering short-term interest rates. These lower interest rates combined with a higher allocation to lower yielding securities available for sale has placed continued pressure on our net interest margin.</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increase in average interest-earning assets in 2021 as compared to 2020 primarily reflects growth in securities available for sale funded from an increase in deposits.</w:t>
      </w:r>
    </w:p>
    <w:p>
      <w:pPr>
        <w:spacing w:after="0" w:line="19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Interest and fees on loans include $1.8 million and $3.9 million of accretion of net loan fees on PPP loans in the second quarter and first six months of 2021, respectively, compared to $1.0 million for the second quarter and first six months of 2020. Interest and fees on loans also include $0.2 million and $0.6 million for the second quarter and first six months of 2021, respectively, and include $0.2 million and $0.5 million for the second quarter and first six months of 2020, respectively, of accretion of the discount recorded on loans acquired in the April 2018 acquisition of Traverse City State Bank (“TCSB”).</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net interest income is also adversely impacted by our level of non-accrual loans. In the second quarter and first six months of 2021, non-accrual loans averaged $6.1 million and $7.0 million, respectively. In the second quarter and first six months of 2020, non-accrual loans averaged $15.6 million and $13.3 million, respectively. In addition, in the second quarter and first six months of 2021, we had net recoveries of $0.43 million and $0.60 million, respectively, of unpaid interest on loans placed on or taken off non-accrual during each period or on loans previously charged-off compared to net recoveries of $0.25 million and $0.41 million, respectively, during the same periods in 2020.</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161"/>
        </w:trPr>
        <w:tc>
          <w:tcPr>
            <w:tcW w:w="4940" w:type="dxa"/>
            <w:vAlign w:val="bottom"/>
            <w:gridSpan w:val="2"/>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4940" w:type="dxa"/>
            <w:vAlign w:val="bottom"/>
            <w:gridSpan w:val="2"/>
          </w:tcPr>
          <w:p>
            <w:pPr>
              <w:spacing w:after="0"/>
              <w:rPr>
                <w:sz w:val="20"/>
                <w:szCs w:val="20"/>
                <w:color w:val="auto"/>
              </w:rPr>
            </w:pPr>
            <w:r>
              <w:rPr>
                <w:rFonts w:ascii="Arial" w:cs="Arial" w:eastAsia="Arial" w:hAnsi="Arial"/>
                <w:sz w:val="18"/>
                <w:szCs w:val="18"/>
                <w:b w:val="1"/>
                <w:bCs w:val="1"/>
                <w:color w:val="auto"/>
              </w:rPr>
              <w:t>Average Balances and Tax Equivalent Rates</w:t>
            </w: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32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80" w:type="dxa"/>
            <w:vAlign w:val="bottom"/>
            <w:gridSpan w:val="5"/>
          </w:tcPr>
          <w:p>
            <w:pPr>
              <w:jc w:val="right"/>
              <w:ind w:right="460"/>
              <w:spacing w:after="0"/>
              <w:rPr>
                <w:sz w:val="20"/>
                <w:szCs w:val="20"/>
                <w:color w:val="auto"/>
              </w:rPr>
            </w:pPr>
            <w:r>
              <w:rPr>
                <w:rFonts w:ascii="Arial" w:cs="Arial" w:eastAsia="Arial" w:hAnsi="Arial"/>
                <w:sz w:val="18"/>
                <w:szCs w:val="18"/>
                <w:color w:val="auto"/>
              </w:rPr>
              <w:t>Three Months Ended</w:t>
            </w: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vMerge w:val="restart"/>
          </w:tcPr>
          <w:p>
            <w:pPr>
              <w:jc w:val="right"/>
              <w:ind w:right="230"/>
              <w:spacing w:after="0"/>
              <w:rPr>
                <w:sz w:val="20"/>
                <w:szCs w:val="20"/>
                <w:color w:val="auto"/>
              </w:rPr>
            </w:pPr>
            <w:r>
              <w:rPr>
                <w:rFonts w:ascii="Arial" w:cs="Arial" w:eastAsia="Arial" w:hAnsi="Arial"/>
                <w:sz w:val="18"/>
                <w:szCs w:val="18"/>
                <w:color w:val="auto"/>
                <w:w w:val="94"/>
              </w:rPr>
              <w:t>2021</w:t>
            </w:r>
          </w:p>
        </w:tc>
        <w:tc>
          <w:tcPr>
            <w:tcW w:w="160" w:type="dxa"/>
            <w:vAlign w:val="bottom"/>
          </w:tcPr>
          <w:p>
            <w:pPr>
              <w:spacing w:after="0"/>
              <w:rPr>
                <w:sz w:val="20"/>
                <w:szCs w:val="20"/>
                <w:color w:val="auto"/>
              </w:rPr>
            </w:pPr>
          </w:p>
        </w:tc>
        <w:tc>
          <w:tcPr>
            <w:tcW w:w="2180" w:type="dxa"/>
            <w:vAlign w:val="bottom"/>
            <w:gridSpan w:val="5"/>
          </w:tcPr>
          <w:p>
            <w:pPr>
              <w:jc w:val="right"/>
              <w:ind w:right="920"/>
              <w:spacing w:after="0"/>
              <w:rPr>
                <w:sz w:val="20"/>
                <w:szCs w:val="20"/>
                <w:color w:val="auto"/>
              </w:rPr>
            </w:pPr>
            <w:r>
              <w:rPr>
                <w:rFonts w:ascii="Arial" w:cs="Arial" w:eastAsia="Arial" w:hAnsi="Arial"/>
                <w:sz w:val="18"/>
                <w:szCs w:val="18"/>
                <w:color w:val="auto"/>
              </w:rPr>
              <w:t>June 30,</w:t>
            </w:r>
          </w:p>
        </w:tc>
        <w:tc>
          <w:tcPr>
            <w:tcW w:w="120" w:type="dxa"/>
            <w:vAlign w:val="bottom"/>
          </w:tcPr>
          <w:p>
            <w:pPr>
              <w:spacing w:after="0"/>
              <w:rPr>
                <w:sz w:val="20"/>
                <w:szCs w:val="20"/>
                <w:color w:val="auto"/>
              </w:rPr>
            </w:pPr>
          </w:p>
        </w:tc>
        <w:tc>
          <w:tcPr>
            <w:tcW w:w="740" w:type="dxa"/>
            <w:vAlign w:val="bottom"/>
            <w:vMerge w:val="restart"/>
          </w:tcPr>
          <w:p>
            <w:pPr>
              <w:jc w:val="right"/>
              <w:ind w:right="230"/>
              <w:spacing w:after="0"/>
              <w:rPr>
                <w:sz w:val="20"/>
                <w:szCs w:val="20"/>
                <w:color w:val="auto"/>
              </w:rPr>
            </w:pPr>
            <w:r>
              <w:rPr>
                <w:rFonts w:ascii="Arial" w:cs="Arial" w:eastAsia="Arial" w:hAnsi="Arial"/>
                <w:sz w:val="18"/>
                <w:szCs w:val="18"/>
                <w:color w:val="auto"/>
                <w:w w:val="99"/>
              </w:rPr>
              <w:t>2020</w:t>
            </w: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ind w:left="40"/>
              <w:spacing w:after="0"/>
              <w:rPr>
                <w:sz w:val="20"/>
                <w:szCs w:val="20"/>
                <w:color w:val="auto"/>
              </w:rPr>
            </w:pPr>
            <w:r>
              <w:rPr>
                <w:rFonts w:ascii="Arial" w:cs="Arial" w:eastAsia="Arial" w:hAnsi="Arial"/>
                <w:sz w:val="18"/>
                <w:szCs w:val="18"/>
                <w:color w:val="auto"/>
              </w:rPr>
              <w:t>Average</w:t>
            </w: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vMerge w:val="restart"/>
          </w:tcPr>
          <w:p>
            <w:pPr>
              <w:ind w:left="120"/>
              <w:spacing w:after="0"/>
              <w:rPr>
                <w:sz w:val="20"/>
                <w:szCs w:val="20"/>
                <w:color w:val="auto"/>
              </w:rPr>
            </w:pPr>
            <w:r>
              <w:rPr>
                <w:rFonts w:ascii="Arial" w:cs="Arial" w:eastAsia="Arial" w:hAnsi="Arial"/>
                <w:sz w:val="18"/>
                <w:szCs w:val="18"/>
                <w:color w:val="auto"/>
              </w:rPr>
              <w:t xml:space="preserve">Rate </w:t>
            </w:r>
            <w:r>
              <w:rPr>
                <w:rFonts w:ascii="Arial" w:cs="Arial" w:eastAsia="Arial" w:hAnsi="Arial"/>
                <w:sz w:val="29"/>
                <w:szCs w:val="29"/>
                <w:color w:val="auto"/>
                <w:vertAlign w:val="superscript"/>
              </w:rPr>
              <w:t>(2)</w:t>
            </w:r>
          </w:p>
        </w:tc>
        <w:tc>
          <w:tcPr>
            <w:tcW w:w="140" w:type="dxa"/>
            <w:vAlign w:val="bottom"/>
          </w:tcPr>
          <w:p>
            <w:pPr>
              <w:spacing w:after="0"/>
              <w:rPr>
                <w:sz w:val="20"/>
                <w:szCs w:val="20"/>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Average</w:t>
            </w: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vMerge w:val="restart"/>
          </w:tcPr>
          <w:p>
            <w:pPr>
              <w:ind w:left="140"/>
              <w:spacing w:after="0"/>
              <w:rPr>
                <w:sz w:val="20"/>
                <w:szCs w:val="20"/>
                <w:color w:val="auto"/>
              </w:rPr>
            </w:pPr>
            <w:r>
              <w:rPr>
                <w:rFonts w:ascii="Arial" w:cs="Arial" w:eastAsia="Arial" w:hAnsi="Arial"/>
                <w:sz w:val="18"/>
                <w:szCs w:val="18"/>
                <w:color w:val="auto"/>
              </w:rPr>
              <w:t xml:space="preserve">Rate </w:t>
            </w:r>
            <w:r>
              <w:rPr>
                <w:rFonts w:ascii="Arial" w:cs="Arial" w:eastAsia="Arial" w:hAnsi="Arial"/>
                <w:sz w:val="29"/>
                <w:szCs w:val="29"/>
                <w:color w:val="auto"/>
                <w:vertAlign w:val="superscript"/>
              </w:rPr>
              <w:t>(2)</w:t>
            </w:r>
          </w:p>
        </w:tc>
        <w:tc>
          <w:tcPr>
            <w:tcW w:w="0" w:type="dxa"/>
            <w:vAlign w:val="bottom"/>
          </w:tcPr>
          <w:p>
            <w:pPr>
              <w:spacing w:after="0"/>
              <w:rPr>
                <w:sz w:val="1"/>
                <w:szCs w:val="1"/>
                <w:color w:val="auto"/>
              </w:rPr>
            </w:pPr>
          </w:p>
        </w:tc>
      </w:tr>
      <w:tr>
        <w:trPr>
          <w:trHeight w:val="249"/>
        </w:trPr>
        <w:tc>
          <w:tcPr>
            <w:tcW w:w="320" w:type="dxa"/>
            <w:vAlign w:val="bottom"/>
          </w:tcPr>
          <w:p>
            <w:pPr>
              <w:spacing w:after="0"/>
              <w:rPr>
                <w:sz w:val="21"/>
                <w:szCs w:val="21"/>
                <w:color w:val="auto"/>
              </w:rPr>
            </w:pPr>
          </w:p>
        </w:tc>
        <w:tc>
          <w:tcPr>
            <w:tcW w:w="4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ind w:left="60"/>
              <w:spacing w:after="0"/>
              <w:rPr>
                <w:sz w:val="20"/>
                <w:szCs w:val="20"/>
                <w:color w:val="auto"/>
              </w:rPr>
            </w:pPr>
            <w:r>
              <w:rPr>
                <w:rFonts w:ascii="Arial" w:cs="Arial" w:eastAsia="Arial" w:hAnsi="Arial"/>
                <w:sz w:val="18"/>
                <w:szCs w:val="18"/>
                <w:color w:val="auto"/>
              </w:rPr>
              <w:t>Balance</w:t>
            </w:r>
          </w:p>
        </w:tc>
        <w:tc>
          <w:tcPr>
            <w:tcW w:w="120" w:type="dxa"/>
            <w:vAlign w:val="bottom"/>
          </w:tcPr>
          <w:p>
            <w:pPr>
              <w:spacing w:after="0"/>
              <w:rPr>
                <w:sz w:val="21"/>
                <w:szCs w:val="21"/>
                <w:color w:val="auto"/>
              </w:rPr>
            </w:pPr>
          </w:p>
        </w:tc>
        <w:tc>
          <w:tcPr>
            <w:tcW w:w="880" w:type="dxa"/>
            <w:vAlign w:val="bottom"/>
            <w:gridSpan w:val="2"/>
          </w:tcPr>
          <w:p>
            <w:pPr>
              <w:ind w:left="20"/>
              <w:spacing w:after="0"/>
              <w:rPr>
                <w:sz w:val="20"/>
                <w:szCs w:val="20"/>
                <w:color w:val="auto"/>
              </w:rPr>
            </w:pPr>
            <w:r>
              <w:rPr>
                <w:rFonts w:ascii="Arial" w:cs="Arial" w:eastAsia="Arial" w:hAnsi="Arial"/>
                <w:sz w:val="18"/>
                <w:szCs w:val="18"/>
                <w:color w:val="auto"/>
              </w:rPr>
              <w:t>Interest</w:t>
            </w:r>
          </w:p>
        </w:tc>
        <w:tc>
          <w:tcPr>
            <w:tcW w:w="104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w w:val="95"/>
              </w:rPr>
              <w:t>Balance</w:t>
            </w:r>
          </w:p>
        </w:tc>
        <w:tc>
          <w:tcPr>
            <w:tcW w:w="120" w:type="dxa"/>
            <w:vAlign w:val="bottom"/>
          </w:tcPr>
          <w:p>
            <w:pPr>
              <w:spacing w:after="0"/>
              <w:rPr>
                <w:sz w:val="21"/>
                <w:szCs w:val="21"/>
                <w:color w:val="auto"/>
              </w:rPr>
            </w:pPr>
          </w:p>
        </w:tc>
        <w:tc>
          <w:tcPr>
            <w:tcW w:w="900" w:type="dxa"/>
            <w:vAlign w:val="bottom"/>
            <w:gridSpan w:val="2"/>
          </w:tcPr>
          <w:p>
            <w:pPr>
              <w:ind w:left="40"/>
              <w:spacing w:after="0"/>
              <w:rPr>
                <w:sz w:val="20"/>
                <w:szCs w:val="20"/>
                <w:color w:val="auto"/>
              </w:rPr>
            </w:pPr>
            <w:r>
              <w:rPr>
                <w:rFonts w:ascii="Arial" w:cs="Arial" w:eastAsia="Arial" w:hAnsi="Arial"/>
                <w:sz w:val="18"/>
                <w:szCs w:val="18"/>
                <w:color w:val="auto"/>
              </w:rPr>
              <w:t>Interest</w:t>
            </w:r>
          </w:p>
        </w:tc>
        <w:tc>
          <w:tcPr>
            <w:tcW w:w="98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940" w:type="dxa"/>
            <w:vAlign w:val="bottom"/>
            <w:gridSpan w:val="2"/>
            <w:vMerge w:val="restart"/>
          </w:tcPr>
          <w:p>
            <w:pPr>
              <w:spacing w:after="0"/>
              <w:rPr>
                <w:sz w:val="20"/>
                <w:szCs w:val="20"/>
                <w:color w:val="auto"/>
              </w:rPr>
            </w:pPr>
            <w:r>
              <w:rPr>
                <w:rFonts w:ascii="Arial" w:cs="Arial" w:eastAsia="Arial" w:hAnsi="Arial"/>
                <w:sz w:val="18"/>
                <w:szCs w:val="18"/>
                <w:color w:val="auto"/>
              </w:rPr>
              <w:t>Assets</w:t>
            </w:r>
          </w:p>
        </w:tc>
        <w:tc>
          <w:tcPr>
            <w:tcW w:w="1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w w:val="99"/>
              </w:rPr>
              <w:t>(Dollars</w:t>
            </w:r>
          </w:p>
        </w:tc>
        <w:tc>
          <w:tcPr>
            <w:tcW w:w="240" w:type="dxa"/>
            <w:vAlign w:val="bottom"/>
          </w:tcPr>
          <w:p>
            <w:pPr>
              <w:spacing w:after="0"/>
              <w:rPr>
                <w:sz w:val="20"/>
                <w:szCs w:val="20"/>
                <w:color w:val="auto"/>
              </w:rPr>
            </w:pPr>
            <w:r>
              <w:rPr>
                <w:rFonts w:ascii="Arial" w:cs="Arial" w:eastAsia="Arial" w:hAnsi="Arial"/>
                <w:sz w:val="18"/>
                <w:szCs w:val="18"/>
                <w:color w:val="auto"/>
              </w:rPr>
              <w:t>in</w:t>
            </w:r>
          </w:p>
        </w:tc>
        <w:tc>
          <w:tcPr>
            <w:tcW w:w="9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thousands)</w:t>
            </w:r>
          </w:p>
        </w:tc>
        <w:tc>
          <w:tcPr>
            <w:tcW w:w="16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9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Taxable loans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2,852,972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28,026</w:t>
            </w:r>
          </w:p>
        </w:tc>
        <w:tc>
          <w:tcPr>
            <w:tcW w:w="10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4.13%</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2,906,843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29,793</w:t>
            </w:r>
          </w:p>
        </w:tc>
        <w:tc>
          <w:tcPr>
            <w:tcW w:w="9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0"/>
              </w:rPr>
              <w:t>4.11%</w:t>
            </w:r>
          </w:p>
        </w:tc>
        <w:tc>
          <w:tcPr>
            <w:tcW w:w="0" w:type="dxa"/>
            <w:vAlign w:val="bottom"/>
          </w:tcPr>
          <w:p>
            <w:pPr>
              <w:spacing w:after="0"/>
              <w:rPr>
                <w:sz w:val="1"/>
                <w:szCs w:val="1"/>
                <w:color w:val="auto"/>
              </w:rPr>
            </w:pPr>
          </w:p>
        </w:tc>
      </w:tr>
      <w:tr>
        <w:trPr>
          <w:trHeight w:val="256"/>
        </w:trPr>
        <w:tc>
          <w:tcPr>
            <w:tcW w:w="494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Tax-exempt loans </w:t>
            </w:r>
            <w:r>
              <w:rPr>
                <w:rFonts w:ascii="Arial" w:cs="Arial" w:eastAsia="Arial" w:hAnsi="Arial"/>
                <w:sz w:val="29"/>
                <w:szCs w:val="29"/>
                <w:color w:val="auto"/>
                <w:vertAlign w:val="superscript"/>
              </w:rPr>
              <w:t>(1)</w:t>
            </w:r>
          </w:p>
        </w:tc>
        <w:tc>
          <w:tcPr>
            <w:tcW w:w="1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6,572</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82</w:t>
            </w:r>
          </w:p>
        </w:tc>
        <w:tc>
          <w:tcPr>
            <w:tcW w:w="1040" w:type="dxa"/>
            <w:vAlign w:val="bottom"/>
            <w:gridSpan w:val="2"/>
          </w:tcPr>
          <w:p>
            <w:pPr>
              <w:ind w:left="500"/>
              <w:spacing w:after="0"/>
              <w:rPr>
                <w:sz w:val="20"/>
                <w:szCs w:val="20"/>
                <w:color w:val="auto"/>
              </w:rPr>
            </w:pPr>
            <w:r>
              <w:rPr>
                <w:rFonts w:ascii="Arial" w:cs="Arial" w:eastAsia="Arial" w:hAnsi="Arial"/>
                <w:sz w:val="18"/>
                <w:szCs w:val="18"/>
                <w:color w:val="auto"/>
              </w:rPr>
              <w:t>5.00</w:t>
            </w:r>
          </w:p>
        </w:tc>
        <w:tc>
          <w:tcPr>
            <w:tcW w:w="140" w:type="dxa"/>
            <w:vAlign w:val="bottom"/>
          </w:tcPr>
          <w:p>
            <w:pPr>
              <w:spacing w:after="0"/>
              <w:rPr>
                <w:sz w:val="22"/>
                <w:szCs w:val="22"/>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7,014</w:t>
            </w:r>
          </w:p>
        </w:tc>
        <w:tc>
          <w:tcPr>
            <w:tcW w:w="120" w:type="dxa"/>
            <w:vAlign w:val="bottom"/>
          </w:tcPr>
          <w:p>
            <w:pPr>
              <w:spacing w:after="0"/>
              <w:rPr>
                <w:sz w:val="22"/>
                <w:szCs w:val="22"/>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88</w:t>
            </w:r>
          </w:p>
        </w:tc>
        <w:tc>
          <w:tcPr>
            <w:tcW w:w="980" w:type="dxa"/>
            <w:vAlign w:val="bottom"/>
            <w:gridSpan w:val="2"/>
          </w:tcPr>
          <w:p>
            <w:pPr>
              <w:ind w:left="500"/>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Taxable securities available for sale</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908,622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3,656</w:t>
            </w:r>
          </w:p>
        </w:tc>
        <w:tc>
          <w:tcPr>
            <w:tcW w:w="10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1.61</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535,345</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2,847</w:t>
            </w:r>
          </w:p>
        </w:tc>
        <w:tc>
          <w:tcPr>
            <w:tcW w:w="9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56"/>
        </w:trPr>
        <w:tc>
          <w:tcPr>
            <w:tcW w:w="4940" w:type="dxa"/>
            <w:vAlign w:val="bottom"/>
            <w:gridSpan w:val="2"/>
          </w:tcPr>
          <w:p>
            <w:pPr>
              <w:spacing w:after="0" w:line="256" w:lineRule="exact"/>
              <w:rPr>
                <w:sz w:val="20"/>
                <w:szCs w:val="20"/>
                <w:color w:val="auto"/>
              </w:rPr>
            </w:pPr>
            <w:r>
              <w:rPr>
                <w:rFonts w:ascii="Arial" w:cs="Arial" w:eastAsia="Arial" w:hAnsi="Arial"/>
                <w:sz w:val="18"/>
                <w:szCs w:val="18"/>
                <w:color w:val="auto"/>
              </w:rPr>
              <w:t>Tax-exempt securities available for sale</w:t>
            </w:r>
            <w:r>
              <w:rPr>
                <w:rFonts w:ascii="Arial" w:cs="Arial" w:eastAsia="Arial" w:hAnsi="Arial"/>
                <w:sz w:val="29"/>
                <w:szCs w:val="29"/>
                <w:color w:val="auto"/>
                <w:vertAlign w:val="superscript"/>
              </w:rPr>
              <w:t>(1)</w:t>
            </w:r>
          </w:p>
        </w:tc>
        <w:tc>
          <w:tcPr>
            <w:tcW w:w="1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365,934</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2,005</w:t>
            </w:r>
          </w:p>
        </w:tc>
        <w:tc>
          <w:tcPr>
            <w:tcW w:w="1040" w:type="dxa"/>
            <w:vAlign w:val="bottom"/>
            <w:gridSpan w:val="2"/>
          </w:tcPr>
          <w:p>
            <w:pPr>
              <w:ind w:left="500"/>
              <w:spacing w:after="0"/>
              <w:rPr>
                <w:sz w:val="20"/>
                <w:szCs w:val="20"/>
                <w:color w:val="auto"/>
              </w:rPr>
            </w:pPr>
            <w:r>
              <w:rPr>
                <w:rFonts w:ascii="Arial" w:cs="Arial" w:eastAsia="Arial" w:hAnsi="Arial"/>
                <w:sz w:val="18"/>
                <w:szCs w:val="18"/>
                <w:color w:val="auto"/>
              </w:rPr>
              <w:t>2.19</w:t>
            </w:r>
          </w:p>
        </w:tc>
        <w:tc>
          <w:tcPr>
            <w:tcW w:w="140" w:type="dxa"/>
            <w:vAlign w:val="bottom"/>
          </w:tcPr>
          <w:p>
            <w:pPr>
              <w:spacing w:after="0"/>
              <w:rPr>
                <w:sz w:val="22"/>
                <w:szCs w:val="22"/>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124,781</w:t>
            </w:r>
          </w:p>
        </w:tc>
        <w:tc>
          <w:tcPr>
            <w:tcW w:w="120" w:type="dxa"/>
            <w:vAlign w:val="bottom"/>
          </w:tcPr>
          <w:p>
            <w:pPr>
              <w:spacing w:after="0"/>
              <w:rPr>
                <w:sz w:val="22"/>
                <w:szCs w:val="22"/>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998</w:t>
            </w:r>
          </w:p>
        </w:tc>
        <w:tc>
          <w:tcPr>
            <w:tcW w:w="980" w:type="dxa"/>
            <w:vAlign w:val="bottom"/>
            <w:gridSpan w:val="2"/>
          </w:tcPr>
          <w:p>
            <w:pPr>
              <w:ind w:left="50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bearing cash</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71,043</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w:t>
            </w:r>
          </w:p>
        </w:tc>
        <w:tc>
          <w:tcPr>
            <w:tcW w:w="10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0.12</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67,204</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w:t>
            </w:r>
          </w:p>
        </w:tc>
        <w:tc>
          <w:tcPr>
            <w:tcW w:w="9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23"/>
        </w:trPr>
        <w:tc>
          <w:tcPr>
            <w:tcW w:w="4940" w:type="dxa"/>
            <w:vAlign w:val="bottom"/>
            <w:gridSpan w:val="2"/>
          </w:tcPr>
          <w:p>
            <w:pPr>
              <w:spacing w:after="0"/>
              <w:rPr>
                <w:sz w:val="20"/>
                <w:szCs w:val="20"/>
                <w:color w:val="auto"/>
              </w:rPr>
            </w:pPr>
            <w:r>
              <w:rPr>
                <w:rFonts w:ascii="Arial" w:cs="Arial" w:eastAsia="Arial" w:hAnsi="Arial"/>
                <w:sz w:val="18"/>
                <w:szCs w:val="18"/>
                <w:color w:val="auto"/>
              </w:rPr>
              <w:t>Other investments</w:t>
            </w:r>
          </w:p>
        </w:tc>
        <w:tc>
          <w:tcPr>
            <w:tcW w:w="14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18,427</w:t>
            </w:r>
          </w:p>
        </w:tc>
        <w:tc>
          <w:tcPr>
            <w:tcW w:w="1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186</w:t>
            </w:r>
          </w:p>
        </w:tc>
        <w:tc>
          <w:tcPr>
            <w:tcW w:w="1040" w:type="dxa"/>
            <w:vAlign w:val="bottom"/>
            <w:gridSpan w:val="2"/>
          </w:tcPr>
          <w:p>
            <w:pPr>
              <w:ind w:left="500"/>
              <w:spacing w:after="0"/>
              <w:rPr>
                <w:sz w:val="20"/>
                <w:szCs w:val="20"/>
                <w:color w:val="auto"/>
              </w:rPr>
            </w:pPr>
            <w:r>
              <w:rPr>
                <w:rFonts w:ascii="Arial" w:cs="Arial" w:eastAsia="Arial" w:hAnsi="Arial"/>
                <w:sz w:val="18"/>
                <w:szCs w:val="18"/>
                <w:color w:val="auto"/>
              </w:rPr>
              <w:t>4.05</w:t>
            </w:r>
          </w:p>
        </w:tc>
        <w:tc>
          <w:tcPr>
            <w:tcW w:w="14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18,427</w:t>
            </w:r>
          </w:p>
        </w:tc>
        <w:tc>
          <w:tcPr>
            <w:tcW w:w="1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233</w:t>
            </w:r>
          </w:p>
        </w:tc>
        <w:tc>
          <w:tcPr>
            <w:tcW w:w="980" w:type="dxa"/>
            <w:vAlign w:val="bottom"/>
            <w:gridSpan w:val="2"/>
          </w:tcPr>
          <w:p>
            <w:pPr>
              <w:ind w:left="500"/>
              <w:spacing w:after="0"/>
              <w:rPr>
                <w:sz w:val="20"/>
                <w:szCs w:val="20"/>
                <w:color w:val="auto"/>
              </w:rPr>
            </w:pPr>
            <w:r>
              <w:rPr>
                <w:rFonts w:ascii="Arial" w:cs="Arial" w:eastAsia="Arial" w:hAnsi="Arial"/>
                <w:sz w:val="18"/>
                <w:szCs w:val="18"/>
                <w:color w:val="auto"/>
              </w:rPr>
              <w:t>5.09</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4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Interest Earning Assets</w:t>
            </w:r>
          </w:p>
        </w:tc>
        <w:tc>
          <w:tcPr>
            <w:tcW w:w="1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4,223,570</w:t>
            </w: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33,977</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3.22</w:t>
            </w: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3,659,614</w:t>
            </w: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33,977</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16"/>
        </w:trPr>
        <w:tc>
          <w:tcPr>
            <w:tcW w:w="4940" w:type="dxa"/>
            <w:vAlign w:val="bottom"/>
            <w:gridSpan w:val="2"/>
          </w:tcPr>
          <w:p>
            <w:pPr>
              <w:spacing w:after="0"/>
              <w:rPr>
                <w:sz w:val="20"/>
                <w:szCs w:val="20"/>
                <w:color w:val="auto"/>
              </w:rPr>
            </w:pPr>
            <w:r>
              <w:rPr>
                <w:rFonts w:ascii="Arial" w:cs="Arial" w:eastAsia="Arial" w:hAnsi="Arial"/>
                <w:sz w:val="18"/>
                <w:szCs w:val="18"/>
                <w:color w:val="auto"/>
              </w:rPr>
              <w:t>Cash and due from banks</w:t>
            </w:r>
          </w:p>
        </w:tc>
        <w:tc>
          <w:tcPr>
            <w:tcW w:w="1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54,120</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45,714</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assets, net</w:t>
            </w:r>
          </w:p>
        </w:tc>
        <w:tc>
          <w:tcPr>
            <w:tcW w:w="1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157,070</w:t>
            </w: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163,080</w:t>
            </w: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4760" w:type="dxa"/>
            <w:vAlign w:val="bottom"/>
            <w:gridSpan w:val="2"/>
          </w:tcPr>
          <w:p>
            <w:pPr>
              <w:jc w:val="right"/>
              <w:spacing w:after="0"/>
              <w:rPr>
                <w:sz w:val="20"/>
                <w:szCs w:val="20"/>
                <w:color w:val="auto"/>
              </w:rPr>
            </w:pPr>
            <w:r>
              <w:rPr>
                <w:rFonts w:ascii="Arial" w:cs="Arial" w:eastAsia="Arial" w:hAnsi="Arial"/>
                <w:sz w:val="18"/>
                <w:szCs w:val="18"/>
                <w:color w:val="auto"/>
              </w:rPr>
              <w:t>Total Assets $</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4,434,760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3,868,408</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320" w:type="dxa"/>
            <w:vAlign w:val="bottom"/>
            <w:shd w:val="clear" w:color="auto" w:fill="CCEEFF"/>
          </w:tcPr>
          <w:p>
            <w:pPr>
              <w:spacing w:after="0"/>
              <w:rPr>
                <w:sz w:val="18"/>
                <w:szCs w:val="18"/>
                <w:color w:val="auto"/>
              </w:rPr>
            </w:pPr>
          </w:p>
        </w:tc>
        <w:tc>
          <w:tcPr>
            <w:tcW w:w="4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gridSpan w:val="2"/>
          </w:tcPr>
          <w:p>
            <w:pPr>
              <w:spacing w:after="0"/>
              <w:rPr>
                <w:sz w:val="20"/>
                <w:szCs w:val="20"/>
                <w:color w:val="auto"/>
              </w:rPr>
            </w:pPr>
            <w:r>
              <w:rPr>
                <w:rFonts w:ascii="Arial" w:cs="Arial" w:eastAsia="Arial" w:hAnsi="Arial"/>
                <w:sz w:val="18"/>
                <w:szCs w:val="18"/>
                <w:color w:val="auto"/>
              </w:rPr>
              <w:t>Liabilities</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Savings and interest-bearing checking</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2,260,172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689</w:t>
            </w:r>
          </w:p>
        </w:tc>
        <w:tc>
          <w:tcPr>
            <w:tcW w:w="10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0.12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1,754,503</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505</w:t>
            </w:r>
          </w:p>
        </w:tc>
        <w:tc>
          <w:tcPr>
            <w:tcW w:w="9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16"/>
        </w:trPr>
        <w:tc>
          <w:tcPr>
            <w:tcW w:w="4940" w:type="dxa"/>
            <w:vAlign w:val="bottom"/>
            <w:gridSpan w:val="2"/>
          </w:tcPr>
          <w:p>
            <w:pPr>
              <w:spacing w:after="0"/>
              <w:rPr>
                <w:sz w:val="20"/>
                <w:szCs w:val="20"/>
                <w:color w:val="auto"/>
              </w:rPr>
            </w:pPr>
            <w:r>
              <w:rPr>
                <w:rFonts w:ascii="Arial" w:cs="Arial" w:eastAsia="Arial" w:hAnsi="Arial"/>
                <w:sz w:val="18"/>
                <w:szCs w:val="18"/>
                <w:color w:val="auto"/>
              </w:rPr>
              <w:t>Time deposits</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305,390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453</w:t>
            </w:r>
          </w:p>
        </w:tc>
        <w:tc>
          <w:tcPr>
            <w:tcW w:w="1040" w:type="dxa"/>
            <w:vAlign w:val="bottom"/>
            <w:gridSpan w:val="2"/>
          </w:tcPr>
          <w:p>
            <w:pPr>
              <w:ind w:left="500"/>
              <w:spacing w:after="0"/>
              <w:rPr>
                <w:sz w:val="20"/>
                <w:szCs w:val="20"/>
                <w:color w:val="auto"/>
              </w:rPr>
            </w:pPr>
            <w:r>
              <w:rPr>
                <w:rFonts w:ascii="Arial" w:cs="Arial" w:eastAsia="Arial" w:hAnsi="Arial"/>
                <w:sz w:val="18"/>
                <w:szCs w:val="18"/>
                <w:color w:val="auto"/>
              </w:rPr>
              <w:t>0.59</w:t>
            </w:r>
          </w:p>
        </w:tc>
        <w:tc>
          <w:tcPr>
            <w:tcW w:w="14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494,411</w:t>
            </w:r>
          </w:p>
        </w:tc>
        <w:tc>
          <w:tcPr>
            <w:tcW w:w="1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1,883</w:t>
            </w:r>
          </w:p>
        </w:tc>
        <w:tc>
          <w:tcPr>
            <w:tcW w:w="980" w:type="dxa"/>
            <w:vAlign w:val="bottom"/>
            <w:gridSpan w:val="2"/>
          </w:tcPr>
          <w:p>
            <w:pPr>
              <w:ind w:left="50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23"/>
        </w:trPr>
        <w:tc>
          <w:tcPr>
            <w:tcW w:w="49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borrowings</w:t>
            </w:r>
          </w:p>
        </w:tc>
        <w:tc>
          <w:tcPr>
            <w:tcW w:w="1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108,863</w:t>
            </w: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964</w:t>
            </w:r>
          </w:p>
        </w:tc>
        <w:tc>
          <w:tcPr>
            <w:tcW w:w="16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3.55</w:t>
            </w: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153,447</w:t>
            </w: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904</w:t>
            </w:r>
          </w:p>
        </w:tc>
        <w:tc>
          <w:tcPr>
            <w:tcW w:w="1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4620" w:type="dxa"/>
            <w:vAlign w:val="bottom"/>
          </w:tcPr>
          <w:p>
            <w:pPr>
              <w:jc w:val="right"/>
              <w:spacing w:after="0"/>
              <w:rPr>
                <w:sz w:val="20"/>
                <w:szCs w:val="20"/>
                <w:color w:val="auto"/>
              </w:rPr>
            </w:pPr>
            <w:r>
              <w:rPr>
                <w:rFonts w:ascii="Arial" w:cs="Arial" w:eastAsia="Arial" w:hAnsi="Arial"/>
                <w:sz w:val="18"/>
                <w:szCs w:val="18"/>
                <w:color w:val="auto"/>
              </w:rPr>
              <w:t>Interest Bearing Liabilities</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2,674,425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2,106</w:t>
            </w:r>
          </w:p>
        </w:tc>
        <w:tc>
          <w:tcPr>
            <w:tcW w:w="1040" w:type="dxa"/>
            <w:vAlign w:val="bottom"/>
            <w:gridSpan w:val="2"/>
          </w:tcPr>
          <w:p>
            <w:pPr>
              <w:ind w:left="500"/>
              <w:spacing w:after="0"/>
              <w:rPr>
                <w:sz w:val="20"/>
                <w:szCs w:val="20"/>
                <w:color w:val="auto"/>
              </w:rPr>
            </w:pPr>
            <w:r>
              <w:rPr>
                <w:rFonts w:ascii="Arial" w:cs="Arial" w:eastAsia="Arial" w:hAnsi="Arial"/>
                <w:sz w:val="18"/>
                <w:szCs w:val="18"/>
                <w:color w:val="auto"/>
              </w:rPr>
              <w:t>0.32</w:t>
            </w:r>
          </w:p>
        </w:tc>
        <w:tc>
          <w:tcPr>
            <w:tcW w:w="14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2,402,361</w:t>
            </w:r>
          </w:p>
        </w:tc>
        <w:tc>
          <w:tcPr>
            <w:tcW w:w="1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3,292</w:t>
            </w:r>
          </w:p>
        </w:tc>
        <w:tc>
          <w:tcPr>
            <w:tcW w:w="980" w:type="dxa"/>
            <w:vAlign w:val="bottom"/>
            <w:gridSpan w:val="2"/>
          </w:tcPr>
          <w:p>
            <w:pPr>
              <w:ind w:left="500"/>
              <w:spacing w:after="0"/>
              <w:rPr>
                <w:sz w:val="20"/>
                <w:szCs w:val="20"/>
                <w:color w:val="auto"/>
              </w:rPr>
            </w:pPr>
            <w:r>
              <w:rPr>
                <w:rFonts w:ascii="Arial" w:cs="Arial" w:eastAsia="Arial" w:hAnsi="Arial"/>
                <w:sz w:val="18"/>
                <w:szCs w:val="18"/>
                <w:color w:val="auto"/>
              </w:rPr>
              <w:t>0.55</w:t>
            </w: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Non-interest bearing deposits</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1,314,153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1,054,388</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gridSpan w:val="2"/>
          </w:tcPr>
          <w:p>
            <w:pPr>
              <w:spacing w:after="0"/>
              <w:rPr>
                <w:sz w:val="20"/>
                <w:szCs w:val="20"/>
                <w:color w:val="auto"/>
              </w:rPr>
            </w:pPr>
            <w:r>
              <w:rPr>
                <w:rFonts w:ascii="Arial" w:cs="Arial" w:eastAsia="Arial" w:hAnsi="Arial"/>
                <w:sz w:val="18"/>
                <w:szCs w:val="18"/>
                <w:color w:val="auto"/>
              </w:rPr>
              <w:t>Other liabilities</w:t>
            </w:r>
          </w:p>
        </w:tc>
        <w:tc>
          <w:tcPr>
            <w:tcW w:w="1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57,402</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70,053</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388,780</w:t>
            </w: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341,606</w:t>
            </w: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4760" w:type="dxa"/>
            <w:vAlign w:val="bottom"/>
            <w:gridSpan w:val="2"/>
          </w:tcPr>
          <w:p>
            <w:pPr>
              <w:jc w:val="right"/>
              <w:spacing w:after="0"/>
              <w:rPr>
                <w:sz w:val="20"/>
                <w:szCs w:val="20"/>
                <w:color w:val="auto"/>
              </w:rPr>
            </w:pPr>
            <w:r>
              <w:rPr>
                <w:rFonts w:ascii="Arial" w:cs="Arial" w:eastAsia="Arial" w:hAnsi="Arial"/>
                <w:sz w:val="18"/>
                <w:szCs w:val="18"/>
                <w:color w:val="auto"/>
              </w:rPr>
              <w:t>Total liabilities and shareholders’ equity $</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4,434,760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3,868,408</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320" w:type="dxa"/>
            <w:vAlign w:val="bottom"/>
            <w:shd w:val="clear" w:color="auto" w:fill="CCEEFF"/>
          </w:tcPr>
          <w:p>
            <w:pPr>
              <w:spacing w:after="0"/>
              <w:rPr>
                <w:sz w:val="18"/>
                <w:szCs w:val="18"/>
                <w:color w:val="auto"/>
              </w:rPr>
            </w:pPr>
          </w:p>
        </w:tc>
        <w:tc>
          <w:tcPr>
            <w:tcW w:w="4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4620" w:type="dxa"/>
            <w:vAlign w:val="bottom"/>
          </w:tcPr>
          <w:p>
            <w:pPr>
              <w:jc w:val="right"/>
              <w:spacing w:after="0"/>
              <w:rPr>
                <w:sz w:val="20"/>
                <w:szCs w:val="20"/>
                <w:color w:val="auto"/>
              </w:rPr>
            </w:pPr>
            <w:r>
              <w:rPr>
                <w:rFonts w:ascii="Arial" w:cs="Arial" w:eastAsia="Arial" w:hAnsi="Arial"/>
                <w:sz w:val="18"/>
                <w:szCs w:val="18"/>
                <w:color w:val="auto"/>
              </w:rPr>
              <w:t>Net Interest Income</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31,871</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30,685</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320" w:type="dxa"/>
            <w:vAlign w:val="bottom"/>
            <w:shd w:val="clear" w:color="auto" w:fill="CCEEFF"/>
          </w:tcPr>
          <w:p>
            <w:pPr>
              <w:spacing w:after="0"/>
              <w:rPr>
                <w:sz w:val="18"/>
                <w:szCs w:val="18"/>
                <w:color w:val="auto"/>
              </w:rPr>
            </w:pPr>
          </w:p>
        </w:tc>
        <w:tc>
          <w:tcPr>
            <w:tcW w:w="4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gridSpan w:val="2"/>
          </w:tcPr>
          <w:p>
            <w:pPr>
              <w:ind w:left="20"/>
              <w:spacing w:after="0"/>
              <w:rPr>
                <w:sz w:val="20"/>
                <w:szCs w:val="20"/>
                <w:color w:val="auto"/>
              </w:rPr>
            </w:pPr>
            <w:r>
              <w:rPr>
                <w:rFonts w:ascii="Arial" w:cs="Arial" w:eastAsia="Arial" w:hAnsi="Arial"/>
                <w:sz w:val="18"/>
                <w:szCs w:val="18"/>
                <w:color w:val="auto"/>
                <w:w w:val="89"/>
              </w:rPr>
              <w:t>Net Interest Income as a Percent of Average Interest Earning Assets</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ind w:left="500"/>
              <w:spacing w:after="0"/>
              <w:rPr>
                <w:sz w:val="20"/>
                <w:szCs w:val="20"/>
                <w:color w:val="auto"/>
              </w:rPr>
            </w:pPr>
            <w:r>
              <w:rPr>
                <w:rFonts w:ascii="Arial" w:cs="Arial" w:eastAsia="Arial" w:hAnsi="Arial"/>
                <w:sz w:val="18"/>
                <w:szCs w:val="18"/>
                <w:color w:val="auto"/>
              </w:rPr>
              <w:t>3.02%</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ind w:left="500"/>
              <w:spacing w:after="0"/>
              <w:rPr>
                <w:sz w:val="20"/>
                <w:szCs w:val="20"/>
                <w:color w:val="auto"/>
              </w:rPr>
            </w:pPr>
            <w:r>
              <w:rPr>
                <w:rFonts w:ascii="Arial" w:cs="Arial" w:eastAsia="Arial" w:hAnsi="Arial"/>
                <w:sz w:val="18"/>
                <w:szCs w:val="18"/>
                <w:color w:val="auto"/>
                <w:w w:val="90"/>
              </w:rPr>
              <w:t>3.36%</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85725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57250" cy="1714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340" w:hanging="332"/>
        <w:spacing w:after="0"/>
        <w:tabs>
          <w:tab w:leader="none" w:pos="3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Interest on tax-exempt loans and securities available for sale is presented on a fully tax equivalent basis assuming a marginal tax rate of 21%.</w:t>
      </w:r>
    </w:p>
    <w:p>
      <w:pPr>
        <w:spacing w:after="0" w:line="34" w:lineRule="exact"/>
        <w:rPr>
          <w:rFonts w:ascii="Arial" w:cs="Arial" w:eastAsia="Arial" w:hAnsi="Arial"/>
          <w:sz w:val="17"/>
          <w:szCs w:val="17"/>
          <w:color w:val="auto"/>
        </w:rPr>
      </w:pPr>
    </w:p>
    <w:p>
      <w:pPr>
        <w:ind w:left="340" w:hanging="332"/>
        <w:spacing w:after="0"/>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Annualized</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161"/>
        </w:trPr>
        <w:tc>
          <w:tcPr>
            <w:tcW w:w="4940" w:type="dxa"/>
            <w:vAlign w:val="bottom"/>
            <w:gridSpan w:val="2"/>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4940" w:type="dxa"/>
            <w:vAlign w:val="bottom"/>
            <w:gridSpan w:val="2"/>
          </w:tcPr>
          <w:p>
            <w:pPr>
              <w:spacing w:after="0"/>
              <w:rPr>
                <w:sz w:val="20"/>
                <w:szCs w:val="20"/>
                <w:color w:val="auto"/>
              </w:rPr>
            </w:pPr>
            <w:r>
              <w:rPr>
                <w:rFonts w:ascii="Arial" w:cs="Arial" w:eastAsia="Arial" w:hAnsi="Arial"/>
                <w:sz w:val="18"/>
                <w:szCs w:val="18"/>
                <w:b w:val="1"/>
                <w:bCs w:val="1"/>
                <w:color w:val="auto"/>
              </w:rPr>
              <w:t>Average Balances and Tax Equivalent Rates</w:t>
            </w: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32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80" w:type="dxa"/>
            <w:vAlign w:val="bottom"/>
            <w:gridSpan w:val="5"/>
          </w:tcPr>
          <w:p>
            <w:pPr>
              <w:jc w:val="right"/>
              <w:ind w:right="560"/>
              <w:spacing w:after="0"/>
              <w:rPr>
                <w:sz w:val="20"/>
                <w:szCs w:val="20"/>
                <w:color w:val="auto"/>
              </w:rPr>
            </w:pPr>
            <w:r>
              <w:rPr>
                <w:rFonts w:ascii="Arial" w:cs="Arial" w:eastAsia="Arial" w:hAnsi="Arial"/>
                <w:sz w:val="18"/>
                <w:szCs w:val="18"/>
                <w:color w:val="auto"/>
              </w:rPr>
              <w:t>Six Months Ended</w:t>
            </w: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vMerge w:val="restart"/>
          </w:tcPr>
          <w:p>
            <w:pPr>
              <w:jc w:val="right"/>
              <w:ind w:right="230"/>
              <w:spacing w:after="0"/>
              <w:rPr>
                <w:sz w:val="20"/>
                <w:szCs w:val="20"/>
                <w:color w:val="auto"/>
              </w:rPr>
            </w:pPr>
            <w:r>
              <w:rPr>
                <w:rFonts w:ascii="Arial" w:cs="Arial" w:eastAsia="Arial" w:hAnsi="Arial"/>
                <w:sz w:val="18"/>
                <w:szCs w:val="18"/>
                <w:color w:val="auto"/>
                <w:w w:val="94"/>
              </w:rPr>
              <w:t>2021</w:t>
            </w:r>
          </w:p>
        </w:tc>
        <w:tc>
          <w:tcPr>
            <w:tcW w:w="160" w:type="dxa"/>
            <w:vAlign w:val="bottom"/>
          </w:tcPr>
          <w:p>
            <w:pPr>
              <w:spacing w:after="0"/>
              <w:rPr>
                <w:sz w:val="20"/>
                <w:szCs w:val="20"/>
                <w:color w:val="auto"/>
              </w:rPr>
            </w:pPr>
          </w:p>
        </w:tc>
        <w:tc>
          <w:tcPr>
            <w:tcW w:w="2180" w:type="dxa"/>
            <w:vAlign w:val="bottom"/>
            <w:gridSpan w:val="5"/>
          </w:tcPr>
          <w:p>
            <w:pPr>
              <w:jc w:val="right"/>
              <w:ind w:right="920"/>
              <w:spacing w:after="0"/>
              <w:rPr>
                <w:sz w:val="20"/>
                <w:szCs w:val="20"/>
                <w:color w:val="auto"/>
              </w:rPr>
            </w:pPr>
            <w:r>
              <w:rPr>
                <w:rFonts w:ascii="Arial" w:cs="Arial" w:eastAsia="Arial" w:hAnsi="Arial"/>
                <w:sz w:val="18"/>
                <w:szCs w:val="18"/>
                <w:color w:val="auto"/>
              </w:rPr>
              <w:t>June 30,</w:t>
            </w:r>
          </w:p>
        </w:tc>
        <w:tc>
          <w:tcPr>
            <w:tcW w:w="120" w:type="dxa"/>
            <w:vAlign w:val="bottom"/>
          </w:tcPr>
          <w:p>
            <w:pPr>
              <w:spacing w:after="0"/>
              <w:rPr>
                <w:sz w:val="20"/>
                <w:szCs w:val="20"/>
                <w:color w:val="auto"/>
              </w:rPr>
            </w:pPr>
          </w:p>
        </w:tc>
        <w:tc>
          <w:tcPr>
            <w:tcW w:w="740" w:type="dxa"/>
            <w:vAlign w:val="bottom"/>
            <w:vMerge w:val="restart"/>
          </w:tcPr>
          <w:p>
            <w:pPr>
              <w:jc w:val="right"/>
              <w:ind w:right="230"/>
              <w:spacing w:after="0"/>
              <w:rPr>
                <w:sz w:val="20"/>
                <w:szCs w:val="20"/>
                <w:color w:val="auto"/>
              </w:rPr>
            </w:pPr>
            <w:r>
              <w:rPr>
                <w:rFonts w:ascii="Arial" w:cs="Arial" w:eastAsia="Arial" w:hAnsi="Arial"/>
                <w:sz w:val="18"/>
                <w:szCs w:val="18"/>
                <w:color w:val="auto"/>
                <w:w w:val="99"/>
              </w:rPr>
              <w:t>2020</w:t>
            </w: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ind w:left="40"/>
              <w:spacing w:after="0"/>
              <w:rPr>
                <w:sz w:val="20"/>
                <w:szCs w:val="20"/>
                <w:color w:val="auto"/>
              </w:rPr>
            </w:pPr>
            <w:r>
              <w:rPr>
                <w:rFonts w:ascii="Arial" w:cs="Arial" w:eastAsia="Arial" w:hAnsi="Arial"/>
                <w:sz w:val="18"/>
                <w:szCs w:val="18"/>
                <w:color w:val="auto"/>
              </w:rPr>
              <w:t>Average</w:t>
            </w: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vMerge w:val="restart"/>
          </w:tcPr>
          <w:p>
            <w:pPr>
              <w:ind w:left="120"/>
              <w:spacing w:after="0"/>
              <w:rPr>
                <w:sz w:val="20"/>
                <w:szCs w:val="20"/>
                <w:color w:val="auto"/>
              </w:rPr>
            </w:pPr>
            <w:r>
              <w:rPr>
                <w:rFonts w:ascii="Arial" w:cs="Arial" w:eastAsia="Arial" w:hAnsi="Arial"/>
                <w:sz w:val="18"/>
                <w:szCs w:val="18"/>
                <w:color w:val="auto"/>
              </w:rPr>
              <w:t xml:space="preserve">Rate </w:t>
            </w:r>
            <w:r>
              <w:rPr>
                <w:rFonts w:ascii="Arial" w:cs="Arial" w:eastAsia="Arial" w:hAnsi="Arial"/>
                <w:sz w:val="29"/>
                <w:szCs w:val="29"/>
                <w:color w:val="auto"/>
                <w:vertAlign w:val="superscript"/>
              </w:rPr>
              <w:t>(2)</w:t>
            </w:r>
          </w:p>
        </w:tc>
        <w:tc>
          <w:tcPr>
            <w:tcW w:w="140" w:type="dxa"/>
            <w:vAlign w:val="bottom"/>
          </w:tcPr>
          <w:p>
            <w:pPr>
              <w:spacing w:after="0"/>
              <w:rPr>
                <w:sz w:val="20"/>
                <w:szCs w:val="20"/>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Average</w:t>
            </w: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vMerge w:val="restart"/>
          </w:tcPr>
          <w:p>
            <w:pPr>
              <w:ind w:left="140"/>
              <w:spacing w:after="0"/>
              <w:rPr>
                <w:sz w:val="20"/>
                <w:szCs w:val="20"/>
                <w:color w:val="auto"/>
              </w:rPr>
            </w:pPr>
            <w:r>
              <w:rPr>
                <w:rFonts w:ascii="Arial" w:cs="Arial" w:eastAsia="Arial" w:hAnsi="Arial"/>
                <w:sz w:val="18"/>
                <w:szCs w:val="18"/>
                <w:color w:val="auto"/>
              </w:rPr>
              <w:t xml:space="preserve">Rate </w:t>
            </w:r>
            <w:r>
              <w:rPr>
                <w:rFonts w:ascii="Arial" w:cs="Arial" w:eastAsia="Arial" w:hAnsi="Arial"/>
                <w:sz w:val="29"/>
                <w:szCs w:val="29"/>
                <w:color w:val="auto"/>
                <w:vertAlign w:val="superscript"/>
              </w:rPr>
              <w:t>(2)</w:t>
            </w:r>
          </w:p>
        </w:tc>
        <w:tc>
          <w:tcPr>
            <w:tcW w:w="0" w:type="dxa"/>
            <w:vAlign w:val="bottom"/>
          </w:tcPr>
          <w:p>
            <w:pPr>
              <w:spacing w:after="0"/>
              <w:rPr>
                <w:sz w:val="1"/>
                <w:szCs w:val="1"/>
                <w:color w:val="auto"/>
              </w:rPr>
            </w:pPr>
          </w:p>
        </w:tc>
      </w:tr>
      <w:tr>
        <w:trPr>
          <w:trHeight w:val="249"/>
        </w:trPr>
        <w:tc>
          <w:tcPr>
            <w:tcW w:w="320" w:type="dxa"/>
            <w:vAlign w:val="bottom"/>
          </w:tcPr>
          <w:p>
            <w:pPr>
              <w:spacing w:after="0"/>
              <w:rPr>
                <w:sz w:val="21"/>
                <w:szCs w:val="21"/>
                <w:color w:val="auto"/>
              </w:rPr>
            </w:pPr>
          </w:p>
        </w:tc>
        <w:tc>
          <w:tcPr>
            <w:tcW w:w="4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ind w:left="60"/>
              <w:spacing w:after="0"/>
              <w:rPr>
                <w:sz w:val="20"/>
                <w:szCs w:val="20"/>
                <w:color w:val="auto"/>
              </w:rPr>
            </w:pPr>
            <w:r>
              <w:rPr>
                <w:rFonts w:ascii="Arial" w:cs="Arial" w:eastAsia="Arial" w:hAnsi="Arial"/>
                <w:sz w:val="18"/>
                <w:szCs w:val="18"/>
                <w:color w:val="auto"/>
              </w:rPr>
              <w:t>Balance</w:t>
            </w:r>
          </w:p>
        </w:tc>
        <w:tc>
          <w:tcPr>
            <w:tcW w:w="120" w:type="dxa"/>
            <w:vAlign w:val="bottom"/>
          </w:tcPr>
          <w:p>
            <w:pPr>
              <w:spacing w:after="0"/>
              <w:rPr>
                <w:sz w:val="21"/>
                <w:szCs w:val="21"/>
                <w:color w:val="auto"/>
              </w:rPr>
            </w:pPr>
          </w:p>
        </w:tc>
        <w:tc>
          <w:tcPr>
            <w:tcW w:w="880" w:type="dxa"/>
            <w:vAlign w:val="bottom"/>
            <w:gridSpan w:val="2"/>
          </w:tcPr>
          <w:p>
            <w:pPr>
              <w:ind w:left="20"/>
              <w:spacing w:after="0"/>
              <w:rPr>
                <w:sz w:val="20"/>
                <w:szCs w:val="20"/>
                <w:color w:val="auto"/>
              </w:rPr>
            </w:pPr>
            <w:r>
              <w:rPr>
                <w:rFonts w:ascii="Arial" w:cs="Arial" w:eastAsia="Arial" w:hAnsi="Arial"/>
                <w:sz w:val="18"/>
                <w:szCs w:val="18"/>
                <w:color w:val="auto"/>
              </w:rPr>
              <w:t>Interest</w:t>
            </w:r>
          </w:p>
        </w:tc>
        <w:tc>
          <w:tcPr>
            <w:tcW w:w="104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w w:val="95"/>
              </w:rPr>
              <w:t>Balance</w:t>
            </w:r>
          </w:p>
        </w:tc>
        <w:tc>
          <w:tcPr>
            <w:tcW w:w="120" w:type="dxa"/>
            <w:vAlign w:val="bottom"/>
          </w:tcPr>
          <w:p>
            <w:pPr>
              <w:spacing w:after="0"/>
              <w:rPr>
                <w:sz w:val="21"/>
                <w:szCs w:val="21"/>
                <w:color w:val="auto"/>
              </w:rPr>
            </w:pPr>
          </w:p>
        </w:tc>
        <w:tc>
          <w:tcPr>
            <w:tcW w:w="900" w:type="dxa"/>
            <w:vAlign w:val="bottom"/>
            <w:gridSpan w:val="2"/>
          </w:tcPr>
          <w:p>
            <w:pPr>
              <w:ind w:left="40"/>
              <w:spacing w:after="0"/>
              <w:rPr>
                <w:sz w:val="20"/>
                <w:szCs w:val="20"/>
                <w:color w:val="auto"/>
              </w:rPr>
            </w:pPr>
            <w:r>
              <w:rPr>
                <w:rFonts w:ascii="Arial" w:cs="Arial" w:eastAsia="Arial" w:hAnsi="Arial"/>
                <w:sz w:val="18"/>
                <w:szCs w:val="18"/>
                <w:color w:val="auto"/>
              </w:rPr>
              <w:t>Interest</w:t>
            </w:r>
          </w:p>
        </w:tc>
        <w:tc>
          <w:tcPr>
            <w:tcW w:w="98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940" w:type="dxa"/>
            <w:vAlign w:val="bottom"/>
            <w:gridSpan w:val="2"/>
            <w:vMerge w:val="restart"/>
          </w:tcPr>
          <w:p>
            <w:pPr>
              <w:spacing w:after="0"/>
              <w:rPr>
                <w:sz w:val="20"/>
                <w:szCs w:val="20"/>
                <w:color w:val="auto"/>
              </w:rPr>
            </w:pPr>
            <w:r>
              <w:rPr>
                <w:rFonts w:ascii="Arial" w:cs="Arial" w:eastAsia="Arial" w:hAnsi="Arial"/>
                <w:sz w:val="18"/>
                <w:szCs w:val="18"/>
                <w:color w:val="auto"/>
              </w:rPr>
              <w:t>Assets</w:t>
            </w:r>
          </w:p>
        </w:tc>
        <w:tc>
          <w:tcPr>
            <w:tcW w:w="1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w w:val="99"/>
              </w:rPr>
              <w:t>(Dollars</w:t>
            </w:r>
          </w:p>
        </w:tc>
        <w:tc>
          <w:tcPr>
            <w:tcW w:w="240" w:type="dxa"/>
            <w:vAlign w:val="bottom"/>
          </w:tcPr>
          <w:p>
            <w:pPr>
              <w:spacing w:after="0"/>
              <w:rPr>
                <w:sz w:val="20"/>
                <w:szCs w:val="20"/>
                <w:color w:val="auto"/>
              </w:rPr>
            </w:pPr>
            <w:r>
              <w:rPr>
                <w:rFonts w:ascii="Arial" w:cs="Arial" w:eastAsia="Arial" w:hAnsi="Arial"/>
                <w:sz w:val="18"/>
                <w:szCs w:val="18"/>
                <w:color w:val="auto"/>
              </w:rPr>
              <w:t>in</w:t>
            </w:r>
          </w:p>
        </w:tc>
        <w:tc>
          <w:tcPr>
            <w:tcW w:w="9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thousands)</w:t>
            </w:r>
          </w:p>
        </w:tc>
        <w:tc>
          <w:tcPr>
            <w:tcW w:w="16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9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Taxable loans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2,840,224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56,065</w:t>
            </w:r>
          </w:p>
        </w:tc>
        <w:tc>
          <w:tcPr>
            <w:tcW w:w="10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3.98%</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2,832,876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61,481</w:t>
            </w:r>
          </w:p>
        </w:tc>
        <w:tc>
          <w:tcPr>
            <w:tcW w:w="9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0"/>
              </w:rPr>
              <w:t>4.36%</w:t>
            </w:r>
          </w:p>
        </w:tc>
        <w:tc>
          <w:tcPr>
            <w:tcW w:w="0" w:type="dxa"/>
            <w:vAlign w:val="bottom"/>
          </w:tcPr>
          <w:p>
            <w:pPr>
              <w:spacing w:after="0"/>
              <w:rPr>
                <w:sz w:val="1"/>
                <w:szCs w:val="1"/>
                <w:color w:val="auto"/>
              </w:rPr>
            </w:pPr>
          </w:p>
        </w:tc>
      </w:tr>
      <w:tr>
        <w:trPr>
          <w:trHeight w:val="256"/>
        </w:trPr>
        <w:tc>
          <w:tcPr>
            <w:tcW w:w="494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Tax-exempt loans </w:t>
            </w:r>
            <w:r>
              <w:rPr>
                <w:rFonts w:ascii="Arial" w:cs="Arial" w:eastAsia="Arial" w:hAnsi="Arial"/>
                <w:sz w:val="29"/>
                <w:szCs w:val="29"/>
                <w:color w:val="auto"/>
                <w:vertAlign w:val="superscript"/>
              </w:rPr>
              <w:t>(1)</w:t>
            </w:r>
          </w:p>
        </w:tc>
        <w:tc>
          <w:tcPr>
            <w:tcW w:w="1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6,624</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166</w:t>
            </w:r>
          </w:p>
        </w:tc>
        <w:tc>
          <w:tcPr>
            <w:tcW w:w="1040" w:type="dxa"/>
            <w:vAlign w:val="bottom"/>
            <w:gridSpan w:val="2"/>
          </w:tcPr>
          <w:p>
            <w:pPr>
              <w:ind w:left="500"/>
              <w:spacing w:after="0"/>
              <w:rPr>
                <w:sz w:val="20"/>
                <w:szCs w:val="20"/>
                <w:color w:val="auto"/>
              </w:rPr>
            </w:pPr>
            <w:r>
              <w:rPr>
                <w:rFonts w:ascii="Arial" w:cs="Arial" w:eastAsia="Arial" w:hAnsi="Arial"/>
                <w:sz w:val="18"/>
                <w:szCs w:val="18"/>
                <w:color w:val="auto"/>
              </w:rPr>
              <w:t>5.07</w:t>
            </w:r>
          </w:p>
        </w:tc>
        <w:tc>
          <w:tcPr>
            <w:tcW w:w="140" w:type="dxa"/>
            <w:vAlign w:val="bottom"/>
          </w:tcPr>
          <w:p>
            <w:pPr>
              <w:spacing w:after="0"/>
              <w:rPr>
                <w:sz w:val="22"/>
                <w:szCs w:val="22"/>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7,438</w:t>
            </w:r>
          </w:p>
        </w:tc>
        <w:tc>
          <w:tcPr>
            <w:tcW w:w="120" w:type="dxa"/>
            <w:vAlign w:val="bottom"/>
          </w:tcPr>
          <w:p>
            <w:pPr>
              <w:spacing w:after="0"/>
              <w:rPr>
                <w:sz w:val="22"/>
                <w:szCs w:val="22"/>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185</w:t>
            </w:r>
          </w:p>
        </w:tc>
        <w:tc>
          <w:tcPr>
            <w:tcW w:w="980" w:type="dxa"/>
            <w:vAlign w:val="bottom"/>
            <w:gridSpan w:val="2"/>
          </w:tcPr>
          <w:p>
            <w:pPr>
              <w:ind w:left="50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Taxable securities available for sale</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845,895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6,452</w:t>
            </w:r>
          </w:p>
        </w:tc>
        <w:tc>
          <w:tcPr>
            <w:tcW w:w="10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1.52</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501,720</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5,906</w:t>
            </w:r>
          </w:p>
        </w:tc>
        <w:tc>
          <w:tcPr>
            <w:tcW w:w="9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56"/>
        </w:trPr>
        <w:tc>
          <w:tcPr>
            <w:tcW w:w="4940" w:type="dxa"/>
            <w:vAlign w:val="bottom"/>
            <w:gridSpan w:val="2"/>
          </w:tcPr>
          <w:p>
            <w:pPr>
              <w:spacing w:after="0" w:line="256" w:lineRule="exact"/>
              <w:rPr>
                <w:sz w:val="20"/>
                <w:szCs w:val="20"/>
                <w:color w:val="auto"/>
              </w:rPr>
            </w:pPr>
            <w:r>
              <w:rPr>
                <w:rFonts w:ascii="Arial" w:cs="Arial" w:eastAsia="Arial" w:hAnsi="Arial"/>
                <w:sz w:val="18"/>
                <w:szCs w:val="18"/>
                <w:color w:val="auto"/>
              </w:rPr>
              <w:t>Tax-exempt securities available for sale</w:t>
            </w:r>
            <w:r>
              <w:rPr>
                <w:rFonts w:ascii="Arial" w:cs="Arial" w:eastAsia="Arial" w:hAnsi="Arial"/>
                <w:sz w:val="29"/>
                <w:szCs w:val="29"/>
                <w:color w:val="auto"/>
                <w:vertAlign w:val="superscript"/>
              </w:rPr>
              <w:t>(1)</w:t>
            </w:r>
          </w:p>
        </w:tc>
        <w:tc>
          <w:tcPr>
            <w:tcW w:w="1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338,692</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3,775</w:t>
            </w:r>
          </w:p>
        </w:tc>
        <w:tc>
          <w:tcPr>
            <w:tcW w:w="1040" w:type="dxa"/>
            <w:vAlign w:val="bottom"/>
            <w:gridSpan w:val="2"/>
          </w:tcPr>
          <w:p>
            <w:pPr>
              <w:ind w:left="500"/>
              <w:spacing w:after="0"/>
              <w:rPr>
                <w:sz w:val="20"/>
                <w:szCs w:val="20"/>
                <w:color w:val="auto"/>
              </w:rPr>
            </w:pPr>
            <w:r>
              <w:rPr>
                <w:rFonts w:ascii="Arial" w:cs="Arial" w:eastAsia="Arial" w:hAnsi="Arial"/>
                <w:sz w:val="18"/>
                <w:szCs w:val="18"/>
                <w:color w:val="auto"/>
              </w:rPr>
              <w:t>2.22</w:t>
            </w:r>
          </w:p>
        </w:tc>
        <w:tc>
          <w:tcPr>
            <w:tcW w:w="140" w:type="dxa"/>
            <w:vAlign w:val="bottom"/>
          </w:tcPr>
          <w:p>
            <w:pPr>
              <w:spacing w:after="0"/>
              <w:rPr>
                <w:sz w:val="22"/>
                <w:szCs w:val="22"/>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92,040</w:t>
            </w:r>
          </w:p>
        </w:tc>
        <w:tc>
          <w:tcPr>
            <w:tcW w:w="120" w:type="dxa"/>
            <w:vAlign w:val="bottom"/>
          </w:tcPr>
          <w:p>
            <w:pPr>
              <w:spacing w:after="0"/>
              <w:rPr>
                <w:sz w:val="22"/>
                <w:szCs w:val="22"/>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1,488</w:t>
            </w:r>
          </w:p>
        </w:tc>
        <w:tc>
          <w:tcPr>
            <w:tcW w:w="980" w:type="dxa"/>
            <w:vAlign w:val="bottom"/>
            <w:gridSpan w:val="2"/>
          </w:tcPr>
          <w:p>
            <w:pPr>
              <w:ind w:left="500"/>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bearing cash</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86,384</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w:t>
            </w:r>
          </w:p>
        </w:tc>
        <w:tc>
          <w:tcPr>
            <w:tcW w:w="10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0.12</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52,814</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146</w:t>
            </w:r>
          </w:p>
        </w:tc>
        <w:tc>
          <w:tcPr>
            <w:tcW w:w="9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0.56</w:t>
            </w:r>
          </w:p>
        </w:tc>
        <w:tc>
          <w:tcPr>
            <w:tcW w:w="0" w:type="dxa"/>
            <w:vAlign w:val="bottom"/>
          </w:tcPr>
          <w:p>
            <w:pPr>
              <w:spacing w:after="0"/>
              <w:rPr>
                <w:sz w:val="1"/>
                <w:szCs w:val="1"/>
                <w:color w:val="auto"/>
              </w:rPr>
            </w:pPr>
          </w:p>
        </w:tc>
      </w:tr>
      <w:tr>
        <w:trPr>
          <w:trHeight w:val="223"/>
        </w:trPr>
        <w:tc>
          <w:tcPr>
            <w:tcW w:w="4940" w:type="dxa"/>
            <w:vAlign w:val="bottom"/>
            <w:gridSpan w:val="2"/>
          </w:tcPr>
          <w:p>
            <w:pPr>
              <w:spacing w:after="0"/>
              <w:rPr>
                <w:sz w:val="20"/>
                <w:szCs w:val="20"/>
                <w:color w:val="auto"/>
              </w:rPr>
            </w:pPr>
            <w:r>
              <w:rPr>
                <w:rFonts w:ascii="Arial" w:cs="Arial" w:eastAsia="Arial" w:hAnsi="Arial"/>
                <w:sz w:val="18"/>
                <w:szCs w:val="18"/>
                <w:color w:val="auto"/>
              </w:rPr>
              <w:t>Other investments</w:t>
            </w:r>
          </w:p>
        </w:tc>
        <w:tc>
          <w:tcPr>
            <w:tcW w:w="14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18,427</w:t>
            </w:r>
          </w:p>
        </w:tc>
        <w:tc>
          <w:tcPr>
            <w:tcW w:w="1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374</w:t>
            </w:r>
          </w:p>
        </w:tc>
        <w:tc>
          <w:tcPr>
            <w:tcW w:w="1040" w:type="dxa"/>
            <w:vAlign w:val="bottom"/>
            <w:gridSpan w:val="2"/>
          </w:tcPr>
          <w:p>
            <w:pPr>
              <w:ind w:left="500"/>
              <w:spacing w:after="0"/>
              <w:rPr>
                <w:sz w:val="20"/>
                <w:szCs w:val="20"/>
                <w:color w:val="auto"/>
              </w:rPr>
            </w:pPr>
            <w:r>
              <w:rPr>
                <w:rFonts w:ascii="Arial" w:cs="Arial" w:eastAsia="Arial" w:hAnsi="Arial"/>
                <w:sz w:val="18"/>
                <w:szCs w:val="18"/>
                <w:color w:val="auto"/>
              </w:rPr>
              <w:t>4.10</w:t>
            </w:r>
          </w:p>
        </w:tc>
        <w:tc>
          <w:tcPr>
            <w:tcW w:w="14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18,393</w:t>
            </w:r>
          </w:p>
        </w:tc>
        <w:tc>
          <w:tcPr>
            <w:tcW w:w="1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471</w:t>
            </w:r>
          </w:p>
        </w:tc>
        <w:tc>
          <w:tcPr>
            <w:tcW w:w="980" w:type="dxa"/>
            <w:vAlign w:val="bottom"/>
            <w:gridSpan w:val="2"/>
          </w:tcPr>
          <w:p>
            <w:pPr>
              <w:ind w:left="500"/>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4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Interest Earning Assets</w:t>
            </w:r>
          </w:p>
        </w:tc>
        <w:tc>
          <w:tcPr>
            <w:tcW w:w="1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4,136,246</w:t>
            </w: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66,883</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3.25</w:t>
            </w: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3,505,281</w:t>
            </w: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69,677</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16"/>
        </w:trPr>
        <w:tc>
          <w:tcPr>
            <w:tcW w:w="4940" w:type="dxa"/>
            <w:vAlign w:val="bottom"/>
            <w:gridSpan w:val="2"/>
          </w:tcPr>
          <w:p>
            <w:pPr>
              <w:spacing w:after="0"/>
              <w:rPr>
                <w:sz w:val="20"/>
                <w:szCs w:val="20"/>
                <w:color w:val="auto"/>
              </w:rPr>
            </w:pPr>
            <w:r>
              <w:rPr>
                <w:rFonts w:ascii="Arial" w:cs="Arial" w:eastAsia="Arial" w:hAnsi="Arial"/>
                <w:sz w:val="18"/>
                <w:szCs w:val="18"/>
                <w:color w:val="auto"/>
              </w:rPr>
              <w:t>Cash and due from banks</w:t>
            </w:r>
          </w:p>
        </w:tc>
        <w:tc>
          <w:tcPr>
            <w:tcW w:w="1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55,239</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47,663</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assets, net</w:t>
            </w:r>
          </w:p>
        </w:tc>
        <w:tc>
          <w:tcPr>
            <w:tcW w:w="1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153,540</w:t>
            </w: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164,167</w:t>
            </w: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4760" w:type="dxa"/>
            <w:vAlign w:val="bottom"/>
            <w:gridSpan w:val="2"/>
          </w:tcPr>
          <w:p>
            <w:pPr>
              <w:jc w:val="right"/>
              <w:spacing w:after="0"/>
              <w:rPr>
                <w:sz w:val="20"/>
                <w:szCs w:val="20"/>
                <w:color w:val="auto"/>
              </w:rPr>
            </w:pPr>
            <w:r>
              <w:rPr>
                <w:rFonts w:ascii="Arial" w:cs="Arial" w:eastAsia="Arial" w:hAnsi="Arial"/>
                <w:sz w:val="18"/>
                <w:szCs w:val="18"/>
                <w:color w:val="auto"/>
              </w:rPr>
              <w:t>Total Assets $</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4,345,025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3,717,111</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320" w:type="dxa"/>
            <w:vAlign w:val="bottom"/>
            <w:shd w:val="clear" w:color="auto" w:fill="CCEEFF"/>
          </w:tcPr>
          <w:p>
            <w:pPr>
              <w:spacing w:after="0"/>
              <w:rPr>
                <w:sz w:val="18"/>
                <w:szCs w:val="18"/>
                <w:color w:val="auto"/>
              </w:rPr>
            </w:pPr>
          </w:p>
        </w:tc>
        <w:tc>
          <w:tcPr>
            <w:tcW w:w="4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gridSpan w:val="2"/>
          </w:tcPr>
          <w:p>
            <w:pPr>
              <w:spacing w:after="0"/>
              <w:rPr>
                <w:sz w:val="20"/>
                <w:szCs w:val="20"/>
                <w:color w:val="auto"/>
              </w:rPr>
            </w:pPr>
            <w:r>
              <w:rPr>
                <w:rFonts w:ascii="Arial" w:cs="Arial" w:eastAsia="Arial" w:hAnsi="Arial"/>
                <w:sz w:val="18"/>
                <w:szCs w:val="18"/>
                <w:color w:val="auto"/>
              </w:rPr>
              <w:t>Liabilities</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Savings and interest-bearing checking</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2,200,620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1,364</w:t>
            </w:r>
          </w:p>
        </w:tc>
        <w:tc>
          <w:tcPr>
            <w:tcW w:w="10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0.13</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1,685,046</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2,435</w:t>
            </w:r>
          </w:p>
        </w:tc>
        <w:tc>
          <w:tcPr>
            <w:tcW w:w="9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216"/>
        </w:trPr>
        <w:tc>
          <w:tcPr>
            <w:tcW w:w="4940" w:type="dxa"/>
            <w:vAlign w:val="bottom"/>
            <w:gridSpan w:val="2"/>
          </w:tcPr>
          <w:p>
            <w:pPr>
              <w:spacing w:after="0"/>
              <w:rPr>
                <w:sz w:val="20"/>
                <w:szCs w:val="20"/>
                <w:color w:val="auto"/>
              </w:rPr>
            </w:pPr>
            <w:r>
              <w:rPr>
                <w:rFonts w:ascii="Arial" w:cs="Arial" w:eastAsia="Arial" w:hAnsi="Arial"/>
                <w:sz w:val="18"/>
                <w:szCs w:val="18"/>
                <w:color w:val="auto"/>
              </w:rPr>
              <w:t>Time deposits</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322,535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1,034</w:t>
            </w:r>
          </w:p>
        </w:tc>
        <w:tc>
          <w:tcPr>
            <w:tcW w:w="1040" w:type="dxa"/>
            <w:vAlign w:val="bottom"/>
            <w:gridSpan w:val="2"/>
          </w:tcPr>
          <w:p>
            <w:pPr>
              <w:ind w:left="500"/>
              <w:spacing w:after="0"/>
              <w:rPr>
                <w:sz w:val="20"/>
                <w:szCs w:val="20"/>
                <w:color w:val="auto"/>
              </w:rPr>
            </w:pPr>
            <w:r>
              <w:rPr>
                <w:rFonts w:ascii="Arial" w:cs="Arial" w:eastAsia="Arial" w:hAnsi="Arial"/>
                <w:sz w:val="18"/>
                <w:szCs w:val="18"/>
                <w:color w:val="auto"/>
              </w:rPr>
              <w:t>0.65</w:t>
            </w:r>
          </w:p>
        </w:tc>
        <w:tc>
          <w:tcPr>
            <w:tcW w:w="14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544,642</w:t>
            </w:r>
          </w:p>
        </w:tc>
        <w:tc>
          <w:tcPr>
            <w:tcW w:w="1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4,653</w:t>
            </w:r>
          </w:p>
        </w:tc>
        <w:tc>
          <w:tcPr>
            <w:tcW w:w="980" w:type="dxa"/>
            <w:vAlign w:val="bottom"/>
            <w:gridSpan w:val="2"/>
          </w:tcPr>
          <w:p>
            <w:pPr>
              <w:ind w:left="50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23"/>
        </w:trPr>
        <w:tc>
          <w:tcPr>
            <w:tcW w:w="49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borrowings</w:t>
            </w:r>
          </w:p>
        </w:tc>
        <w:tc>
          <w:tcPr>
            <w:tcW w:w="1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108,844</w:t>
            </w: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1,926</w:t>
            </w:r>
          </w:p>
        </w:tc>
        <w:tc>
          <w:tcPr>
            <w:tcW w:w="16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3.58</w:t>
            </w: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126,491</w:t>
            </w: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1,592</w:t>
            </w:r>
          </w:p>
        </w:tc>
        <w:tc>
          <w:tcPr>
            <w:tcW w:w="1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4620" w:type="dxa"/>
            <w:vAlign w:val="bottom"/>
          </w:tcPr>
          <w:p>
            <w:pPr>
              <w:jc w:val="right"/>
              <w:spacing w:after="0"/>
              <w:rPr>
                <w:sz w:val="20"/>
                <w:szCs w:val="20"/>
                <w:color w:val="auto"/>
              </w:rPr>
            </w:pPr>
            <w:r>
              <w:rPr>
                <w:rFonts w:ascii="Arial" w:cs="Arial" w:eastAsia="Arial" w:hAnsi="Arial"/>
                <w:sz w:val="18"/>
                <w:szCs w:val="18"/>
                <w:color w:val="auto"/>
              </w:rPr>
              <w:t>Interest Bearing Liabilities</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2,631,999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4,324</w:t>
            </w:r>
          </w:p>
        </w:tc>
        <w:tc>
          <w:tcPr>
            <w:tcW w:w="1040" w:type="dxa"/>
            <w:vAlign w:val="bottom"/>
            <w:gridSpan w:val="2"/>
          </w:tcPr>
          <w:p>
            <w:pPr>
              <w:ind w:left="500"/>
              <w:spacing w:after="0"/>
              <w:rPr>
                <w:sz w:val="20"/>
                <w:szCs w:val="20"/>
                <w:color w:val="auto"/>
              </w:rPr>
            </w:pPr>
            <w:r>
              <w:rPr>
                <w:rFonts w:ascii="Arial" w:cs="Arial" w:eastAsia="Arial" w:hAnsi="Arial"/>
                <w:sz w:val="18"/>
                <w:szCs w:val="18"/>
                <w:color w:val="auto"/>
              </w:rPr>
              <w:t>0.33</w:t>
            </w:r>
          </w:p>
        </w:tc>
        <w:tc>
          <w:tcPr>
            <w:tcW w:w="14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2,356,179</w:t>
            </w:r>
          </w:p>
        </w:tc>
        <w:tc>
          <w:tcPr>
            <w:tcW w:w="1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8,680</w:t>
            </w:r>
          </w:p>
        </w:tc>
        <w:tc>
          <w:tcPr>
            <w:tcW w:w="980" w:type="dxa"/>
            <w:vAlign w:val="bottom"/>
            <w:gridSpan w:val="2"/>
          </w:tcPr>
          <w:p>
            <w:pPr>
              <w:ind w:left="500"/>
              <w:spacing w:after="0"/>
              <w:rPr>
                <w:sz w:val="20"/>
                <w:szCs w:val="20"/>
                <w:color w:val="auto"/>
              </w:rPr>
            </w:pPr>
            <w:r>
              <w:rPr>
                <w:rFonts w:ascii="Arial" w:cs="Arial" w:eastAsia="Arial" w:hAnsi="Arial"/>
                <w:sz w:val="18"/>
                <w:szCs w:val="18"/>
                <w:color w:val="auto"/>
              </w:rPr>
              <w:t>0.74</w:t>
            </w: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Non-interest bearing deposits</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1,266,607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955,114</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gridSpan w:val="2"/>
          </w:tcPr>
          <w:p>
            <w:pPr>
              <w:spacing w:after="0"/>
              <w:rPr>
                <w:sz w:val="20"/>
                <w:szCs w:val="20"/>
                <w:color w:val="auto"/>
              </w:rPr>
            </w:pPr>
            <w:r>
              <w:rPr>
                <w:rFonts w:ascii="Arial" w:cs="Arial" w:eastAsia="Arial" w:hAnsi="Arial"/>
                <w:sz w:val="18"/>
                <w:szCs w:val="18"/>
                <w:color w:val="auto"/>
              </w:rPr>
              <w:t>Other liabilities</w:t>
            </w:r>
          </w:p>
        </w:tc>
        <w:tc>
          <w:tcPr>
            <w:tcW w:w="1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61,950</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60,540</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384,469</w:t>
            </w: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345,278</w:t>
            </w: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4760" w:type="dxa"/>
            <w:vAlign w:val="bottom"/>
            <w:gridSpan w:val="2"/>
          </w:tcPr>
          <w:p>
            <w:pPr>
              <w:jc w:val="right"/>
              <w:spacing w:after="0"/>
              <w:rPr>
                <w:sz w:val="20"/>
                <w:szCs w:val="20"/>
                <w:color w:val="auto"/>
              </w:rPr>
            </w:pPr>
            <w:r>
              <w:rPr>
                <w:rFonts w:ascii="Arial" w:cs="Arial" w:eastAsia="Arial" w:hAnsi="Arial"/>
                <w:sz w:val="18"/>
                <w:szCs w:val="18"/>
                <w:color w:val="auto"/>
              </w:rPr>
              <w:t>Total liabilities and shareholders’ equity $</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4,345,025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3,717,111</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320" w:type="dxa"/>
            <w:vAlign w:val="bottom"/>
            <w:shd w:val="clear" w:color="auto" w:fill="CCEEFF"/>
          </w:tcPr>
          <w:p>
            <w:pPr>
              <w:spacing w:after="0"/>
              <w:rPr>
                <w:sz w:val="18"/>
                <w:szCs w:val="18"/>
                <w:color w:val="auto"/>
              </w:rPr>
            </w:pPr>
          </w:p>
        </w:tc>
        <w:tc>
          <w:tcPr>
            <w:tcW w:w="4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4620" w:type="dxa"/>
            <w:vAlign w:val="bottom"/>
          </w:tcPr>
          <w:p>
            <w:pPr>
              <w:jc w:val="right"/>
              <w:spacing w:after="0"/>
              <w:rPr>
                <w:sz w:val="20"/>
                <w:szCs w:val="20"/>
                <w:color w:val="auto"/>
              </w:rPr>
            </w:pPr>
            <w:r>
              <w:rPr>
                <w:rFonts w:ascii="Arial" w:cs="Arial" w:eastAsia="Arial" w:hAnsi="Arial"/>
                <w:sz w:val="18"/>
                <w:szCs w:val="18"/>
                <w:color w:val="auto"/>
              </w:rPr>
              <w:t>Net Interest Income</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62,559</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60,997</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320" w:type="dxa"/>
            <w:vAlign w:val="bottom"/>
            <w:shd w:val="clear" w:color="auto" w:fill="CCEEFF"/>
          </w:tcPr>
          <w:p>
            <w:pPr>
              <w:spacing w:after="0"/>
              <w:rPr>
                <w:sz w:val="18"/>
                <w:szCs w:val="18"/>
                <w:color w:val="auto"/>
              </w:rPr>
            </w:pPr>
          </w:p>
        </w:tc>
        <w:tc>
          <w:tcPr>
            <w:tcW w:w="4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gridSpan w:val="2"/>
          </w:tcPr>
          <w:p>
            <w:pPr>
              <w:ind w:left="20"/>
              <w:spacing w:after="0"/>
              <w:rPr>
                <w:sz w:val="20"/>
                <w:szCs w:val="20"/>
                <w:color w:val="auto"/>
              </w:rPr>
            </w:pPr>
            <w:r>
              <w:rPr>
                <w:rFonts w:ascii="Arial" w:cs="Arial" w:eastAsia="Arial" w:hAnsi="Arial"/>
                <w:sz w:val="18"/>
                <w:szCs w:val="18"/>
                <w:color w:val="auto"/>
                <w:w w:val="89"/>
              </w:rPr>
              <w:t>Net Interest Income as a Percent of Average Interest Earning Assets</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ind w:left="500"/>
              <w:spacing w:after="0"/>
              <w:rPr>
                <w:sz w:val="20"/>
                <w:szCs w:val="20"/>
                <w:color w:val="auto"/>
              </w:rPr>
            </w:pPr>
            <w:r>
              <w:rPr>
                <w:rFonts w:ascii="Arial" w:cs="Arial" w:eastAsia="Arial" w:hAnsi="Arial"/>
                <w:sz w:val="18"/>
                <w:szCs w:val="18"/>
                <w:color w:val="auto"/>
              </w:rPr>
              <w:t>3.04%</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ind w:left="500"/>
              <w:spacing w:after="0"/>
              <w:rPr>
                <w:sz w:val="20"/>
                <w:szCs w:val="20"/>
                <w:color w:val="auto"/>
              </w:rPr>
            </w:pPr>
            <w:r>
              <w:rPr>
                <w:rFonts w:ascii="Arial" w:cs="Arial" w:eastAsia="Arial" w:hAnsi="Arial"/>
                <w:sz w:val="18"/>
                <w:szCs w:val="18"/>
                <w:color w:val="auto"/>
                <w:w w:val="90"/>
              </w:rPr>
              <w:t>3.49%</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85725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57250" cy="1714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340" w:hanging="332"/>
        <w:spacing w:after="0"/>
        <w:tabs>
          <w:tab w:leader="none" w:pos="3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Interest on tax-exempt loans and securities available for sale is presented on a fully tax equivalent basis assuming a marginal tax rate of 21%.</w:t>
      </w:r>
    </w:p>
    <w:p>
      <w:pPr>
        <w:spacing w:after="0" w:line="34" w:lineRule="exact"/>
        <w:rPr>
          <w:rFonts w:ascii="Arial" w:cs="Arial" w:eastAsia="Arial" w:hAnsi="Arial"/>
          <w:sz w:val="17"/>
          <w:szCs w:val="17"/>
          <w:color w:val="auto"/>
        </w:rPr>
      </w:pPr>
    </w:p>
    <w:p>
      <w:pPr>
        <w:ind w:left="340" w:hanging="332"/>
        <w:spacing w:after="0"/>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Annualized</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161"/>
        </w:trPr>
        <w:tc>
          <w:tcPr>
            <w:tcW w:w="5080" w:type="dxa"/>
            <w:vAlign w:val="bottom"/>
            <w:gridSpan w:val="2"/>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080" w:type="dxa"/>
            <w:vAlign w:val="bottom"/>
            <w:gridSpan w:val="2"/>
          </w:tcPr>
          <w:p>
            <w:pPr>
              <w:spacing w:after="0"/>
              <w:rPr>
                <w:sz w:val="20"/>
                <w:szCs w:val="20"/>
                <w:color w:val="auto"/>
              </w:rPr>
            </w:pPr>
            <w:r>
              <w:rPr>
                <w:rFonts w:ascii="Arial" w:cs="Arial" w:eastAsia="Arial" w:hAnsi="Arial"/>
                <w:sz w:val="18"/>
                <w:szCs w:val="18"/>
                <w:b w:val="1"/>
                <w:bCs w:val="1"/>
                <w:color w:val="auto"/>
              </w:rPr>
              <w:t>Reconciliation of Non-GAAP Financial Measures</w:t>
            </w: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32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20" w:type="dxa"/>
            <w:vAlign w:val="bottom"/>
            <w:gridSpan w:val="5"/>
          </w:tcPr>
          <w:p>
            <w:pPr>
              <w:jc w:val="right"/>
              <w:ind w:right="740"/>
              <w:spacing w:after="0"/>
              <w:rPr>
                <w:sz w:val="20"/>
                <w:szCs w:val="20"/>
                <w:color w:val="auto"/>
              </w:rPr>
            </w:pPr>
            <w:r>
              <w:rPr>
                <w:rFonts w:ascii="Arial" w:cs="Arial" w:eastAsia="Arial" w:hAnsi="Arial"/>
                <w:sz w:val="18"/>
                <w:szCs w:val="18"/>
                <w:color w:val="auto"/>
              </w:rPr>
              <w:t>Three Months Ended</w:t>
            </w:r>
          </w:p>
        </w:tc>
        <w:tc>
          <w:tcPr>
            <w:tcW w:w="220" w:type="dxa"/>
            <w:vAlign w:val="bottom"/>
          </w:tcPr>
          <w:p>
            <w:pPr>
              <w:spacing w:after="0"/>
              <w:rPr>
                <w:sz w:val="24"/>
                <w:szCs w:val="24"/>
                <w:color w:val="auto"/>
              </w:rPr>
            </w:pPr>
          </w:p>
        </w:tc>
        <w:tc>
          <w:tcPr>
            <w:tcW w:w="2400" w:type="dxa"/>
            <w:vAlign w:val="bottom"/>
            <w:gridSpan w:val="5"/>
          </w:tcPr>
          <w:p>
            <w:pPr>
              <w:jc w:val="right"/>
              <w:ind w:right="72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3"/>
          </w:tcPr>
          <w:p>
            <w:pPr>
              <w:jc w:val="right"/>
              <w:ind w:right="10"/>
              <w:spacing w:after="0"/>
              <w:rPr>
                <w:sz w:val="20"/>
                <w:szCs w:val="20"/>
                <w:color w:val="auto"/>
              </w:rPr>
            </w:pPr>
            <w:r>
              <w:rPr>
                <w:rFonts w:ascii="Arial" w:cs="Arial" w:eastAsia="Arial" w:hAnsi="Arial"/>
                <w:sz w:val="18"/>
                <w:szCs w:val="18"/>
                <w:color w:val="auto"/>
              </w:rPr>
              <w:t>June 30,</w:t>
            </w: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3"/>
          </w:tcPr>
          <w:p>
            <w:pPr>
              <w:jc w:val="right"/>
              <w:ind w:right="30"/>
              <w:spacing w:after="0"/>
              <w:rPr>
                <w:sz w:val="20"/>
                <w:szCs w:val="20"/>
                <w:color w:val="auto"/>
              </w:rPr>
            </w:pPr>
            <w:r>
              <w:rPr>
                <w:rFonts w:ascii="Arial" w:cs="Arial" w:eastAsia="Arial" w:hAnsi="Arial"/>
                <w:sz w:val="18"/>
                <w:szCs w:val="18"/>
                <w:color w:val="auto"/>
              </w:rPr>
              <w:t>June 30,</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2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2021</w:t>
            </w: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c>
          <w:tcPr>
            <w:tcW w:w="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2020</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0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Interest Margin, Fully Taxable Equivalent ("FTE")</w:t>
            </w: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60" w:type="dxa"/>
            <w:vAlign w:val="bottom"/>
            <w:gridSpan w:val="5"/>
          </w:tcPr>
          <w:p>
            <w:pPr>
              <w:jc w:val="right"/>
              <w:ind w:right="700"/>
              <w:spacing w:after="0"/>
              <w:rPr>
                <w:sz w:val="20"/>
                <w:szCs w:val="20"/>
                <w:color w:val="auto"/>
              </w:rPr>
            </w:pPr>
            <w:r>
              <w:rPr>
                <w:rFonts w:ascii="Arial" w:cs="Arial" w:eastAsia="Arial" w:hAnsi="Arial"/>
                <w:sz w:val="18"/>
                <w:szCs w:val="18"/>
                <w:color w:val="auto"/>
                <w:w w:val="99"/>
              </w:rPr>
              <w:t>(Dollars in thousands)</w:t>
            </w: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080" w:type="dxa"/>
            <w:vAlign w:val="bottom"/>
            <w:gridSpan w:val="2"/>
            <w:vMerge w:val="continue"/>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interest income</w:t>
            </w:r>
          </w:p>
        </w:tc>
        <w:tc>
          <w:tcPr>
            <w:tcW w:w="10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31,393</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30,462</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61,677</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60,653</w:t>
            </w:r>
          </w:p>
        </w:tc>
        <w:tc>
          <w:tcPr>
            <w:tcW w:w="0" w:type="dxa"/>
            <w:vAlign w:val="bottom"/>
          </w:tcPr>
          <w:p>
            <w:pPr>
              <w:spacing w:after="0"/>
              <w:rPr>
                <w:sz w:val="1"/>
                <w:szCs w:val="1"/>
                <w:color w:val="auto"/>
              </w:rPr>
            </w:pPr>
          </w:p>
        </w:tc>
      </w:tr>
      <w:tr>
        <w:trPr>
          <w:trHeight w:val="223"/>
        </w:trPr>
        <w:tc>
          <w:tcPr>
            <w:tcW w:w="5080" w:type="dxa"/>
            <w:vAlign w:val="bottom"/>
            <w:gridSpan w:val="2"/>
          </w:tcPr>
          <w:p>
            <w:pPr>
              <w:ind w:left="140"/>
              <w:spacing w:after="0"/>
              <w:rPr>
                <w:sz w:val="20"/>
                <w:szCs w:val="20"/>
                <w:color w:val="auto"/>
              </w:rPr>
            </w:pPr>
            <w:r>
              <w:rPr>
                <w:rFonts w:ascii="Arial" w:cs="Arial" w:eastAsia="Arial" w:hAnsi="Arial"/>
                <w:sz w:val="18"/>
                <w:szCs w:val="18"/>
                <w:color w:val="auto"/>
              </w:rPr>
              <w:t>Add: taxable equivalent adjustment</w:t>
            </w: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478</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223</w:t>
            </w:r>
          </w:p>
        </w:tc>
        <w:tc>
          <w:tcPr>
            <w:tcW w:w="22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882</w:t>
            </w:r>
          </w:p>
        </w:tc>
        <w:tc>
          <w:tcPr>
            <w:tcW w:w="28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57"/>
        </w:trPr>
        <w:tc>
          <w:tcPr>
            <w:tcW w:w="50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interest income - taxable equivalent</w:t>
            </w:r>
          </w:p>
        </w:tc>
        <w:tc>
          <w:tcPr>
            <w:tcW w:w="8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31,871</w:t>
            </w:r>
          </w:p>
        </w:tc>
        <w:tc>
          <w:tcPr>
            <w:tcW w:w="2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30,685</w:t>
            </w:r>
          </w:p>
        </w:tc>
        <w:tc>
          <w:tcPr>
            <w:tcW w:w="2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62,559</w:t>
            </w:r>
          </w:p>
        </w:tc>
        <w:tc>
          <w:tcPr>
            <w:tcW w:w="260" w:type="dxa"/>
            <w:vAlign w:val="bottom"/>
            <w:tcBorders>
              <w:bottom w:val="single" w:sz="8" w:color="CCEEFF"/>
              <w:right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60,997</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080" w:type="dxa"/>
            <w:vAlign w:val="bottom"/>
            <w:gridSpan w:val="2"/>
          </w:tcPr>
          <w:p>
            <w:pPr>
              <w:spacing w:after="0" w:line="250" w:lineRule="exact"/>
              <w:rPr>
                <w:sz w:val="20"/>
                <w:szCs w:val="20"/>
                <w:color w:val="auto"/>
              </w:rPr>
            </w:pPr>
            <w:r>
              <w:rPr>
                <w:rFonts w:ascii="Arial" w:cs="Arial" w:eastAsia="Arial" w:hAnsi="Arial"/>
                <w:sz w:val="17"/>
                <w:szCs w:val="17"/>
                <w:color w:val="auto"/>
              </w:rPr>
              <w:t xml:space="preserve">Net interest margin (GAAP) </w:t>
            </w:r>
            <w:r>
              <w:rPr>
                <w:rFonts w:ascii="Arial" w:cs="Arial" w:eastAsia="Arial" w:hAnsi="Arial"/>
                <w:sz w:val="28"/>
                <w:szCs w:val="28"/>
                <w:color w:val="auto"/>
                <w:vertAlign w:val="superscript"/>
              </w:rPr>
              <w:t>(1)</w:t>
            </w: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2.98%</w:t>
            </w:r>
          </w:p>
        </w:tc>
        <w:tc>
          <w:tcPr>
            <w:tcW w:w="280" w:type="dxa"/>
            <w:vAlign w:val="bottom"/>
          </w:tcPr>
          <w:p>
            <w:pPr>
              <w:spacing w:after="0"/>
              <w:rPr>
                <w:sz w:val="21"/>
                <w:szCs w:val="21"/>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3.34%</w:t>
            </w:r>
          </w:p>
        </w:tc>
        <w:tc>
          <w:tcPr>
            <w:tcW w:w="22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3.00%</w:t>
            </w:r>
          </w:p>
        </w:tc>
        <w:tc>
          <w:tcPr>
            <w:tcW w:w="280" w:type="dxa"/>
            <w:vAlign w:val="bottom"/>
          </w:tcPr>
          <w:p>
            <w:pPr>
              <w:spacing w:after="0"/>
              <w:rPr>
                <w:sz w:val="21"/>
                <w:szCs w:val="21"/>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1"/>
        </w:trPr>
        <w:tc>
          <w:tcPr>
            <w:tcW w:w="5080" w:type="dxa"/>
            <w:vAlign w:val="bottom"/>
            <w:gridSpan w:val="2"/>
            <w:shd w:val="clear" w:color="auto" w:fill="CCEEFF"/>
          </w:tcPr>
          <w:p>
            <w:pPr>
              <w:spacing w:after="0" w:line="250" w:lineRule="exact"/>
              <w:rPr>
                <w:sz w:val="20"/>
                <w:szCs w:val="20"/>
                <w:color w:val="auto"/>
              </w:rPr>
            </w:pPr>
            <w:r>
              <w:rPr>
                <w:rFonts w:ascii="Arial" w:cs="Arial" w:eastAsia="Arial" w:hAnsi="Arial"/>
                <w:sz w:val="17"/>
                <w:szCs w:val="17"/>
                <w:color w:val="auto"/>
              </w:rPr>
              <w:t xml:space="preserve">Net interest margin (FTE) </w:t>
            </w:r>
            <w:r>
              <w:rPr>
                <w:rFonts w:ascii="Arial" w:cs="Arial" w:eastAsia="Arial" w:hAnsi="Arial"/>
                <w:sz w:val="28"/>
                <w:szCs w:val="28"/>
                <w:color w:val="auto"/>
                <w:vertAlign w:val="superscript"/>
              </w:rPr>
              <w:t>(1)</w:t>
            </w:r>
          </w:p>
        </w:tc>
        <w:tc>
          <w:tcPr>
            <w:tcW w:w="8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3.02%</w:t>
            </w:r>
          </w:p>
        </w:tc>
        <w:tc>
          <w:tcPr>
            <w:tcW w:w="28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3.36%</w:t>
            </w:r>
          </w:p>
        </w:tc>
        <w:tc>
          <w:tcPr>
            <w:tcW w:w="220" w:type="dxa"/>
            <w:vAlign w:val="bottom"/>
            <w:shd w:val="clear" w:color="auto" w:fill="CCEEFF"/>
          </w:tcPr>
          <w:p>
            <w:pPr>
              <w:spacing w:after="0"/>
              <w:rPr>
                <w:sz w:val="23"/>
                <w:szCs w:val="23"/>
                <w:color w:val="auto"/>
              </w:rPr>
            </w:pPr>
          </w:p>
        </w:tc>
        <w:tc>
          <w:tcPr>
            <w:tcW w:w="11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3.04%</w:t>
            </w:r>
          </w:p>
        </w:tc>
        <w:tc>
          <w:tcPr>
            <w:tcW w:w="28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0"/>
        </w:trPr>
        <w:tc>
          <w:tcPr>
            <w:tcW w:w="320" w:type="dxa"/>
            <w:vAlign w:val="bottom"/>
            <w:tcBorders>
              <w:top w:val="single" w:sz="8" w:color="CCEEFF"/>
            </w:tcBorders>
            <w:shd w:val="clear" w:color="auto" w:fill="CCEEFF"/>
          </w:tcPr>
          <w:p>
            <w:pPr>
              <w:spacing w:after="0" w:line="20" w:lineRule="exact"/>
              <w:rPr>
                <w:sz w:val="1"/>
                <w:szCs w:val="1"/>
                <w:color w:val="auto"/>
              </w:rPr>
            </w:pPr>
          </w:p>
        </w:tc>
        <w:tc>
          <w:tcPr>
            <w:tcW w:w="47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(1) Annualized.</w:t>
      </w:r>
    </w:p>
    <w:p>
      <w:pPr>
        <w:spacing w:after="0" w:line="24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Provision for credit losses. </w:t>
      </w:r>
      <w:r>
        <w:rPr>
          <w:rFonts w:ascii="Arial" w:cs="Arial" w:eastAsia="Arial" w:hAnsi="Arial"/>
          <w:sz w:val="18"/>
          <w:szCs w:val="18"/>
          <w:color w:val="auto"/>
        </w:rPr>
        <w:t>We adopted Financial Accounting Standards Board Accounting Standards Update 2016-13, Financial Instruments — Credit</w:t>
      </w:r>
      <w:r>
        <w:rPr>
          <w:rFonts w:ascii="Arial" w:cs="Arial" w:eastAsia="Arial" w:hAnsi="Arial"/>
          <w:sz w:val="18"/>
          <w:szCs w:val="18"/>
          <w:b w:val="1"/>
          <w:bCs w:val="1"/>
          <w:color w:val="auto"/>
        </w:rPr>
        <w:t xml:space="preserve"> </w:t>
      </w:r>
      <w:r>
        <w:rPr>
          <w:rFonts w:ascii="Arial" w:cs="Arial" w:eastAsia="Arial" w:hAnsi="Arial"/>
          <w:sz w:val="18"/>
          <w:szCs w:val="18"/>
          <w:color w:val="auto"/>
        </w:rPr>
        <w:t>Losses (Topic 326), Measurement of Credit Losses on Financial Instruments (“CECL”) on January 1, 2021. See note #2 to the Condensed Consolidated Financial Statements included within this report for our discussion on CECL implementation.</w:t>
      </w:r>
    </w:p>
    <w:p>
      <w:pPr>
        <w:spacing w:after="0" w:line="20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provision for credit losses was a credit of $1.4 million and an expense of $5.2 million for the three months ended June 30, 2021 and 2020, respectively. During the six-month periods ended June 30, 2021 and 2020, the provision for credit losses was a credit of $1.9 million and an expense of $11.9 million, respectively. The provision reflects our assessment of the allowance for credit losses (the “ACL”) taking into consideration factors such as loan growth, loan mix, levels of non-performing and classified loans, economic conditions and loan net charge-offs. While we use relevant information to recognize losses on loans, additional provisions for related losses may be necessary based on changes in economic conditions, customer circumstances and other credit risk factors. See “Portfolio Loans and asset quality” for a discussion of the various components of the ACL and their impact on the provision for credit losses in 2021. See note #13 to the Condensed Consolidated Financial Statements included within this report for a discussion on industry concentrations. In particular, the higher year-to-date provision for credit losses in 2020 included an $8.7 million (or 98.2%) increase in the qualitative/subjective portion of the allowance for loan losses. That increase principally reflected the unique challenges and economic uncertainty resulting from the COVID-19 pandemic during the first half of 2020 and the potential impact on the loan portfolio.</w:t>
      </w:r>
    </w:p>
    <w:p>
      <w:pPr>
        <w:spacing w:after="0" w:line="20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Non-interest income. </w:t>
      </w:r>
      <w:r>
        <w:rPr>
          <w:rFonts w:ascii="Arial" w:cs="Arial" w:eastAsia="Arial" w:hAnsi="Arial"/>
          <w:sz w:val="18"/>
          <w:szCs w:val="18"/>
          <w:color w:val="auto"/>
        </w:rPr>
        <w:t>Non-interest income is a significant element in assessing our results of operations. Non-interest income totaled $14.8 million during</w:t>
      </w:r>
      <w:r>
        <w:rPr>
          <w:rFonts w:ascii="Arial" w:cs="Arial" w:eastAsia="Arial" w:hAnsi="Arial"/>
          <w:sz w:val="18"/>
          <w:szCs w:val="18"/>
          <w:b w:val="1"/>
          <w:bCs w:val="1"/>
          <w:color w:val="auto"/>
        </w:rPr>
        <w:t xml:space="preserve"> </w:t>
      </w:r>
      <w:r>
        <w:rPr>
          <w:rFonts w:ascii="Arial" w:cs="Arial" w:eastAsia="Arial" w:hAnsi="Arial"/>
          <w:sz w:val="18"/>
          <w:szCs w:val="18"/>
          <w:color w:val="auto"/>
        </w:rPr>
        <w:t>the second quarter of 2021 compared to $20.4 million in the second quarter of 2020. For the first six months of 2021, non-interest income totaled $41.2 million compared to $31.4 million for the first six months of 2020.</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161"/>
        </w:trPr>
        <w:tc>
          <w:tcPr>
            <w:tcW w:w="5980" w:type="dxa"/>
            <w:vAlign w:val="bottom"/>
            <w:gridSpan w:val="2"/>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85"/>
        </w:trPr>
        <w:tc>
          <w:tcPr>
            <w:tcW w:w="5980" w:type="dxa"/>
            <w:vAlign w:val="bottom"/>
            <w:gridSpan w:val="2"/>
          </w:tcPr>
          <w:p>
            <w:pPr>
              <w:spacing w:after="0"/>
              <w:rPr>
                <w:sz w:val="20"/>
                <w:szCs w:val="20"/>
                <w:color w:val="auto"/>
              </w:rPr>
            </w:pPr>
            <w:r>
              <w:rPr>
                <w:rFonts w:ascii="Arial" w:cs="Arial" w:eastAsia="Arial" w:hAnsi="Arial"/>
                <w:sz w:val="18"/>
                <w:szCs w:val="18"/>
                <w:color w:val="auto"/>
              </w:rPr>
              <w:t>The components of non-interest income are as follows: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9"/>
        </w:trPr>
        <w:tc>
          <w:tcPr>
            <w:tcW w:w="5980" w:type="dxa"/>
            <w:vAlign w:val="bottom"/>
            <w:gridSpan w:val="2"/>
          </w:tcPr>
          <w:p>
            <w:pPr>
              <w:spacing w:after="0"/>
              <w:rPr>
                <w:sz w:val="20"/>
                <w:szCs w:val="20"/>
                <w:color w:val="auto"/>
              </w:rPr>
            </w:pPr>
            <w:r>
              <w:rPr>
                <w:rFonts w:ascii="Arial" w:cs="Arial" w:eastAsia="Arial" w:hAnsi="Arial"/>
                <w:sz w:val="18"/>
                <w:szCs w:val="18"/>
                <w:b w:val="1"/>
                <w:bCs w:val="1"/>
                <w:color w:val="auto"/>
              </w:rPr>
              <w:t>Non-Interest Income</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5"/>
        </w:trPr>
        <w:tc>
          <w:tcPr>
            <w:tcW w:w="32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80" w:type="dxa"/>
            <w:vAlign w:val="bottom"/>
            <w:gridSpan w:val="5"/>
          </w:tcPr>
          <w:p>
            <w:pPr>
              <w:jc w:val="right"/>
              <w:ind w:right="740"/>
              <w:spacing w:after="0"/>
              <w:rPr>
                <w:sz w:val="20"/>
                <w:szCs w:val="20"/>
                <w:color w:val="auto"/>
              </w:rPr>
            </w:pPr>
            <w:r>
              <w:rPr>
                <w:rFonts w:ascii="Arial" w:cs="Arial" w:eastAsia="Arial" w:hAnsi="Arial"/>
                <w:sz w:val="18"/>
                <w:szCs w:val="18"/>
                <w:color w:val="auto"/>
              </w:rPr>
              <w:t>Three months ended</w:t>
            </w:r>
          </w:p>
        </w:tc>
        <w:tc>
          <w:tcPr>
            <w:tcW w:w="380" w:type="dxa"/>
            <w:vAlign w:val="bottom"/>
          </w:tcPr>
          <w:p>
            <w:pPr>
              <w:spacing w:after="0"/>
              <w:rPr>
                <w:sz w:val="24"/>
                <w:szCs w:val="24"/>
                <w:color w:val="auto"/>
              </w:rPr>
            </w:pPr>
          </w:p>
        </w:tc>
        <w:tc>
          <w:tcPr>
            <w:tcW w:w="2160" w:type="dxa"/>
            <w:vAlign w:val="bottom"/>
            <w:gridSpan w:val="5"/>
          </w:tcPr>
          <w:p>
            <w:pPr>
              <w:jc w:val="right"/>
              <w:ind w:right="680"/>
              <w:spacing w:after="0"/>
              <w:rPr>
                <w:sz w:val="20"/>
                <w:szCs w:val="20"/>
                <w:color w:val="auto"/>
              </w:rPr>
            </w:pPr>
            <w:r>
              <w:rPr>
                <w:rFonts w:ascii="Arial" w:cs="Arial" w:eastAsia="Arial" w:hAnsi="Arial"/>
                <w:sz w:val="18"/>
                <w:szCs w:val="18"/>
                <w:color w:val="auto"/>
              </w:rPr>
              <w:t>Six months ended</w:t>
            </w:r>
          </w:p>
        </w:tc>
      </w:tr>
      <w:tr>
        <w:trPr>
          <w:trHeight w:val="216"/>
        </w:trPr>
        <w:tc>
          <w:tcPr>
            <w:tcW w:w="32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3"/>
          </w:tcPr>
          <w:p>
            <w:pPr>
              <w:jc w:val="right"/>
              <w:ind w:right="27"/>
              <w:spacing w:after="0"/>
              <w:rPr>
                <w:sz w:val="20"/>
                <w:szCs w:val="20"/>
                <w:color w:val="auto"/>
              </w:rPr>
            </w:pPr>
            <w:r>
              <w:rPr>
                <w:rFonts w:ascii="Arial" w:cs="Arial" w:eastAsia="Arial" w:hAnsi="Arial"/>
                <w:sz w:val="18"/>
                <w:szCs w:val="18"/>
                <w:color w:val="auto"/>
              </w:rPr>
              <w:t>June 30,</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June 30,</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320" w:type="dxa"/>
            <w:vAlign w:val="bottom"/>
          </w:tcPr>
          <w:p>
            <w:pPr>
              <w:spacing w:after="0"/>
              <w:rPr>
                <w:sz w:val="20"/>
                <w:szCs w:val="20"/>
                <w:color w:val="auto"/>
              </w:rPr>
            </w:pPr>
          </w:p>
        </w:tc>
        <w:tc>
          <w:tcPr>
            <w:tcW w:w="56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c>
          <w:tcPr>
            <w:tcW w:w="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84"/>
              </w:rPr>
              <w:t>2021</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r>
      <w:tr>
        <w:trPr>
          <w:trHeight w:val="216"/>
        </w:trPr>
        <w:tc>
          <w:tcPr>
            <w:tcW w:w="32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(In thousands)</w:t>
            </w: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Interchange income</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3,453</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2,526</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6,502</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4,983</w:t>
            </w: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Service charges on deposit accounts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2,318</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1,623</w:t>
            </w:r>
          </w:p>
        </w:tc>
        <w:tc>
          <w:tcPr>
            <w:tcW w:w="3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4,234</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4,214</w:t>
            </w: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gains on assets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gridSpan w:val="2"/>
          </w:tcPr>
          <w:p>
            <w:pPr>
              <w:ind w:left="140"/>
              <w:spacing w:after="0"/>
              <w:rPr>
                <w:sz w:val="20"/>
                <w:szCs w:val="20"/>
                <w:color w:val="auto"/>
              </w:rPr>
            </w:pPr>
            <w:r>
              <w:rPr>
                <w:rFonts w:ascii="Arial" w:cs="Arial" w:eastAsia="Arial" w:hAnsi="Arial"/>
                <w:sz w:val="18"/>
                <w:szCs w:val="18"/>
                <w:color w:val="auto"/>
              </w:rPr>
              <w:t>Mortgage loans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9,091</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17,642</w:t>
            </w:r>
          </w:p>
        </w:tc>
        <w:tc>
          <w:tcPr>
            <w:tcW w:w="3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21,919</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26,482</w:t>
            </w:r>
          </w:p>
        </w:tc>
      </w:tr>
      <w:tr>
        <w:trPr>
          <w:trHeight w:val="216"/>
        </w:trPr>
        <w:tc>
          <w:tcPr>
            <w:tcW w:w="59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Securities available for sale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1,416</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w:t>
            </w: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Mortgage loan servicing, net</w:t>
            </w:r>
          </w:p>
        </w:tc>
        <w:tc>
          <w:tcPr>
            <w:tcW w:w="2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(1,962)</w:t>
            </w:r>
          </w:p>
        </w:tc>
        <w:tc>
          <w:tcPr>
            <w:tcW w:w="2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(3,022)</w:t>
            </w:r>
          </w:p>
        </w:tc>
        <w:tc>
          <w:tcPr>
            <w:tcW w:w="3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3,205</w:t>
            </w:r>
          </w:p>
        </w:tc>
        <w:tc>
          <w:tcPr>
            <w:tcW w:w="2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(8,322)</w:t>
            </w: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 and insurance commissions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435</w:t>
            </w: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1,217</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948</w:t>
            </w: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Bank owned life insurance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127</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265</w:t>
            </w:r>
          </w:p>
        </w:tc>
        <w:tc>
          <w:tcPr>
            <w:tcW w:w="3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266</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535</w:t>
            </w: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898</w:t>
            </w: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2,418</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2,278</w:t>
            </w:r>
          </w:p>
        </w:tc>
      </w:tr>
      <w:tr>
        <w:trPr>
          <w:trHeight w:val="27"/>
        </w:trPr>
        <w:tc>
          <w:tcPr>
            <w:tcW w:w="320" w:type="dxa"/>
            <w:vAlign w:val="bottom"/>
            <w:shd w:val="clear" w:color="auto" w:fill="CCEEFF"/>
          </w:tcPr>
          <w:p>
            <w:pPr>
              <w:spacing w:after="0"/>
              <w:rPr>
                <w:sz w:val="2"/>
                <w:szCs w:val="2"/>
                <w:color w:val="auto"/>
              </w:rPr>
            </w:pPr>
          </w:p>
        </w:tc>
        <w:tc>
          <w:tcPr>
            <w:tcW w:w="56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80" w:type="dxa"/>
            <w:vAlign w:val="bottom"/>
            <w:gridSpan w:val="2"/>
          </w:tcPr>
          <w:p>
            <w:pPr>
              <w:ind w:left="140"/>
              <w:spacing w:after="0"/>
              <w:rPr>
                <w:sz w:val="20"/>
                <w:szCs w:val="20"/>
                <w:color w:val="auto"/>
              </w:rPr>
            </w:pPr>
            <w:r>
              <w:rPr>
                <w:rFonts w:ascii="Arial" w:cs="Arial" w:eastAsia="Arial" w:hAnsi="Arial"/>
                <w:sz w:val="18"/>
                <w:szCs w:val="18"/>
                <w:color w:val="auto"/>
              </w:rPr>
              <w:t>Total non-interest income</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14,771</w:t>
            </w:r>
          </w:p>
        </w:tc>
        <w:tc>
          <w:tcPr>
            <w:tcW w:w="260" w:type="dxa"/>
            <w:vAlign w:val="bottom"/>
          </w:tcPr>
          <w:p>
            <w:pPr>
              <w:spacing w:after="0"/>
              <w:rPr>
                <w:sz w:val="18"/>
                <w:szCs w:val="18"/>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20,367</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41,177</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31,371</w:t>
            </w:r>
          </w:p>
        </w:tc>
      </w:tr>
      <w:tr>
        <w:trPr>
          <w:trHeight w:val="21"/>
        </w:trPr>
        <w:tc>
          <w:tcPr>
            <w:tcW w:w="3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Interchange income increased on both a comparative quarterly and year-to-date basis in 2021 as compared to 2020, primarily due to growth in debit card transaction volume (the second quarter of 2020 was adversely impacted by COVID-19 pandemic related shut-downs of businesses and stay at home mandates), a new switch contract that was initially effective in the fourth quarter of 2020 that increased revenues and joining a surcharge free ATM network in April 2020 that increased both interchange income and interchange expense.</w:t>
      </w:r>
    </w:p>
    <w:p>
      <w:pPr>
        <w:spacing w:after="0" w:line="21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Service charges on deposit accounts increased on a comparative quarterly basis and were relatively unchanged on a year-to-date basis in 2021 as compared to 2020. The quarterly increase was principally due to an increase in non-sufficient funds occurrences (and related fees) In particular, the second quarter of 2020 was impacted by COVID-19 pandemic related business shut-downs and stay at home mandates that reduced checking account activity.</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7" w:name="page78"/>
    <w:bookmarkEnd w:id="7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Net gains on mortgage loans declined in 2021 from 2020 on both a quarterly and a year-to-date basis. Mortgage loan activity is summarized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40" w:type="dxa"/>
            <w:vAlign w:val="bottom"/>
          </w:tcPr>
          <w:p>
            <w:pPr>
              <w:spacing w:after="0"/>
              <w:rPr>
                <w:sz w:val="20"/>
                <w:szCs w:val="20"/>
                <w:color w:val="auto"/>
              </w:rPr>
            </w:pPr>
            <w:r>
              <w:rPr>
                <w:rFonts w:ascii="Arial" w:cs="Arial" w:eastAsia="Arial" w:hAnsi="Arial"/>
                <w:sz w:val="18"/>
                <w:szCs w:val="18"/>
                <w:b w:val="1"/>
                <w:bCs w:val="1"/>
                <w:color w:val="auto"/>
              </w:rPr>
              <w:t>Mortgage Loan Activity</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45"/>
        </w:trPr>
        <w:tc>
          <w:tcPr>
            <w:tcW w:w="5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20" w:type="dxa"/>
            <w:vAlign w:val="bottom"/>
            <w:gridSpan w:val="5"/>
          </w:tcPr>
          <w:p>
            <w:pPr>
              <w:jc w:val="center"/>
              <w:ind w:right="430"/>
              <w:spacing w:after="0"/>
              <w:rPr>
                <w:sz w:val="20"/>
                <w:szCs w:val="20"/>
                <w:color w:val="auto"/>
              </w:rPr>
            </w:pPr>
            <w:r>
              <w:rPr>
                <w:rFonts w:ascii="Arial" w:cs="Arial" w:eastAsia="Arial" w:hAnsi="Arial"/>
                <w:sz w:val="18"/>
                <w:szCs w:val="18"/>
                <w:color w:val="auto"/>
                <w:w w:val="89"/>
              </w:rPr>
              <w:t>Three months ended</w:t>
            </w:r>
          </w:p>
        </w:tc>
        <w:tc>
          <w:tcPr>
            <w:tcW w:w="220" w:type="dxa"/>
            <w:vAlign w:val="bottom"/>
          </w:tcPr>
          <w:p>
            <w:pPr>
              <w:spacing w:after="0"/>
              <w:rPr>
                <w:sz w:val="24"/>
                <w:szCs w:val="24"/>
                <w:color w:val="auto"/>
              </w:rPr>
            </w:pPr>
          </w:p>
        </w:tc>
        <w:tc>
          <w:tcPr>
            <w:tcW w:w="2420" w:type="dxa"/>
            <w:vAlign w:val="bottom"/>
            <w:gridSpan w:val="5"/>
          </w:tcPr>
          <w:p>
            <w:pPr>
              <w:jc w:val="center"/>
              <w:ind w:right="380"/>
              <w:spacing w:after="0"/>
              <w:rPr>
                <w:sz w:val="20"/>
                <w:szCs w:val="20"/>
                <w:color w:val="auto"/>
              </w:rPr>
            </w:pPr>
            <w:r>
              <w:rPr>
                <w:rFonts w:ascii="Arial" w:cs="Arial" w:eastAsia="Arial" w:hAnsi="Arial"/>
                <w:sz w:val="18"/>
                <w:szCs w:val="18"/>
                <w:color w:val="auto"/>
                <w:w w:val="88"/>
              </w:rPr>
              <w:t>Six months ended</w:t>
            </w:r>
          </w:p>
        </w:tc>
      </w:tr>
      <w:tr>
        <w:trPr>
          <w:trHeight w:val="216"/>
        </w:trPr>
        <w:tc>
          <w:tcPr>
            <w:tcW w:w="5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3"/>
          </w:tcPr>
          <w:p>
            <w:pPr>
              <w:jc w:val="center"/>
              <w:ind w:left="510"/>
              <w:spacing w:after="0"/>
              <w:rPr>
                <w:sz w:val="20"/>
                <w:szCs w:val="20"/>
                <w:color w:val="auto"/>
              </w:rPr>
            </w:pPr>
            <w:r>
              <w:rPr>
                <w:rFonts w:ascii="Arial" w:cs="Arial" w:eastAsia="Arial" w:hAnsi="Arial"/>
                <w:sz w:val="18"/>
                <w:szCs w:val="18"/>
                <w:color w:val="auto"/>
                <w:w w:val="86"/>
              </w:rPr>
              <w:t>June 30,</w:t>
            </w: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3"/>
          </w:tcPr>
          <w:p>
            <w:pPr>
              <w:jc w:val="center"/>
              <w:ind w:left="530"/>
              <w:spacing w:after="0"/>
              <w:rPr>
                <w:sz w:val="20"/>
                <w:szCs w:val="20"/>
                <w:color w:val="auto"/>
              </w:rPr>
            </w:pPr>
            <w:r>
              <w:rPr>
                <w:rFonts w:ascii="Arial" w:cs="Arial" w:eastAsia="Arial" w:hAnsi="Arial"/>
                <w:sz w:val="18"/>
                <w:szCs w:val="18"/>
                <w:color w:val="auto"/>
                <w:w w:val="86"/>
              </w:rPr>
              <w:t>June 30,</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7"/>
        </w:trPr>
        <w:tc>
          <w:tcPr>
            <w:tcW w:w="58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2021</w:t>
            </w:r>
          </w:p>
        </w:tc>
        <w:tc>
          <w:tcPr>
            <w:tcW w:w="2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2020</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c>
          <w:tcPr>
            <w:tcW w:w="2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160" w:type="dxa"/>
            <w:vAlign w:val="bottom"/>
          </w:tcPr>
          <w:p>
            <w:pPr>
              <w:spacing w:after="0"/>
              <w:rPr>
                <w:sz w:val="20"/>
                <w:szCs w:val="20"/>
                <w:color w:val="auto"/>
              </w:rPr>
            </w:pPr>
          </w:p>
        </w:tc>
      </w:tr>
      <w:tr>
        <w:trPr>
          <w:trHeight w:val="216"/>
        </w:trPr>
        <w:tc>
          <w:tcPr>
            <w:tcW w:w="5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(Dollars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71"/>
              </w:rPr>
              <w:t>in</w:t>
            </w:r>
          </w:p>
        </w:tc>
        <w:tc>
          <w:tcPr>
            <w:tcW w:w="1100" w:type="dxa"/>
            <w:vAlign w:val="bottom"/>
            <w:gridSpan w:val="2"/>
          </w:tcPr>
          <w:p>
            <w:pPr>
              <w:spacing w:after="0"/>
              <w:rPr>
                <w:sz w:val="20"/>
                <w:szCs w:val="20"/>
                <w:color w:val="auto"/>
              </w:rPr>
            </w:pPr>
            <w:r>
              <w:rPr>
                <w:rFonts w:ascii="Arial" w:cs="Arial" w:eastAsia="Arial" w:hAnsi="Arial"/>
                <w:sz w:val="18"/>
                <w:szCs w:val="18"/>
                <w:color w:val="auto"/>
              </w:rPr>
              <w:t>thousands)</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Mortgage loans originated</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473,742</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470,626</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982,745</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781,704</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Mortgage loans sold</w:t>
            </w:r>
          </w:p>
        </w:tc>
        <w:tc>
          <w:tcPr>
            <w:tcW w:w="24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306,789</w:t>
            </w:r>
          </w:p>
        </w:tc>
        <w:tc>
          <w:tcPr>
            <w:tcW w:w="260" w:type="dxa"/>
            <w:vAlign w:val="bottom"/>
          </w:tcPr>
          <w:p>
            <w:pPr>
              <w:spacing w:after="0"/>
              <w:rPr>
                <w:sz w:val="18"/>
                <w:szCs w:val="18"/>
                <w:color w:val="auto"/>
              </w:rPr>
            </w:pPr>
          </w:p>
        </w:tc>
        <w:tc>
          <w:tcPr>
            <w:tcW w:w="1120" w:type="dxa"/>
            <w:vAlign w:val="bottom"/>
            <w:gridSpan w:val="2"/>
          </w:tcPr>
          <w:p>
            <w:pPr>
              <w:jc w:val="right"/>
              <w:ind w:right="190"/>
              <w:spacing w:after="0"/>
              <w:rPr>
                <w:sz w:val="20"/>
                <w:szCs w:val="20"/>
                <w:color w:val="auto"/>
              </w:rPr>
            </w:pPr>
            <w:r>
              <w:rPr>
                <w:rFonts w:ascii="Arial" w:cs="Arial" w:eastAsia="Arial" w:hAnsi="Arial"/>
                <w:sz w:val="18"/>
                <w:szCs w:val="18"/>
                <w:color w:val="auto"/>
              </w:rPr>
              <w:t>379,048</w:t>
            </w: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684,207</w:t>
            </w:r>
          </w:p>
        </w:tc>
        <w:tc>
          <w:tcPr>
            <w:tcW w:w="2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641,308</w:t>
            </w: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Net gains on mortgage loans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9,091</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17,642</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21,919</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26,482</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Net gains as a percent of mortgage loans sold ("Loan Sales Margin")</w:t>
            </w:r>
          </w:p>
        </w:tc>
        <w:tc>
          <w:tcPr>
            <w:tcW w:w="2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2.96%</w:t>
            </w:r>
          </w:p>
        </w:tc>
        <w:tc>
          <w:tcPr>
            <w:tcW w:w="260" w:type="dxa"/>
            <w:vAlign w:val="bottom"/>
          </w:tcPr>
          <w:p>
            <w:pPr>
              <w:spacing w:after="0"/>
              <w:rPr>
                <w:sz w:val="18"/>
                <w:szCs w:val="18"/>
                <w:color w:val="auto"/>
              </w:rPr>
            </w:pPr>
          </w:p>
        </w:tc>
        <w:tc>
          <w:tcPr>
            <w:tcW w:w="1120" w:type="dxa"/>
            <w:vAlign w:val="bottom"/>
            <w:gridSpan w:val="2"/>
          </w:tcPr>
          <w:p>
            <w:pPr>
              <w:jc w:val="right"/>
              <w:ind w:right="30"/>
              <w:spacing w:after="0"/>
              <w:rPr>
                <w:sz w:val="20"/>
                <w:szCs w:val="20"/>
                <w:color w:val="auto"/>
              </w:rPr>
            </w:pPr>
            <w:r>
              <w:rPr>
                <w:rFonts w:ascii="Arial" w:cs="Arial" w:eastAsia="Arial" w:hAnsi="Arial"/>
                <w:sz w:val="18"/>
                <w:szCs w:val="18"/>
                <w:color w:val="auto"/>
              </w:rPr>
              <w:t>4.65%</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3.20%</w:t>
            </w:r>
          </w:p>
        </w:tc>
        <w:tc>
          <w:tcPr>
            <w:tcW w:w="2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4.13%</w:t>
            </w: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Fair value adjustments included in the Loan Sales Margin</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(0.08)</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1.14</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(0.57)</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0.99</w:t>
            </w:r>
          </w:p>
        </w:tc>
      </w:tr>
    </w:tbl>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Mortgage loans originated increased in 2021 as compared to 2020 due primarily to an increase in purchase money mortgages reflecting strong home sales in many of our markets. Mortgage loan refinance volumes declined by 30.6% in the second quarter of 2021 as compared to 2020 as higher mortgage loan interest rates in 2021 reduced this activity. Mortgage loans sold decreased in the second quarter of 2021 as compared to 2020 due to a lower mix of salable loans in our origination volumes. Net gains on mortgage loans also decreased in 2021 as compared to 2020 due principally to fair value adjustments as discussed below.</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volume of loans sold is dependent upon our ability to originate mortgage loans as well as the demand for fixed-rate obligations and other loans that we choose to not put into portfolio because of our established interest-rate risk parameters. (See “Portfolio Loans and asset quality.”) Net gains on mortgage loans are also dependent upon economic and competitive factors as well as our ability to effectively manage exposure to changes in interest rates and thus can often be a volatile part of our overall revenues.</w:t>
      </w:r>
    </w:p>
    <w:p>
      <w:pPr>
        <w:spacing w:after="0" w:line="21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Loan Sales Margin is impacted by several factors including competition and the manner in which the loan is sold. Net gains on mortgage loans are also impacted by recording fair value accounting adjustments. Excluding these fair value accounting adjustments, the Loan Sales Margin would have been 3.04% and 3.51% in the second quarters of 2021 and 2020, respectively and 3.77% and 3.14% for the comparative 2021 and 2020 year-to-date periods, respectively. The decline in the Loan Sales Margin (excluding fair value adjustments) in the second quarter of 2021 was generally due to lower primary-to-secondary market pricing spreads as market interest rates rose in 2021 (relative to 2020) and mortgage loan refinance volumes decreased. The changes in the fair value accounting adjustments are primarily due to changes in the amount of commitments to originate mortgage loans for sale.</w:t>
      </w:r>
    </w:p>
    <w:p>
      <w:pPr>
        <w:spacing w:after="0" w:line="19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recorded no net gains on securities available for sale in the comparative quarterly periods. We recorded a net gain of $1.42 million and $0.25 million on securities available for sale for the first six months of 2021 and 2020, respectively. We recorded no net impairment losses in either 2021 or 2020 on securities available for sale. See “Securities” below and note #3 to the Condensed Consolidated Financial Statements.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Mortgage loan servicing, net, generated a loss of $2.0 million and $3.0 million in the second quarters of 2021 and 2020, respectively. For the first six months of 2021 and 2020, mortgage loan servicing, net, generated income of $3.2 million and a loss of $8.3 million, respectively. The significant variances in mortgage loan servicing, net are primarily due to changes in the fair value of capitalized mortgage loan servicing rights associated with changes in mortgage loan interest rates and expected future prepayment levels. Mortgage loan servicing, net activity is summarized in the following table: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r>
              <w:rPr>
                <w:rFonts w:ascii="Arial" w:cs="Arial" w:eastAsia="Arial" w:hAnsi="Arial"/>
                <w:sz w:val="18"/>
                <w:szCs w:val="18"/>
                <w:b w:val="1"/>
                <w:bCs w:val="1"/>
                <w:color w:val="auto"/>
              </w:rPr>
              <w:t>Mortgage Servicing Revenue</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5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80" w:type="dxa"/>
            <w:vAlign w:val="bottom"/>
            <w:gridSpan w:val="5"/>
          </w:tcPr>
          <w:p>
            <w:pPr>
              <w:jc w:val="center"/>
              <w:ind w:right="460"/>
              <w:spacing w:after="0"/>
              <w:rPr>
                <w:sz w:val="20"/>
                <w:szCs w:val="20"/>
                <w:color w:val="auto"/>
              </w:rPr>
            </w:pPr>
            <w:r>
              <w:rPr>
                <w:rFonts w:ascii="Arial" w:cs="Arial" w:eastAsia="Arial" w:hAnsi="Arial"/>
                <w:sz w:val="18"/>
                <w:szCs w:val="18"/>
                <w:color w:val="auto"/>
                <w:w w:val="87"/>
              </w:rPr>
              <w:t>Three months ended</w:t>
            </w:r>
          </w:p>
        </w:tc>
        <w:tc>
          <w:tcPr>
            <w:tcW w:w="380" w:type="dxa"/>
            <w:vAlign w:val="bottom"/>
          </w:tcPr>
          <w:p>
            <w:pPr>
              <w:spacing w:after="0"/>
              <w:rPr>
                <w:sz w:val="24"/>
                <w:szCs w:val="24"/>
                <w:color w:val="auto"/>
              </w:rPr>
            </w:pPr>
          </w:p>
        </w:tc>
        <w:tc>
          <w:tcPr>
            <w:tcW w:w="2160" w:type="dxa"/>
            <w:vAlign w:val="bottom"/>
            <w:gridSpan w:val="5"/>
          </w:tcPr>
          <w:p>
            <w:pPr>
              <w:jc w:val="center"/>
              <w:ind w:right="480"/>
              <w:spacing w:after="0"/>
              <w:rPr>
                <w:sz w:val="20"/>
                <w:szCs w:val="20"/>
                <w:color w:val="auto"/>
              </w:rPr>
            </w:pPr>
            <w:r>
              <w:rPr>
                <w:rFonts w:ascii="Arial" w:cs="Arial" w:eastAsia="Arial" w:hAnsi="Arial"/>
                <w:sz w:val="18"/>
                <w:szCs w:val="18"/>
                <w:color w:val="auto"/>
                <w:w w:val="88"/>
              </w:rPr>
              <w:t>Six months ended</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3"/>
          </w:tcPr>
          <w:p>
            <w:pPr>
              <w:jc w:val="center"/>
              <w:ind w:left="530"/>
              <w:spacing w:after="0"/>
              <w:rPr>
                <w:sz w:val="20"/>
                <w:szCs w:val="20"/>
                <w:color w:val="auto"/>
              </w:rPr>
            </w:pPr>
            <w:r>
              <w:rPr>
                <w:rFonts w:ascii="Arial" w:cs="Arial" w:eastAsia="Arial" w:hAnsi="Arial"/>
                <w:sz w:val="18"/>
                <w:szCs w:val="18"/>
                <w:color w:val="auto"/>
                <w:w w:val="86"/>
              </w:rPr>
              <w:t>June 30,</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gridSpan w:val="3"/>
          </w:tcPr>
          <w:p>
            <w:pPr>
              <w:jc w:val="center"/>
              <w:ind w:left="370"/>
              <w:spacing w:after="0"/>
              <w:rPr>
                <w:sz w:val="20"/>
                <w:szCs w:val="20"/>
                <w:color w:val="auto"/>
              </w:rPr>
            </w:pPr>
            <w:r>
              <w:rPr>
                <w:rFonts w:ascii="Arial" w:cs="Arial" w:eastAsia="Arial" w:hAnsi="Arial"/>
                <w:sz w:val="18"/>
                <w:szCs w:val="18"/>
                <w:color w:val="auto"/>
                <w:w w:val="86"/>
              </w:rPr>
              <w:t>June 30,</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c>
          <w:tcPr>
            <w:tcW w:w="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84"/>
              </w:rPr>
              <w:t>2021</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Mortgage loan servicing</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(In thousands)</w:t>
            </w: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Revenue, net</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1,876</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1,646</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3,786</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3,319</w:t>
            </w:r>
          </w:p>
        </w:tc>
        <w:tc>
          <w:tcPr>
            <w:tcW w:w="0" w:type="dxa"/>
            <w:vAlign w:val="bottom"/>
          </w:tcPr>
          <w:p>
            <w:pPr>
              <w:spacing w:after="0"/>
              <w:rPr>
                <w:sz w:val="1"/>
                <w:szCs w:val="1"/>
                <w:color w:val="auto"/>
              </w:rPr>
            </w:pPr>
          </w:p>
        </w:tc>
      </w:tr>
      <w:tr>
        <w:trPr>
          <w:trHeight w:val="216"/>
        </w:trPr>
        <w:tc>
          <w:tcPr>
            <w:tcW w:w="5980" w:type="dxa"/>
            <w:vAlign w:val="bottom"/>
          </w:tcPr>
          <w:p>
            <w:pPr>
              <w:ind w:left="140"/>
              <w:spacing w:after="0"/>
              <w:rPr>
                <w:sz w:val="20"/>
                <w:szCs w:val="20"/>
                <w:color w:val="auto"/>
              </w:rPr>
            </w:pPr>
            <w:r>
              <w:rPr>
                <w:rFonts w:ascii="Arial" w:cs="Arial" w:eastAsia="Arial" w:hAnsi="Arial"/>
                <w:sz w:val="18"/>
                <w:szCs w:val="18"/>
                <w:color w:val="auto"/>
              </w:rPr>
              <w:t>Fair value change due to price</w:t>
            </w:r>
          </w:p>
        </w:tc>
        <w:tc>
          <w:tcPr>
            <w:tcW w:w="2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(2,426)</w:t>
            </w:r>
          </w:p>
        </w:tc>
        <w:tc>
          <w:tcPr>
            <w:tcW w:w="2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(2,921)</w:t>
            </w:r>
          </w:p>
        </w:tc>
        <w:tc>
          <w:tcPr>
            <w:tcW w:w="3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2,214</w:t>
            </w:r>
          </w:p>
        </w:tc>
        <w:tc>
          <w:tcPr>
            <w:tcW w:w="2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(8,852)</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Fair value change due to pay-downs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(1,412)</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(1,747)</w:t>
            </w: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(2,795)</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(2,789)</w:t>
            </w:r>
          </w:p>
        </w:tc>
        <w:tc>
          <w:tcPr>
            <w:tcW w:w="0" w:type="dxa"/>
            <w:vAlign w:val="bottom"/>
          </w:tcPr>
          <w:p>
            <w:pPr>
              <w:spacing w:after="0"/>
              <w:rPr>
                <w:sz w:val="1"/>
                <w:szCs w:val="1"/>
                <w:color w:val="auto"/>
              </w:rPr>
            </w:pPr>
          </w:p>
        </w:tc>
      </w:tr>
      <w:tr>
        <w:trPr>
          <w:trHeight w:val="27"/>
        </w:trPr>
        <w:tc>
          <w:tcPr>
            <w:tcW w:w="59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Total</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(1,962)</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(3,022)</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3,205</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(8,322)</w:t>
            </w: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Arial" w:cs="Arial" w:eastAsia="Arial" w:hAnsi="Arial"/>
                <w:sz w:val="18"/>
                <w:szCs w:val="18"/>
                <w:color w:val="auto"/>
              </w:rPr>
              <w:t>Activity related to capitalized mortgage loan servicing rights is as follows: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59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980" w:type="dxa"/>
            <w:vAlign w:val="bottom"/>
          </w:tcPr>
          <w:p>
            <w:pPr>
              <w:spacing w:after="0"/>
              <w:rPr>
                <w:sz w:val="20"/>
                <w:szCs w:val="20"/>
                <w:color w:val="auto"/>
              </w:rPr>
            </w:pPr>
            <w:r>
              <w:rPr>
                <w:rFonts w:ascii="Arial" w:cs="Arial" w:eastAsia="Arial" w:hAnsi="Arial"/>
                <w:sz w:val="18"/>
                <w:szCs w:val="18"/>
                <w:b w:val="1"/>
                <w:bCs w:val="1"/>
                <w:color w:val="auto"/>
              </w:rPr>
              <w:t>Capitalized Mortgage Loan Servicing Rights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5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80" w:type="dxa"/>
            <w:vAlign w:val="bottom"/>
            <w:gridSpan w:val="5"/>
          </w:tcPr>
          <w:p>
            <w:pPr>
              <w:jc w:val="center"/>
              <w:ind w:right="460"/>
              <w:spacing w:after="0"/>
              <w:rPr>
                <w:sz w:val="20"/>
                <w:szCs w:val="20"/>
                <w:color w:val="auto"/>
              </w:rPr>
            </w:pPr>
            <w:r>
              <w:rPr>
                <w:rFonts w:ascii="Arial" w:cs="Arial" w:eastAsia="Arial" w:hAnsi="Arial"/>
                <w:sz w:val="18"/>
                <w:szCs w:val="18"/>
                <w:color w:val="auto"/>
                <w:w w:val="87"/>
              </w:rPr>
              <w:t>Three months ended</w:t>
            </w:r>
          </w:p>
        </w:tc>
        <w:tc>
          <w:tcPr>
            <w:tcW w:w="380" w:type="dxa"/>
            <w:vAlign w:val="bottom"/>
          </w:tcPr>
          <w:p>
            <w:pPr>
              <w:spacing w:after="0"/>
              <w:rPr>
                <w:sz w:val="24"/>
                <w:szCs w:val="24"/>
                <w:color w:val="auto"/>
              </w:rPr>
            </w:pPr>
          </w:p>
        </w:tc>
        <w:tc>
          <w:tcPr>
            <w:tcW w:w="2160" w:type="dxa"/>
            <w:vAlign w:val="bottom"/>
            <w:gridSpan w:val="5"/>
          </w:tcPr>
          <w:p>
            <w:pPr>
              <w:jc w:val="center"/>
              <w:ind w:right="480"/>
              <w:spacing w:after="0"/>
              <w:rPr>
                <w:sz w:val="20"/>
                <w:szCs w:val="20"/>
                <w:color w:val="auto"/>
              </w:rPr>
            </w:pPr>
            <w:r>
              <w:rPr>
                <w:rFonts w:ascii="Arial" w:cs="Arial" w:eastAsia="Arial" w:hAnsi="Arial"/>
                <w:sz w:val="18"/>
                <w:szCs w:val="18"/>
                <w:color w:val="auto"/>
                <w:w w:val="88"/>
              </w:rPr>
              <w:t>Six months ended</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3"/>
          </w:tcPr>
          <w:p>
            <w:pPr>
              <w:jc w:val="center"/>
              <w:ind w:left="530"/>
              <w:spacing w:after="0"/>
              <w:rPr>
                <w:sz w:val="20"/>
                <w:szCs w:val="20"/>
                <w:color w:val="auto"/>
              </w:rPr>
            </w:pPr>
            <w:r>
              <w:rPr>
                <w:rFonts w:ascii="Arial" w:cs="Arial" w:eastAsia="Arial" w:hAnsi="Arial"/>
                <w:sz w:val="18"/>
                <w:szCs w:val="18"/>
                <w:color w:val="auto"/>
                <w:w w:val="86"/>
              </w:rPr>
              <w:t>June 30,</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gridSpan w:val="3"/>
          </w:tcPr>
          <w:p>
            <w:pPr>
              <w:jc w:val="center"/>
              <w:ind w:left="370"/>
              <w:spacing w:after="0"/>
              <w:rPr>
                <w:sz w:val="20"/>
                <w:szCs w:val="20"/>
                <w:color w:val="auto"/>
              </w:rPr>
            </w:pPr>
            <w:r>
              <w:rPr>
                <w:rFonts w:ascii="Arial" w:cs="Arial" w:eastAsia="Arial" w:hAnsi="Arial"/>
                <w:sz w:val="18"/>
                <w:szCs w:val="18"/>
                <w:color w:val="auto"/>
                <w:w w:val="86"/>
              </w:rPr>
              <w:t>June 30,</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c>
          <w:tcPr>
            <w:tcW w:w="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84"/>
              </w:rPr>
              <w:t>2021</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(In thousands)</w:t>
            </w: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23,530</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14,829</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16,904</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19,171</w:t>
            </w:r>
          </w:p>
        </w:tc>
        <w:tc>
          <w:tcPr>
            <w:tcW w:w="0" w:type="dxa"/>
            <w:vAlign w:val="bottom"/>
          </w:tcPr>
          <w:p>
            <w:pPr>
              <w:spacing w:after="0"/>
              <w:rPr>
                <w:sz w:val="1"/>
                <w:szCs w:val="1"/>
                <w:color w:val="auto"/>
              </w:rPr>
            </w:pPr>
          </w:p>
        </w:tc>
      </w:tr>
      <w:tr>
        <w:trPr>
          <w:trHeight w:val="216"/>
        </w:trPr>
        <w:tc>
          <w:tcPr>
            <w:tcW w:w="5980" w:type="dxa"/>
            <w:vAlign w:val="bottom"/>
          </w:tcPr>
          <w:p>
            <w:pPr>
              <w:ind w:left="140"/>
              <w:spacing w:after="0"/>
              <w:rPr>
                <w:sz w:val="20"/>
                <w:szCs w:val="20"/>
                <w:color w:val="auto"/>
              </w:rPr>
            </w:pPr>
            <w:r>
              <w:rPr>
                <w:rFonts w:ascii="Arial" w:cs="Arial" w:eastAsia="Arial" w:hAnsi="Arial"/>
                <w:sz w:val="18"/>
                <w:szCs w:val="18"/>
                <w:color w:val="auto"/>
              </w:rPr>
              <w:t>Originated servicing rights capitalized</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2,739</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3,611</w:t>
            </w:r>
          </w:p>
        </w:tc>
        <w:tc>
          <w:tcPr>
            <w:tcW w:w="3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6,108</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6,243</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 in fair value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(3,838)</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(4,667)</w:t>
            </w: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(581)</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(11,641)</w:t>
            </w:r>
          </w:p>
        </w:tc>
        <w:tc>
          <w:tcPr>
            <w:tcW w:w="0" w:type="dxa"/>
            <w:vAlign w:val="bottom"/>
          </w:tcPr>
          <w:p>
            <w:pPr>
              <w:spacing w:after="0"/>
              <w:rPr>
                <w:sz w:val="1"/>
                <w:szCs w:val="1"/>
                <w:color w:val="auto"/>
              </w:rPr>
            </w:pPr>
          </w:p>
        </w:tc>
      </w:tr>
      <w:tr>
        <w:trPr>
          <w:trHeight w:val="27"/>
        </w:trPr>
        <w:tc>
          <w:tcPr>
            <w:tcW w:w="59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Balance at end of period</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22,431</w:t>
            </w:r>
          </w:p>
        </w:tc>
        <w:tc>
          <w:tcPr>
            <w:tcW w:w="260" w:type="dxa"/>
            <w:vAlign w:val="bottom"/>
          </w:tcPr>
          <w:p>
            <w:pPr>
              <w:spacing w:after="0"/>
              <w:rPr>
                <w:sz w:val="18"/>
                <w:szCs w:val="18"/>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13,773</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22,431</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13,773</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June 30, 2021 we were servicing approximately $3.14 billion in mortgage loans for others on which servicing rights have been capitalized. This servicing portfolio had a weighted average coupon rate of 3.57% and a weighted average service fee of approximately 25.6 basis points. Capitalized mortgage loan servicing rights at June 30, 2021 totaled $22.4 million, representing approximately 71.4 basis points on the related amount of mortgage loans serviced for others.</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Investment and insurance commissions represent revenues generated on the sale or management of investments and insurance for our customers. These revenues increased on both a quarterly and year-to-date basis in 2021 as compared to 2020, primarily due to growth in assets under management and in annuity sales (reflecting customers seeking alternatives to traditional fixed income products such as time deposits given the prolonged low interest rate environment).</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Income from bank owned life insurance (“BOLI”) declined on both a comparative quarterly and year-to-date basis in 2021 compared to 2020 reflecting a lower crediting rate on our cash surrender value. Our BOLI separate account is primarily invested in agency mortgage-backed securities. The crediting rate (on which the earnings are based) reflects the performance of the separate account. The total cash surrender value of our BOLI was $55.4 million and $55.2 million at June 30, 2021 and December 31, 2020, respectively.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Other non-interest income increased on both a comparative quarterly and year-to-date basis in 2021 as compared to 2020 due primarily to increases in credit card and merchant processing revenue and commercial loan swap fee income. These revenues and fees were adversely impacted in the first half of 2020 by COVID-19 pandemic related business shut-downs and stay at home mandates.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Non-interest expense. </w:t>
      </w:r>
      <w:r>
        <w:rPr>
          <w:rFonts w:ascii="Arial" w:cs="Arial" w:eastAsia="Arial" w:hAnsi="Arial"/>
          <w:sz w:val="16"/>
          <w:szCs w:val="16"/>
          <w:color w:val="auto"/>
        </w:rPr>
        <w:t>Non-interest expense is an important component of our results of operations. We strive to efficiently manage our cost structure.</w:t>
      </w:r>
    </w:p>
    <w:p>
      <w:pPr>
        <w:spacing w:after="0" w:line="2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Non-interest expense increased by $5.2 million to $32.5 million and increased by $6.5 million to $62.6 million during the three- and six-month periods ended June 30, 2021, respectively, compared to the same periods in 2020.</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161"/>
        </w:trPr>
        <w:tc>
          <w:tcPr>
            <w:tcW w:w="5980" w:type="dxa"/>
            <w:vAlign w:val="bottom"/>
            <w:gridSpan w:val="2"/>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85"/>
        </w:trPr>
        <w:tc>
          <w:tcPr>
            <w:tcW w:w="5980" w:type="dxa"/>
            <w:vAlign w:val="bottom"/>
            <w:gridSpan w:val="2"/>
          </w:tcPr>
          <w:p>
            <w:pPr>
              <w:spacing w:after="0"/>
              <w:rPr>
                <w:sz w:val="20"/>
                <w:szCs w:val="20"/>
                <w:color w:val="auto"/>
              </w:rPr>
            </w:pPr>
            <w:r>
              <w:rPr>
                <w:rFonts w:ascii="Arial" w:cs="Arial" w:eastAsia="Arial" w:hAnsi="Arial"/>
                <w:sz w:val="18"/>
                <w:szCs w:val="18"/>
                <w:color w:val="auto"/>
              </w:rPr>
              <w:t>The components of non-interest expense are as follows: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9"/>
        </w:trPr>
        <w:tc>
          <w:tcPr>
            <w:tcW w:w="5980" w:type="dxa"/>
            <w:vAlign w:val="bottom"/>
            <w:gridSpan w:val="2"/>
          </w:tcPr>
          <w:p>
            <w:pPr>
              <w:spacing w:after="0"/>
              <w:rPr>
                <w:sz w:val="20"/>
                <w:szCs w:val="20"/>
                <w:color w:val="auto"/>
              </w:rPr>
            </w:pPr>
            <w:r>
              <w:rPr>
                <w:rFonts w:ascii="Arial" w:cs="Arial" w:eastAsia="Arial" w:hAnsi="Arial"/>
                <w:sz w:val="18"/>
                <w:szCs w:val="18"/>
                <w:b w:val="1"/>
                <w:bCs w:val="1"/>
                <w:color w:val="auto"/>
              </w:rPr>
              <w:t>Non-Interest Expense</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5"/>
        </w:trPr>
        <w:tc>
          <w:tcPr>
            <w:tcW w:w="32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80" w:type="dxa"/>
            <w:vAlign w:val="bottom"/>
            <w:gridSpan w:val="5"/>
          </w:tcPr>
          <w:p>
            <w:pPr>
              <w:jc w:val="right"/>
              <w:ind w:right="740"/>
              <w:spacing w:after="0"/>
              <w:rPr>
                <w:sz w:val="20"/>
                <w:szCs w:val="20"/>
                <w:color w:val="auto"/>
              </w:rPr>
            </w:pPr>
            <w:r>
              <w:rPr>
                <w:rFonts w:ascii="Arial" w:cs="Arial" w:eastAsia="Arial" w:hAnsi="Arial"/>
                <w:sz w:val="18"/>
                <w:szCs w:val="18"/>
                <w:color w:val="auto"/>
              </w:rPr>
              <w:t>Three months ended</w:t>
            </w:r>
          </w:p>
        </w:tc>
        <w:tc>
          <w:tcPr>
            <w:tcW w:w="380" w:type="dxa"/>
            <w:vAlign w:val="bottom"/>
          </w:tcPr>
          <w:p>
            <w:pPr>
              <w:spacing w:after="0"/>
              <w:rPr>
                <w:sz w:val="24"/>
                <w:szCs w:val="24"/>
                <w:color w:val="auto"/>
              </w:rPr>
            </w:pPr>
          </w:p>
        </w:tc>
        <w:tc>
          <w:tcPr>
            <w:tcW w:w="2160" w:type="dxa"/>
            <w:vAlign w:val="bottom"/>
            <w:gridSpan w:val="5"/>
          </w:tcPr>
          <w:p>
            <w:pPr>
              <w:ind w:left="200"/>
              <w:spacing w:after="0"/>
              <w:rPr>
                <w:sz w:val="20"/>
                <w:szCs w:val="20"/>
                <w:color w:val="auto"/>
              </w:rPr>
            </w:pPr>
            <w:r>
              <w:rPr>
                <w:rFonts w:ascii="Arial" w:cs="Arial" w:eastAsia="Arial" w:hAnsi="Arial"/>
                <w:sz w:val="18"/>
                <w:szCs w:val="18"/>
                <w:color w:val="auto"/>
              </w:rPr>
              <w:t>Six months ended</w:t>
            </w:r>
          </w:p>
        </w:tc>
      </w:tr>
      <w:tr>
        <w:trPr>
          <w:trHeight w:val="216"/>
        </w:trPr>
        <w:tc>
          <w:tcPr>
            <w:tcW w:w="32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3"/>
          </w:tcPr>
          <w:p>
            <w:pPr>
              <w:jc w:val="right"/>
              <w:ind w:right="27"/>
              <w:spacing w:after="0"/>
              <w:rPr>
                <w:sz w:val="20"/>
                <w:szCs w:val="20"/>
                <w:color w:val="auto"/>
              </w:rPr>
            </w:pPr>
            <w:r>
              <w:rPr>
                <w:rFonts w:ascii="Arial" w:cs="Arial" w:eastAsia="Arial" w:hAnsi="Arial"/>
                <w:sz w:val="18"/>
                <w:szCs w:val="18"/>
                <w:color w:val="auto"/>
              </w:rPr>
              <w:t>June 30,</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June 30,</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320" w:type="dxa"/>
            <w:vAlign w:val="bottom"/>
          </w:tcPr>
          <w:p>
            <w:pPr>
              <w:spacing w:after="0"/>
              <w:rPr>
                <w:sz w:val="20"/>
                <w:szCs w:val="20"/>
                <w:color w:val="auto"/>
              </w:rPr>
            </w:pPr>
          </w:p>
        </w:tc>
        <w:tc>
          <w:tcPr>
            <w:tcW w:w="56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c>
          <w:tcPr>
            <w:tcW w:w="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84"/>
              </w:rPr>
              <w:t>2021</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r>
      <w:tr>
        <w:trPr>
          <w:trHeight w:val="216"/>
        </w:trPr>
        <w:tc>
          <w:tcPr>
            <w:tcW w:w="32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(In thousands)</w:t>
            </w: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Compensation</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11,136</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9,668</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21,257</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20,371</w:t>
            </w: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Performance-based compensation</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4,783</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3,809</w:t>
            </w:r>
          </w:p>
        </w:tc>
        <w:tc>
          <w:tcPr>
            <w:tcW w:w="3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9,075</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5,930</w:t>
            </w: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Payroll taxes and employee benefits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3,964</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2,802</w:t>
            </w: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8,073</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6,487</w:t>
            </w:r>
          </w:p>
        </w:tc>
      </w:tr>
      <w:tr>
        <w:trPr>
          <w:trHeight w:val="27"/>
        </w:trPr>
        <w:tc>
          <w:tcPr>
            <w:tcW w:w="320" w:type="dxa"/>
            <w:vAlign w:val="bottom"/>
            <w:shd w:val="clear" w:color="auto" w:fill="CCEEFF"/>
          </w:tcPr>
          <w:p>
            <w:pPr>
              <w:spacing w:after="0"/>
              <w:rPr>
                <w:sz w:val="2"/>
                <w:szCs w:val="2"/>
                <w:color w:val="auto"/>
              </w:rPr>
            </w:pPr>
          </w:p>
        </w:tc>
        <w:tc>
          <w:tcPr>
            <w:tcW w:w="56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80" w:type="dxa"/>
            <w:vAlign w:val="bottom"/>
            <w:gridSpan w:val="2"/>
          </w:tcPr>
          <w:p>
            <w:pPr>
              <w:ind w:left="140"/>
              <w:spacing w:after="0"/>
              <w:rPr>
                <w:sz w:val="20"/>
                <w:szCs w:val="20"/>
                <w:color w:val="auto"/>
              </w:rPr>
            </w:pPr>
            <w:r>
              <w:rPr>
                <w:rFonts w:ascii="Arial" w:cs="Arial" w:eastAsia="Arial" w:hAnsi="Arial"/>
                <w:sz w:val="18"/>
                <w:szCs w:val="18"/>
                <w:color w:val="auto"/>
              </w:rPr>
              <w:t>Compensation and employee benefits</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19,883</w:t>
            </w: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16,279</w:t>
            </w:r>
          </w:p>
        </w:tc>
        <w:tc>
          <w:tcPr>
            <w:tcW w:w="3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38,405</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32,788</w:t>
            </w: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Data processing</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2,576</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1,590</w:t>
            </w: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4,950</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3,945</w:t>
            </w: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Occupancy, net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2,153</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2,159</w:t>
            </w:r>
          </w:p>
        </w:tc>
        <w:tc>
          <w:tcPr>
            <w:tcW w:w="3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4,496</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4,619</w:t>
            </w: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Interchange expense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726</w:t>
            </w: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2,149</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1,585</w:t>
            </w: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Furniture, fixtures and equipment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1,034</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1,090</w:t>
            </w:r>
          </w:p>
        </w:tc>
        <w:tc>
          <w:tcPr>
            <w:tcW w:w="3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2,037</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2,126</w:t>
            </w: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Communications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777</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800</w:t>
            </w: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1,658</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1,603</w:t>
            </w: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Loan and collection</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859</w:t>
            </w: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756</w:t>
            </w:r>
          </w:p>
        </w:tc>
        <w:tc>
          <w:tcPr>
            <w:tcW w:w="3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1,618</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1,561</w:t>
            </w: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Conversion related expenses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346</w:t>
            </w: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1,361</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402</w:t>
            </w: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Legal and professional</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522</w:t>
            </w: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468</w:t>
            </w:r>
          </w:p>
        </w:tc>
        <w:tc>
          <w:tcPr>
            <w:tcW w:w="3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1,021</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861</w:t>
            </w: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Advertising</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164</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364</w:t>
            </w: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653</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1,047</w:t>
            </w: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FDIC deposit insurance</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307</w:t>
            </w: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430</w:t>
            </w:r>
          </w:p>
        </w:tc>
        <w:tc>
          <w:tcPr>
            <w:tcW w:w="3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637</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800</w:t>
            </w: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243</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255</w:t>
            </w: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485</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510</w:t>
            </w: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Supplies</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170</w:t>
            </w: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203</w:t>
            </w:r>
          </w:p>
        </w:tc>
        <w:tc>
          <w:tcPr>
            <w:tcW w:w="3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344</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387</w:t>
            </w: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Correspondent bank service fees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115</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w:t>
            </w: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215</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w:t>
            </w: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Provision for loss reimbursement on sold loans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77</w:t>
            </w:r>
          </w:p>
        </w:tc>
        <w:tc>
          <w:tcPr>
            <w:tcW w:w="3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59</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114</w:t>
            </w: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Branch closure costs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417</w:t>
            </w: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417</w:t>
            </w: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Costs (recoveries) related to unfunded lending commitments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111</w:t>
            </w:r>
          </w:p>
        </w:tc>
        <w:tc>
          <w:tcPr>
            <w:tcW w:w="3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230</w:t>
            </w: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(gains) losses on other real estate and repossessed assets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w:t>
            </w: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(174)</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r>
      <w:tr>
        <w:trPr>
          <w:trHeight w:val="223"/>
        </w:trPr>
        <w:tc>
          <w:tcPr>
            <w:tcW w:w="5980" w:type="dxa"/>
            <w:vAlign w:val="bottom"/>
            <w:gridSpan w:val="2"/>
          </w:tcPr>
          <w:p>
            <w:pPr>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1,332</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1,190</w:t>
            </w:r>
          </w:p>
        </w:tc>
        <w:tc>
          <w:tcPr>
            <w:tcW w:w="38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2,649</w:t>
            </w:r>
          </w:p>
        </w:tc>
        <w:tc>
          <w:tcPr>
            <w:tcW w:w="28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2,777</w:t>
            </w:r>
          </w:p>
        </w:tc>
      </w:tr>
      <w:tr>
        <w:trPr>
          <w:trHeight w:val="257"/>
        </w:trPr>
        <w:tc>
          <w:tcPr>
            <w:tcW w:w="59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 non-interest expense</w:t>
            </w: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32,536</w:t>
            </w:r>
          </w:p>
        </w:tc>
        <w:tc>
          <w:tcPr>
            <w:tcW w:w="2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27,346</w:t>
            </w:r>
          </w:p>
        </w:tc>
        <w:tc>
          <w:tcPr>
            <w:tcW w:w="2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62,557</w:t>
            </w:r>
          </w:p>
        </w:tc>
        <w:tc>
          <w:tcPr>
            <w:tcW w:w="2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56,065</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Compensation and employee benefits expenses, in total, increased $3.6 million on a quarterly comparative basis and increased $5.6 million for the first six months of 2021 compared to the same periods in 2020.</w:t>
      </w:r>
    </w:p>
    <w:p>
      <w:pPr>
        <w:spacing w:after="0" w:line="19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Compensation expense increased by $1.5 million and $0.9 million in the second quarter and first six months of 2021, respectively, compared to the same periods in 2020. These comparative increases in 2021 were primarily due to higher overtime levels (particularly in the second quarter of 2021 related to the May 2021 core data processing system conversion) and by salary increases that were predominantly effective on January 1, 2021.</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Performance-based compensation increased by $1.0 million and $3.1 million in the second quarter and first six months of 2021, respectively, compared to the same periods in 2020. The increases primarily reflect the changes in the accrual for anticipated incentive compensation based on our estimated full-year performance as compared to goals.</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Payroll taxes and employee benefits increased by $1.2 million and $1.6 million in the second quarter and first six months of 2021, respectively, compared to the same periods in 2020, due primarily to increases in payroll taxes (reflecting higher compensation costs), in our 401(k) plan match and in health care costs (due to increased claims in 2021). Health care claims in 2020 were relatively low in part due to the COVID-19 pandemic that resulted in the closing of many medical and dental facilities during that time period except for emergency care during Michigan’s “stay home, stay safe” period. In addition, our prescription drug rebate received in the second quarter and first six months of 2021 was $0.2 million lower than the prescription drug rebate received in the comparable year ago periods.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1" w:name="page82"/>
    <w:bookmarkEnd w:id="8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both"/>
        <w:ind w:right="100"/>
        <w:spacing w:after="0" w:line="277" w:lineRule="auto"/>
        <w:rPr>
          <w:sz w:val="20"/>
          <w:szCs w:val="20"/>
          <w:color w:val="auto"/>
        </w:rPr>
      </w:pPr>
      <w:r>
        <w:rPr>
          <w:rFonts w:ascii="Arial" w:cs="Arial" w:eastAsia="Arial" w:hAnsi="Arial"/>
          <w:sz w:val="18"/>
          <w:szCs w:val="18"/>
          <w:color w:val="auto"/>
        </w:rPr>
        <w:t>Occupancy, net, furniture, fixtures and equipment, communications, supplies, correspondent bank service fees and other non-interest expenses were all relatively unchanged on a comparative quarterly and year-to-date basis in 2021 as compared to 2020.</w:t>
      </w:r>
    </w:p>
    <w:p>
      <w:pPr>
        <w:spacing w:after="0" w:line="197" w:lineRule="exact"/>
        <w:rPr>
          <w:sz w:val="20"/>
          <w:szCs w:val="20"/>
          <w:color w:val="auto"/>
        </w:rPr>
      </w:pPr>
    </w:p>
    <w:p>
      <w:pPr>
        <w:jc w:val="both"/>
        <w:ind w:right="100"/>
        <w:spacing w:after="0" w:line="257" w:lineRule="auto"/>
        <w:rPr>
          <w:sz w:val="20"/>
          <w:szCs w:val="20"/>
          <w:color w:val="auto"/>
        </w:rPr>
      </w:pPr>
      <w:r>
        <w:rPr>
          <w:rFonts w:ascii="Arial" w:cs="Arial" w:eastAsia="Arial" w:hAnsi="Arial"/>
          <w:sz w:val="18"/>
          <w:szCs w:val="18"/>
          <w:color w:val="auto"/>
        </w:rPr>
        <w:t>Data processing expense increased by $1.0 million for both the second quarter and first six months of 2021, respectively, compared to the same periods in 2020. The second quarter and first six months of 2020 included a $0.9 million reduction of expenses (compared to reductions of $0.3 million and $0.7 million in the second quarter and first six months of 2021, respectively) associated with a cost savings agreement related to core data processing services that was executed in the second quarter of 2020. The remainder of the increased costs in 2021 principally relate to new software and technology product/service additions.</w:t>
      </w:r>
    </w:p>
    <w:p>
      <w:pPr>
        <w:spacing w:after="0" w:line="215" w:lineRule="exact"/>
        <w:rPr>
          <w:sz w:val="20"/>
          <w:szCs w:val="20"/>
          <w:color w:val="auto"/>
        </w:rPr>
      </w:pPr>
    </w:p>
    <w:p>
      <w:pPr>
        <w:jc w:val="both"/>
        <w:ind w:right="100"/>
        <w:spacing w:after="0" w:line="342" w:lineRule="auto"/>
        <w:rPr>
          <w:sz w:val="20"/>
          <w:szCs w:val="20"/>
          <w:color w:val="auto"/>
        </w:rPr>
      </w:pPr>
      <w:r>
        <w:rPr>
          <w:rFonts w:ascii="Arial" w:cs="Arial" w:eastAsia="Arial" w:hAnsi="Arial"/>
          <w:sz w:val="16"/>
          <w:szCs w:val="16"/>
          <w:color w:val="auto"/>
        </w:rPr>
        <w:t>Interchange expense primarily represents our third-party cost to process debit card transactions. The increases in this expense in 2021 on both a comparative quarterly and year-to-date basis as compared to 2020 are due principally to changes in transaction volume and transaction channel mix.</w:t>
      </w:r>
    </w:p>
    <w:p>
      <w:pPr>
        <w:spacing w:after="0" w:line="15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Loan and collection expense reflects costs related to new lending activity as well as the management and collection of non-performing loans and other problem credits. These costs increased in 2021 on both a comparative quarterly and year-to-date basis as compared to 2020 due primarily to higher loan origination activity.</w:t>
      </w:r>
    </w:p>
    <w:p>
      <w:pPr>
        <w:spacing w:after="0" w:line="211" w:lineRule="exact"/>
        <w:rPr>
          <w:sz w:val="20"/>
          <w:szCs w:val="20"/>
          <w:color w:val="auto"/>
        </w:rPr>
      </w:pPr>
    </w:p>
    <w:p>
      <w:pPr>
        <w:jc w:val="both"/>
        <w:ind w:right="120"/>
        <w:spacing w:after="0" w:line="279" w:lineRule="auto"/>
        <w:rPr>
          <w:sz w:val="20"/>
          <w:szCs w:val="20"/>
          <w:color w:val="auto"/>
        </w:rPr>
      </w:pPr>
      <w:r>
        <w:rPr>
          <w:rFonts w:ascii="Arial" w:cs="Arial" w:eastAsia="Arial" w:hAnsi="Arial"/>
          <w:sz w:val="17"/>
          <w:szCs w:val="17"/>
          <w:color w:val="auto"/>
        </w:rPr>
        <w:t>Conversion related expenses totaled $1.1 million and $1.4 million for the second quarter and first six months of 2021, respectively, compared to $0.3 million and $0.4 million for the second quarter and first six months of 2020, respectively. We began a process to convert our core data processing system to a new system hosted by a different vendor in early 2020 and completed this conversion in May 2021. These expenses represent costs incurred for assistance from our existing vendor and fees from consultants who are assisting us in this conversion.</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Legal and professional fees increased by approximately $0.1 million and $0.2 million in 2021 on both a comparative quarterly and year-to-date basis, respectively, as compared to 2020, due primarily to an increase in both internal (outsourced) and external audit fees and certain contract renewal consulting fees.</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Advertising expense decreased by approximately $0.2 million and $0.4 million in 2021 on a comparative quarterly and year-to-date basis, respectively, as compared to 2020, due primarily to an increased reimbursement from our debit card provider for certain eligible marketing costs that we incurred and reduced levels of advertising in certain channels.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FDIC deposit insurance expense decreased in 2021 on both a comparative quarterly and year-to-date basis as compared to 2020, as a decrease in our assessment rate was only partially offset by growth in our total assets.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amortization of intangible assets relates to the TCSB acquisition and prior branch acquisitions and the amortization of the deposit customer relationship value, including core deposit value, which was acquired in connection with those acquisitions. We had remaining unamortized intangible assets of $3.8 million and $4.3 million at June 30, 2021 and December 31, 2020, respectively. See note #7 to the Condensed Consolidated Financial Statements for a schedule of future amortization of intangible assets.</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provision for loss reimbursement on sold loans represents our estimate of incurred losses related to mortgage loans that we have sold to investors (primarily Fannie Mae, Freddie Mac, Ginnie Mae and the Federal Home Loan Bank of Indianapolis). The reserve for loss reimbursements on sold mortgage loans totaled $1.1 million and $1.0 million at June 30, 2021 and December 31, 2020, respectively. This reserve is included in accrued expenses and other liabilities in our Condensed Consolidated Statements of Financial Condition.</w:t>
      </w:r>
    </w:p>
    <w:p>
      <w:pPr>
        <w:spacing w:after="0" w:line="214"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Branch closure costs totaled $0.4 million for both the second quarter and first six months of 2020. We closed eight Bank branches (two on June 26, 2020 and six on July 31, 2020). These costs primarily represent write-downs of fixed assets (buildings, furniture and equipment) and lease assets.</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changes in cost related to unfunded lending commitments are primarily impacted by changes in the amounts of such commitments to originate portfolio loans as well as (for commercial loan commitments) the grade (pursuant to our loan rating system) of such commitments.</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(gains) losses on other real estate and repossessed assets primarily represent the gain or loss on the sale or additional write downs on these assets subsequent to the transfer of the asset from our loan portfolio. This transfer occurs at the time we acquire the collateral that secured the loan. At the time of acquisition, the other real estate or repossessed asset is valued at fair value, less estimated costs to sell, which becomes the new basis for the asset. Any write-downs at the time of acquisition are charged to the allowance for credit losses.</w:t>
      </w:r>
    </w:p>
    <w:p>
      <w:pPr>
        <w:spacing w:after="0" w:line="210"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auto"/>
        </w:rPr>
        <w:t xml:space="preserve">Income tax expense. </w:t>
      </w:r>
      <w:r>
        <w:rPr>
          <w:rFonts w:ascii="Arial" w:cs="Arial" w:eastAsia="Arial" w:hAnsi="Arial"/>
          <w:sz w:val="16"/>
          <w:szCs w:val="16"/>
          <w:color w:val="auto"/>
        </w:rPr>
        <w:t>We recorded an income tax expense of $2.7 million and $7.8 million in the second quarter and the first six months of 2021,</w:t>
      </w:r>
      <w:r>
        <w:rPr>
          <w:rFonts w:ascii="Arial" w:cs="Arial" w:eastAsia="Arial" w:hAnsi="Arial"/>
          <w:sz w:val="16"/>
          <w:szCs w:val="16"/>
          <w:b w:val="1"/>
          <w:bCs w:val="1"/>
          <w:color w:val="auto"/>
        </w:rPr>
        <w:t xml:space="preserve"> </w:t>
      </w:r>
      <w:r>
        <w:rPr>
          <w:rFonts w:ascii="Arial" w:cs="Arial" w:eastAsia="Arial" w:hAnsi="Arial"/>
          <w:sz w:val="16"/>
          <w:szCs w:val="16"/>
          <w:color w:val="auto"/>
        </w:rPr>
        <w:t>respectively. This compares to an income tax expense of $3.5 million and $4.5 million in the second quarter and the first six months of 2020, respectively.</w:t>
      </w:r>
    </w:p>
    <w:p>
      <w:pPr>
        <w:spacing w:after="0" w:line="14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actual income tax expense is different than the amount computed by applying our statutory income tax rate to our income before income tax primarily due to tax-exempt interest income, tax-exempt income from the increase in the cash surrender value on life insurance, and differences in the value of stock awards that vest and stock options that are exercised as compared to the initial fair values that were expensed.</w:t>
      </w:r>
    </w:p>
    <w:p>
      <w:pPr>
        <w:spacing w:after="0" w:line="192"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We assess whether a valuation allowance should be established against our deferred tax assets based on the consideration of all available evidence using a “more likely than not” standard. The ultimate realization of this asset is primarily based on generating future income. We concluded at June 30, 2021 and 2020 and at December 31, 2020 that the realization of substantially all of our deferred tax assets continues to be more likely than not.</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w:t>
      </w:r>
    </w:p>
    <w:p>
      <w:pPr>
        <w:spacing w:after="0" w:line="25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Summary. </w:t>
      </w:r>
      <w:r>
        <w:rPr>
          <w:rFonts w:ascii="Arial" w:cs="Arial" w:eastAsia="Arial" w:hAnsi="Arial"/>
          <w:sz w:val="18"/>
          <w:szCs w:val="18"/>
          <w:color w:val="auto"/>
        </w:rPr>
        <w:t>Our total assets increased by $257.3 million during the first six months of 2021. Loans, excluding loans held for sale, were $2.81 billion at</w:t>
      </w:r>
      <w:r>
        <w:rPr>
          <w:rFonts w:ascii="Arial" w:cs="Arial" w:eastAsia="Arial" w:hAnsi="Arial"/>
          <w:sz w:val="18"/>
          <w:szCs w:val="18"/>
          <w:b w:val="1"/>
          <w:bCs w:val="1"/>
          <w:color w:val="auto"/>
        </w:rPr>
        <w:t xml:space="preserve"> </w:t>
      </w:r>
      <w:r>
        <w:rPr>
          <w:rFonts w:ascii="Arial" w:cs="Arial" w:eastAsia="Arial" w:hAnsi="Arial"/>
          <w:sz w:val="18"/>
          <w:szCs w:val="18"/>
          <w:color w:val="auto"/>
        </w:rPr>
        <w:t>June 30, 2021, compared to $2.73 billion at December 31, 2020. All loan categories have increased during the first half of 2021. (See "Portfolio Loans and asset quality.")</w:t>
      </w:r>
    </w:p>
    <w:p>
      <w:pPr>
        <w:spacing w:after="0" w:line="20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Deposits totaled $3.86 billion at June 30, 2021, an increase of $225.1 million from December 31, 2020. The increase in deposits is primarily due to growth in non-interest bearing deposits, savings and interest bearing checking deposits and reciprocal deposits that were partially offset by a decline in time and brokered deposits.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increase in commercial loans in the first six months of 2021 is due primarily to loans extended under the Paycheck Protection Program (“PPP”) administered by the U.S. Small Business Administration (“SBA”). The PPP (for new loans) ended on May 31, 2021. The increase in deposits is due in part to the significant liquidity that has been injected into the economy through government programs, such as the PPP, as well as by monetary actions by the Federal Reserve Bank, all in response to the COVID-19 pandemic.</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the various government stimulus programs in response to the COVID-19 pandemic end or taper, it is unclear what the impact will be on our levels of Portfolio Loans and deposits. However, our liquidity and funding contingency plans take into account the possibility of reductions in commercial loans and deposits during 2021.</w:t>
      </w:r>
    </w:p>
    <w:p>
      <w:pPr>
        <w:spacing w:after="0" w:line="207"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color w:val="auto"/>
        </w:rPr>
        <w:t xml:space="preserve">Securities. </w:t>
      </w:r>
      <w:r>
        <w:rPr>
          <w:rFonts w:ascii="Arial" w:cs="Arial" w:eastAsia="Arial" w:hAnsi="Arial"/>
          <w:sz w:val="16"/>
          <w:szCs w:val="16"/>
          <w:color w:val="auto"/>
        </w:rPr>
        <w:t>We maintain diversified securities portfolios, which include obligations of U.S. government-sponsored agencies, securities issued by states and</w:t>
      </w:r>
      <w:r>
        <w:rPr>
          <w:rFonts w:ascii="Arial" w:cs="Arial" w:eastAsia="Arial" w:hAnsi="Arial"/>
          <w:sz w:val="16"/>
          <w:szCs w:val="16"/>
          <w:b w:val="1"/>
          <w:bCs w:val="1"/>
          <w:color w:val="auto"/>
        </w:rPr>
        <w:t xml:space="preserve"> </w:t>
      </w:r>
      <w:r>
        <w:rPr>
          <w:rFonts w:ascii="Arial" w:cs="Arial" w:eastAsia="Arial" w:hAnsi="Arial"/>
          <w:sz w:val="16"/>
          <w:szCs w:val="16"/>
          <w:color w:val="auto"/>
        </w:rPr>
        <w:t>political subdivisions, residential and commercial mortgage-backed securities, asset-backed securities, corporate securities, trust preferred securities and foreign government securities (that are denominated in U.S. dollars). We regularly evaluate asset/liability management needs and attempt to maintain a portfolio structure that provides sufficient liquidity and cash flow. Except as discussed below, we believe that the unrealized losses on securities available for sale are temporary in nature and are expected to be recovered within a reasonable time period. We believe that we have the ability to hold securities with unrealized losses to maturity or until such time as the unrealized losses reverse. (See “Asset/liability management.”)</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r>
              <w:rPr>
                <w:rFonts w:ascii="Arial" w:cs="Arial" w:eastAsia="Arial" w:hAnsi="Arial"/>
                <w:sz w:val="18"/>
                <w:szCs w:val="18"/>
                <w:b w:val="1"/>
                <w:bCs w:val="1"/>
                <w:color w:val="auto"/>
              </w:rPr>
              <w:t>Securities</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66"/>
        </w:trPr>
        <w:tc>
          <w:tcPr>
            <w:tcW w:w="5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ind w:left="40"/>
              <w:spacing w:after="0"/>
              <w:rPr>
                <w:sz w:val="20"/>
                <w:szCs w:val="20"/>
                <w:color w:val="auto"/>
              </w:rPr>
            </w:pPr>
            <w:r>
              <w:rPr>
                <w:rFonts w:ascii="Arial" w:cs="Arial" w:eastAsia="Arial" w:hAnsi="Arial"/>
                <w:sz w:val="18"/>
                <w:szCs w:val="18"/>
                <w:color w:val="auto"/>
              </w:rPr>
              <w:t>Amortized</w:t>
            </w:r>
          </w:p>
        </w:tc>
        <w:tc>
          <w:tcPr>
            <w:tcW w:w="2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Unrealized</w:t>
            </w:r>
          </w:p>
        </w:tc>
        <w:tc>
          <w:tcPr>
            <w:tcW w:w="8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gridSpan w:val="2"/>
          </w:tcPr>
          <w:p>
            <w:pPr>
              <w:ind w:left="200"/>
              <w:spacing w:after="0"/>
              <w:rPr>
                <w:sz w:val="20"/>
                <w:szCs w:val="20"/>
                <w:color w:val="auto"/>
              </w:rPr>
            </w:pPr>
            <w:r>
              <w:rPr>
                <w:rFonts w:ascii="Arial" w:cs="Arial" w:eastAsia="Arial" w:hAnsi="Arial"/>
                <w:sz w:val="18"/>
                <w:szCs w:val="18"/>
                <w:color w:val="auto"/>
              </w:rPr>
              <w:t>Fair</w:t>
            </w:r>
          </w:p>
        </w:tc>
      </w:tr>
      <w:tr>
        <w:trPr>
          <w:trHeight w:val="223"/>
        </w:trPr>
        <w:tc>
          <w:tcPr>
            <w:tcW w:w="59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Cost</w:t>
            </w:r>
          </w:p>
        </w:tc>
        <w:tc>
          <w:tcPr>
            <w:tcW w:w="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Gains</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84"/>
              </w:rPr>
              <w:t>Losses</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Value</w:t>
            </w:r>
          </w:p>
        </w:tc>
        <w:tc>
          <w:tcPr>
            <w:tcW w:w="100" w:type="dxa"/>
            <w:vAlign w:val="bottom"/>
          </w:tcPr>
          <w:p>
            <w:pPr>
              <w:spacing w:after="0"/>
              <w:rPr>
                <w:sz w:val="19"/>
                <w:szCs w:val="19"/>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Securities available for sale</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40" w:type="dxa"/>
            <w:vAlign w:val="bottom"/>
            <w:gridSpan w:val="5"/>
          </w:tcPr>
          <w:p>
            <w:pPr>
              <w:jc w:val="right"/>
              <w:ind w:right="960"/>
              <w:spacing w:after="0"/>
              <w:rPr>
                <w:sz w:val="20"/>
                <w:szCs w:val="20"/>
                <w:color w:val="auto"/>
              </w:rPr>
            </w:pPr>
            <w:r>
              <w:rPr>
                <w:rFonts w:ascii="Arial" w:cs="Arial" w:eastAsia="Arial" w:hAnsi="Arial"/>
                <w:sz w:val="18"/>
                <w:szCs w:val="18"/>
                <w:color w:val="auto"/>
              </w:rPr>
              <w:t>(in thousands)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June 30, 2021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1,312,668</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20,780</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2,788</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1,330,660</w:t>
            </w:r>
          </w:p>
        </w:tc>
      </w:tr>
      <w:tr>
        <w:trPr>
          <w:trHeight w:val="230"/>
        </w:trPr>
        <w:tc>
          <w:tcPr>
            <w:tcW w:w="5980" w:type="dxa"/>
            <w:vAlign w:val="bottom"/>
          </w:tcPr>
          <w:p>
            <w:pPr>
              <w:ind w:left="140"/>
              <w:spacing w:after="0"/>
              <w:rPr>
                <w:sz w:val="20"/>
                <w:szCs w:val="20"/>
                <w:color w:val="auto"/>
              </w:rPr>
            </w:pPr>
            <w:r>
              <w:rPr>
                <w:rFonts w:ascii="Arial" w:cs="Arial" w:eastAsia="Arial" w:hAnsi="Arial"/>
                <w:sz w:val="18"/>
                <w:szCs w:val="18"/>
                <w:color w:val="auto"/>
              </w:rPr>
              <w:t>December 31, 2020</w:t>
            </w:r>
          </w:p>
        </w:tc>
        <w:tc>
          <w:tcPr>
            <w:tcW w:w="140" w:type="dxa"/>
            <w:vAlign w:val="bottom"/>
          </w:tcPr>
          <w:p>
            <w:pPr>
              <w:spacing w:after="0"/>
              <w:rPr>
                <w:sz w:val="20"/>
                <w:szCs w:val="20"/>
                <w:color w:val="auto"/>
              </w:rPr>
            </w:pPr>
          </w:p>
        </w:tc>
        <w:tc>
          <w:tcPr>
            <w:tcW w:w="1240" w:type="dxa"/>
            <w:vAlign w:val="bottom"/>
            <w:gridSpan w:val="2"/>
          </w:tcPr>
          <w:p>
            <w:pPr>
              <w:ind w:left="260"/>
              <w:spacing w:after="0"/>
              <w:rPr>
                <w:sz w:val="20"/>
                <w:szCs w:val="20"/>
                <w:color w:val="auto"/>
              </w:rPr>
            </w:pPr>
            <w:r>
              <w:rPr>
                <w:rFonts w:ascii="Arial" w:cs="Arial" w:eastAsia="Arial" w:hAnsi="Arial"/>
                <w:sz w:val="18"/>
                <w:szCs w:val="18"/>
                <w:color w:val="auto"/>
              </w:rPr>
              <w:t>1,052,132</w:t>
            </w:r>
          </w:p>
        </w:tc>
        <w:tc>
          <w:tcPr>
            <w:tcW w:w="2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21,431</w:t>
            </w:r>
          </w:p>
        </w:tc>
        <w:tc>
          <w:tcPr>
            <w:tcW w:w="3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1,404</w:t>
            </w:r>
          </w:p>
        </w:tc>
        <w:tc>
          <w:tcPr>
            <w:tcW w:w="220" w:type="dxa"/>
            <w:vAlign w:val="bottom"/>
          </w:tcPr>
          <w:p>
            <w:pPr>
              <w:spacing w:after="0"/>
              <w:rPr>
                <w:sz w:val="20"/>
                <w:szCs w:val="20"/>
                <w:color w:val="auto"/>
              </w:rPr>
            </w:pPr>
          </w:p>
        </w:tc>
        <w:tc>
          <w:tcPr>
            <w:tcW w:w="1000" w:type="dxa"/>
            <w:vAlign w:val="bottom"/>
            <w:gridSpan w:val="2"/>
          </w:tcPr>
          <w:p>
            <w:pPr>
              <w:ind w:left="180"/>
              <w:spacing w:after="0"/>
              <w:rPr>
                <w:sz w:val="20"/>
                <w:szCs w:val="20"/>
                <w:color w:val="auto"/>
              </w:rPr>
            </w:pPr>
            <w:r>
              <w:rPr>
                <w:rFonts w:ascii="Arial" w:cs="Arial" w:eastAsia="Arial" w:hAnsi="Arial"/>
                <w:sz w:val="18"/>
                <w:szCs w:val="18"/>
                <w:color w:val="auto"/>
                <w:w w:val="99"/>
              </w:rPr>
              <w:t>1,072,159</w:t>
            </w:r>
          </w:p>
        </w:tc>
      </w:tr>
    </w:tbl>
    <w:p>
      <w:pPr>
        <w:spacing w:after="0" w:line="21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Securities available for sale in unrealized loss positions are evaluated quarterly for impairment related to credit losses. For securities available for sale in an unrealized loss position, we first assess whether we intend to sell, or it is more likely than not that we will be required to sell the security before recovery of its amortized cost basis. If either of the criteria regarding intent or requirement to sell is met, the security’s amortized cost basis is written down to fair value through income. For securities available for sale that do not meet this criteria, we evaluate whether the decline in fair value has resulted from credit losses or other factors. In making this assessment, we consider the extent to which fair value is less than amortized cost, adverse conditions specifically related to the security and the issuer and the impact of changes in market interest rates on the market value of the security, among other factors. If this assessment indicates that a credit loss exists, we compare the present value of cash flows expected to be collected from the security with the amortized cost basis of the security. If the present value of cash flows expected to be collected is less than the amortized cost basis for the security, a credit loss exists and an ACL is recorded, limited to the amount that the fair value of the security is less than its amortized cost basis. Any impairment that has not been recorded through an ACL is recognized in other comprehensive income (loss), net of applicable taxes. No ACL for securities available for sale was needed at June 30, 2021.</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161"/>
        </w:trPr>
        <w:tc>
          <w:tcPr>
            <w:tcW w:w="5980" w:type="dxa"/>
            <w:vAlign w:val="bottom"/>
            <w:gridSpan w:val="2"/>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85"/>
        </w:trPr>
        <w:tc>
          <w:tcPr>
            <w:tcW w:w="5980" w:type="dxa"/>
            <w:vAlign w:val="bottom"/>
            <w:gridSpan w:val="2"/>
          </w:tcPr>
          <w:p>
            <w:pPr>
              <w:spacing w:after="0"/>
              <w:rPr>
                <w:sz w:val="20"/>
                <w:szCs w:val="20"/>
                <w:color w:val="auto"/>
              </w:rPr>
            </w:pPr>
            <w:r>
              <w:rPr>
                <w:rFonts w:ascii="Arial" w:cs="Arial" w:eastAsia="Arial" w:hAnsi="Arial"/>
                <w:sz w:val="18"/>
                <w:szCs w:val="18"/>
                <w:color w:val="auto"/>
              </w:rPr>
              <w:t>Sales of securities were as follows (See “Non-interest income.”):</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9"/>
        </w:trPr>
        <w:tc>
          <w:tcPr>
            <w:tcW w:w="5980" w:type="dxa"/>
            <w:vAlign w:val="bottom"/>
            <w:gridSpan w:val="2"/>
          </w:tcPr>
          <w:p>
            <w:pPr>
              <w:spacing w:after="0"/>
              <w:rPr>
                <w:sz w:val="20"/>
                <w:szCs w:val="20"/>
                <w:color w:val="auto"/>
              </w:rPr>
            </w:pPr>
            <w:r>
              <w:rPr>
                <w:rFonts w:ascii="Arial" w:cs="Arial" w:eastAsia="Arial" w:hAnsi="Arial"/>
                <w:sz w:val="18"/>
                <w:szCs w:val="18"/>
                <w:b w:val="1"/>
                <w:bCs w:val="1"/>
                <w:color w:val="auto"/>
              </w:rPr>
              <w:t>Sales of Securities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5"/>
        </w:trPr>
        <w:tc>
          <w:tcPr>
            <w:tcW w:w="32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80" w:type="dxa"/>
            <w:vAlign w:val="bottom"/>
            <w:gridSpan w:val="5"/>
          </w:tcPr>
          <w:p>
            <w:pPr>
              <w:jc w:val="center"/>
              <w:ind w:right="460"/>
              <w:spacing w:after="0"/>
              <w:rPr>
                <w:sz w:val="20"/>
                <w:szCs w:val="20"/>
                <w:color w:val="auto"/>
              </w:rPr>
            </w:pPr>
            <w:r>
              <w:rPr>
                <w:rFonts w:ascii="Arial" w:cs="Arial" w:eastAsia="Arial" w:hAnsi="Arial"/>
                <w:sz w:val="18"/>
                <w:szCs w:val="18"/>
                <w:color w:val="auto"/>
                <w:w w:val="87"/>
              </w:rPr>
              <w:t>Three months ended</w:t>
            </w:r>
          </w:p>
        </w:tc>
        <w:tc>
          <w:tcPr>
            <w:tcW w:w="240" w:type="dxa"/>
            <w:vAlign w:val="bottom"/>
          </w:tcPr>
          <w:p>
            <w:pPr>
              <w:spacing w:after="0"/>
              <w:rPr>
                <w:sz w:val="24"/>
                <w:szCs w:val="24"/>
                <w:color w:val="auto"/>
              </w:rPr>
            </w:pPr>
          </w:p>
        </w:tc>
        <w:tc>
          <w:tcPr>
            <w:tcW w:w="2300" w:type="dxa"/>
            <w:vAlign w:val="bottom"/>
            <w:gridSpan w:val="5"/>
          </w:tcPr>
          <w:p>
            <w:pPr>
              <w:ind w:left="340"/>
              <w:spacing w:after="0"/>
              <w:rPr>
                <w:sz w:val="20"/>
                <w:szCs w:val="20"/>
                <w:color w:val="auto"/>
              </w:rPr>
            </w:pPr>
            <w:r>
              <w:rPr>
                <w:rFonts w:ascii="Arial" w:cs="Arial" w:eastAsia="Arial" w:hAnsi="Arial"/>
                <w:sz w:val="18"/>
                <w:szCs w:val="18"/>
                <w:color w:val="auto"/>
              </w:rPr>
              <w:t>Six months ended</w:t>
            </w:r>
          </w:p>
        </w:tc>
      </w:tr>
      <w:tr>
        <w:trPr>
          <w:trHeight w:val="216"/>
        </w:trPr>
        <w:tc>
          <w:tcPr>
            <w:tcW w:w="32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3"/>
          </w:tcPr>
          <w:p>
            <w:pPr>
              <w:jc w:val="center"/>
              <w:ind w:left="530"/>
              <w:spacing w:after="0"/>
              <w:rPr>
                <w:sz w:val="20"/>
                <w:szCs w:val="20"/>
                <w:color w:val="auto"/>
              </w:rPr>
            </w:pPr>
            <w:r>
              <w:rPr>
                <w:rFonts w:ascii="Arial" w:cs="Arial" w:eastAsia="Arial" w:hAnsi="Arial"/>
                <w:sz w:val="18"/>
                <w:szCs w:val="18"/>
                <w:color w:val="auto"/>
                <w:w w:val="86"/>
              </w:rPr>
              <w:t>June 30,</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June 30,</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320" w:type="dxa"/>
            <w:vAlign w:val="bottom"/>
          </w:tcPr>
          <w:p>
            <w:pPr>
              <w:spacing w:after="0"/>
              <w:rPr>
                <w:sz w:val="20"/>
                <w:szCs w:val="20"/>
                <w:color w:val="auto"/>
              </w:rPr>
            </w:pPr>
          </w:p>
        </w:tc>
        <w:tc>
          <w:tcPr>
            <w:tcW w:w="56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c>
          <w:tcPr>
            <w:tcW w:w="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2021</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r>
      <w:tr>
        <w:trPr>
          <w:trHeight w:val="216"/>
        </w:trPr>
        <w:tc>
          <w:tcPr>
            <w:tcW w:w="32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(in</w:t>
            </w:r>
          </w:p>
        </w:tc>
        <w:tc>
          <w:tcPr>
            <w:tcW w:w="1380" w:type="dxa"/>
            <w:vAlign w:val="bottom"/>
            <w:gridSpan w:val="3"/>
          </w:tcPr>
          <w:p>
            <w:pPr>
              <w:jc w:val="center"/>
              <w:ind w:right="650"/>
              <w:spacing w:after="0"/>
              <w:rPr>
                <w:sz w:val="20"/>
                <w:szCs w:val="20"/>
                <w:color w:val="auto"/>
              </w:rPr>
            </w:pPr>
            <w:r>
              <w:rPr>
                <w:rFonts w:ascii="Arial" w:cs="Arial" w:eastAsia="Arial" w:hAnsi="Arial"/>
                <w:sz w:val="18"/>
                <w:szCs w:val="18"/>
                <w:color w:val="auto"/>
                <w:w w:val="71"/>
              </w:rPr>
              <w:t>thousands)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(in</w:t>
            </w:r>
          </w:p>
        </w:tc>
        <w:tc>
          <w:tcPr>
            <w:tcW w:w="1340" w:type="dxa"/>
            <w:vAlign w:val="bottom"/>
            <w:gridSpan w:val="3"/>
          </w:tcPr>
          <w:p>
            <w:pPr>
              <w:jc w:val="right"/>
              <w:ind w:right="630"/>
              <w:spacing w:after="0"/>
              <w:rPr>
                <w:sz w:val="20"/>
                <w:szCs w:val="20"/>
                <w:color w:val="auto"/>
              </w:rPr>
            </w:pPr>
            <w:r>
              <w:rPr>
                <w:rFonts w:ascii="Arial" w:cs="Arial" w:eastAsia="Arial" w:hAnsi="Arial"/>
                <w:sz w:val="17"/>
                <w:szCs w:val="17"/>
                <w:color w:val="auto"/>
                <w:w w:val="71"/>
              </w:rPr>
              <w:t>thousands)</w:t>
            </w:r>
          </w:p>
        </w:tc>
        <w:tc>
          <w:tcPr>
            <w:tcW w:w="100" w:type="dxa"/>
            <w:vAlign w:val="bottom"/>
          </w:tcPr>
          <w:p>
            <w:pPr>
              <w:spacing w:after="0"/>
              <w:rPr>
                <w:sz w:val="18"/>
                <w:szCs w:val="18"/>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jc w:val="center"/>
              <w:ind w:right="1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14,850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36"/>
              <w:spacing w:after="0"/>
              <w:rPr>
                <w:sz w:val="20"/>
                <w:szCs w:val="20"/>
                <w:color w:val="auto"/>
              </w:rPr>
            </w:pPr>
            <w:r>
              <w:rPr>
                <w:rFonts w:ascii="Arial" w:cs="Arial" w:eastAsia="Arial" w:hAnsi="Arial"/>
                <w:sz w:val="18"/>
                <w:szCs w:val="18"/>
                <w:color w:val="auto"/>
              </w:rPr>
              <w:t>81,178</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36,593</w:t>
            </w:r>
          </w:p>
        </w:tc>
      </w:tr>
      <w:tr>
        <w:trPr>
          <w:trHeight w:val="216"/>
        </w:trPr>
        <w:tc>
          <w:tcPr>
            <w:tcW w:w="32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r>
      <w:tr>
        <w:trPr>
          <w:trHeight w:val="216"/>
        </w:trPr>
        <w:tc>
          <w:tcPr>
            <w:tcW w:w="59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Gross gains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2</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36"/>
              <w:spacing w:after="0"/>
              <w:rPr>
                <w:sz w:val="20"/>
                <w:szCs w:val="20"/>
                <w:color w:val="auto"/>
              </w:rPr>
            </w:pPr>
            <w:r>
              <w:rPr>
                <w:rFonts w:ascii="Arial" w:cs="Arial" w:eastAsia="Arial" w:hAnsi="Arial"/>
                <w:sz w:val="18"/>
                <w:szCs w:val="18"/>
                <w:color w:val="auto"/>
              </w:rPr>
              <w:t>1,466</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w:t>
            </w:r>
          </w:p>
        </w:tc>
      </w:tr>
      <w:tr>
        <w:trPr>
          <w:trHeight w:val="216"/>
        </w:trPr>
        <w:tc>
          <w:tcPr>
            <w:tcW w:w="5980" w:type="dxa"/>
            <w:vAlign w:val="bottom"/>
            <w:gridSpan w:val="2"/>
          </w:tcPr>
          <w:p>
            <w:pPr>
              <w:ind w:left="140"/>
              <w:spacing w:after="0"/>
              <w:rPr>
                <w:sz w:val="20"/>
                <w:szCs w:val="20"/>
                <w:color w:val="auto"/>
              </w:rPr>
            </w:pPr>
            <w:r>
              <w:rPr>
                <w:rFonts w:ascii="Arial" w:cs="Arial" w:eastAsia="Arial" w:hAnsi="Arial"/>
                <w:sz w:val="18"/>
                <w:szCs w:val="18"/>
                <w:color w:val="auto"/>
              </w:rPr>
              <w:t>Gross losses</w:t>
            </w:r>
          </w:p>
        </w:tc>
        <w:tc>
          <w:tcPr>
            <w:tcW w:w="240" w:type="dxa"/>
            <w:vAlign w:val="bottom"/>
          </w:tcPr>
          <w:p>
            <w:pPr>
              <w:spacing w:after="0"/>
              <w:rPr>
                <w:sz w:val="18"/>
                <w:szCs w:val="18"/>
                <w:color w:val="auto"/>
              </w:rPr>
            </w:pPr>
          </w:p>
        </w:tc>
        <w:tc>
          <w:tcPr>
            <w:tcW w:w="1140" w:type="dxa"/>
            <w:vAlign w:val="bottom"/>
            <w:gridSpan w:val="2"/>
          </w:tcPr>
          <w:p>
            <w:pPr>
              <w:jc w:val="right"/>
              <w:ind w:right="170"/>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136"/>
              <w:spacing w:after="0"/>
              <w:rPr>
                <w:sz w:val="20"/>
                <w:szCs w:val="20"/>
                <w:color w:val="auto"/>
              </w:rPr>
            </w:pPr>
            <w:r>
              <w:rPr>
                <w:rFonts w:ascii="Arial" w:cs="Arial" w:eastAsia="Arial" w:hAnsi="Arial"/>
                <w:sz w:val="18"/>
                <w:szCs w:val="18"/>
                <w:color w:val="auto"/>
              </w:rPr>
              <w:t>50</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Net impairment charges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36"/>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320" w:type="dxa"/>
            <w:vAlign w:val="bottom"/>
            <w:shd w:val="clear" w:color="auto" w:fill="CCEEFF"/>
          </w:tcPr>
          <w:p>
            <w:pPr>
              <w:spacing w:after="0"/>
              <w:rPr>
                <w:sz w:val="2"/>
                <w:szCs w:val="2"/>
                <w:color w:val="auto"/>
              </w:rPr>
            </w:pPr>
          </w:p>
        </w:tc>
        <w:tc>
          <w:tcPr>
            <w:tcW w:w="56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Net gains</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80" w:type="dxa"/>
            <w:vAlign w:val="bottom"/>
          </w:tcPr>
          <w:p>
            <w:pPr>
              <w:jc w:val="center"/>
              <w:ind w:right="11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36"/>
              <w:spacing w:after="0"/>
              <w:rPr>
                <w:sz w:val="20"/>
                <w:szCs w:val="20"/>
                <w:color w:val="auto"/>
              </w:rPr>
            </w:pPr>
            <w:r>
              <w:rPr>
                <w:rFonts w:ascii="Arial" w:cs="Arial" w:eastAsia="Arial" w:hAnsi="Arial"/>
                <w:sz w:val="18"/>
                <w:szCs w:val="18"/>
                <w:color w:val="auto"/>
              </w:rPr>
              <w:t>1,416</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253</w:t>
            </w:r>
          </w:p>
        </w:tc>
      </w:tr>
      <w:tr>
        <w:trPr>
          <w:trHeight w:val="20"/>
        </w:trPr>
        <w:tc>
          <w:tcPr>
            <w:tcW w:w="3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Portfolio Loans and asset quality. </w:t>
      </w:r>
      <w:r>
        <w:rPr>
          <w:rFonts w:ascii="Arial" w:cs="Arial" w:eastAsia="Arial" w:hAnsi="Arial"/>
          <w:sz w:val="17"/>
          <w:szCs w:val="17"/>
          <w:color w:val="auto"/>
        </w:rPr>
        <w:t>In addition to the communities served by our Bank branch and loan production office network, our principal lending</w:t>
      </w:r>
      <w:r>
        <w:rPr>
          <w:rFonts w:ascii="Arial" w:cs="Arial" w:eastAsia="Arial" w:hAnsi="Arial"/>
          <w:sz w:val="17"/>
          <w:szCs w:val="17"/>
          <w:b w:val="1"/>
          <w:bCs w:val="1"/>
          <w:color w:val="auto"/>
        </w:rPr>
        <w:t xml:space="preserve"> </w:t>
      </w:r>
      <w:r>
        <w:rPr>
          <w:rFonts w:ascii="Arial" w:cs="Arial" w:eastAsia="Arial" w:hAnsi="Arial"/>
          <w:sz w:val="17"/>
          <w:szCs w:val="17"/>
          <w:color w:val="auto"/>
        </w:rPr>
        <w:t>markets also include nearby communities and metropolitan areas. Subject to established underwriting criteria, we also may participate in commercial lending transactions with certain non-affiliated banks and make whole loan purchases from other financial institutions.</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senior management and board of directors of our Bank retain authority and responsibility for credit decisions and we have adopted uniform underwriting standards. Our loan committee structure and the loan review process attempt to provide requisite controls and promote compliance with such established underwriting standards. However, there can be no assurance that our lending procedures and the use of uniform underwriting standards will prevent us from incurring significant credit losses in our lending activities.</w:t>
      </w:r>
    </w:p>
    <w:p>
      <w:pPr>
        <w:spacing w:after="0" w:line="21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generally retain loans that may be profitably funded within established risk parameters. (See “Asset/liability management.”) As a result, we may hold adjustable-rate conventional and fixed rate jumbo mortgage loans as Portfolio Loans, while 15- and 30-year fixed-rate non-jumbo mortgage loans are generally sold to mitigate exposure to changes in interest rates. (See “Non-interest income.”) Due primarily to the expansion of our mortgage-banking activities and a change in mix in our mortgage loan originations, we are now originating and putting into Portfolio Loans more fixed rate mortgage loans as compared to past periods. These fixed rate mortgage loans generally have terms from 15 to 30 years, do not have prepayment penalties and expose us to more interest rate risk. To date, our interest rate risk profile has not changed significantly. However, we are carefully monitoring this change in the composition of our Portfolio Loans and the impact of potential future changes in interest rates on our changes in market value of portfolio equity and changes in net interest income. (See “Asset/liability management.”). As a result, we may add some longer-term borrowings, may utilize derivatives (interest rate swaps and interest rate caps) to manage interest rate risk and may continue to sell some fixed rate jumbo and other portfolio mortgage loans in the future.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5" w:name="page86"/>
    <w:bookmarkEnd w:id="8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PPP, is a short-term, forgivable loan program primarily intended to help businesses impacted by COVID-19 to continue paying their employees. Also see Part II, Item 1A. Risk Factors below regarding the PPP.</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our participation in the PPP (which ended on May 31, 2021 for new loans)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r>
              <w:rPr>
                <w:rFonts w:ascii="Arial" w:cs="Arial" w:eastAsia="Arial" w:hAnsi="Arial"/>
                <w:sz w:val="18"/>
                <w:szCs w:val="18"/>
                <w:b w:val="1"/>
                <w:bCs w:val="1"/>
                <w:color w:val="auto"/>
              </w:rPr>
              <w:t>Paycheck Protection Program Activity</w:t>
            </w: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66"/>
        </w:trPr>
        <w:tc>
          <w:tcPr>
            <w:tcW w:w="5980" w:type="dxa"/>
            <w:vAlign w:val="bottom"/>
          </w:tcPr>
          <w:p>
            <w:pPr>
              <w:spacing w:after="0"/>
              <w:rPr>
                <w:sz w:val="24"/>
                <w:szCs w:val="24"/>
                <w:color w:val="auto"/>
              </w:rPr>
            </w:pPr>
          </w:p>
        </w:tc>
        <w:tc>
          <w:tcPr>
            <w:tcW w:w="2720" w:type="dxa"/>
            <w:vAlign w:val="bottom"/>
            <w:gridSpan w:val="5"/>
          </w:tcPr>
          <w:p>
            <w:pPr>
              <w:jc w:val="right"/>
              <w:ind w:right="960"/>
              <w:spacing w:after="0"/>
              <w:rPr>
                <w:sz w:val="20"/>
                <w:szCs w:val="20"/>
                <w:color w:val="auto"/>
              </w:rPr>
            </w:pPr>
            <w:r>
              <w:rPr>
                <w:rFonts w:ascii="Arial" w:cs="Arial" w:eastAsia="Arial" w:hAnsi="Arial"/>
                <w:sz w:val="18"/>
                <w:szCs w:val="18"/>
                <w:color w:val="auto"/>
              </w:rPr>
              <w:t>June 30, 2021</w:t>
            </w:r>
          </w:p>
        </w:tc>
        <w:tc>
          <w:tcPr>
            <w:tcW w:w="2540" w:type="dxa"/>
            <w:vAlign w:val="bottom"/>
            <w:gridSpan w:val="5"/>
          </w:tcPr>
          <w:p>
            <w:pPr>
              <w:ind w:left="720"/>
              <w:spacing w:after="0"/>
              <w:rPr>
                <w:sz w:val="20"/>
                <w:szCs w:val="20"/>
                <w:color w:val="auto"/>
              </w:rPr>
            </w:pPr>
            <w:r>
              <w:rPr>
                <w:rFonts w:ascii="Arial" w:cs="Arial" w:eastAsia="Arial" w:hAnsi="Arial"/>
                <w:sz w:val="18"/>
                <w:szCs w:val="18"/>
                <w:color w:val="auto"/>
              </w:rPr>
              <w:t>June 30, 2020</w:t>
            </w:r>
          </w:p>
        </w:tc>
      </w:tr>
      <w:tr>
        <w:trPr>
          <w:trHeight w:val="223"/>
        </w:trPr>
        <w:tc>
          <w:tcPr>
            <w:tcW w:w="5980" w:type="dxa"/>
            <w:vAlign w:val="bottom"/>
          </w:tcPr>
          <w:p>
            <w:pPr>
              <w:spacing w:after="0"/>
              <w:rPr>
                <w:sz w:val="19"/>
                <w:szCs w:val="19"/>
                <w:color w:val="auto"/>
              </w:rPr>
            </w:pPr>
          </w:p>
        </w:tc>
        <w:tc>
          <w:tcPr>
            <w:tcW w:w="112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rPr>
              <w:t>Amount (#)</w:t>
            </w:r>
          </w:p>
        </w:tc>
        <w:tc>
          <w:tcPr>
            <w:tcW w:w="26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Amount</w:t>
            </w:r>
          </w:p>
        </w:tc>
        <w:tc>
          <w:tcPr>
            <w:tcW w:w="22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Amount (#)</w:t>
            </w:r>
          </w:p>
        </w:tc>
        <w:tc>
          <w:tcPr>
            <w:tcW w:w="22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Amount</w:t>
            </w:r>
          </w:p>
        </w:tc>
        <w:tc>
          <w:tcPr>
            <w:tcW w:w="100" w:type="dxa"/>
            <w:vAlign w:val="bottom"/>
          </w:tcPr>
          <w:p>
            <w:pPr>
              <w:spacing w:after="0"/>
              <w:rPr>
                <w:sz w:val="19"/>
                <w:szCs w:val="19"/>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80" w:type="dxa"/>
            <w:vAlign w:val="bottom"/>
            <w:gridSpan w:val="4"/>
          </w:tcPr>
          <w:p>
            <w:pPr>
              <w:jc w:val="right"/>
              <w:ind w:right="660"/>
              <w:spacing w:after="0"/>
              <w:rPr>
                <w:sz w:val="20"/>
                <w:szCs w:val="20"/>
                <w:color w:val="auto"/>
              </w:rPr>
            </w:pPr>
            <w:r>
              <w:rPr>
                <w:rFonts w:ascii="Arial" w:cs="Arial" w:eastAsia="Arial" w:hAnsi="Arial"/>
                <w:sz w:val="18"/>
                <w:szCs w:val="18"/>
                <w:color w:val="auto"/>
              </w:rPr>
              <w:t>(Dollars in thousands)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Closed and outstanding at quarter end</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1,707</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171,888</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2,012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259,351</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Cumulative forgiveness applications submitted to the SBA</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2,048</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240,558</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fees accreted into interest income for the quarter</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n/a</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1,813</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977</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Net fees accreted into interest income year-to-date</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n/a</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3,895</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977</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Unaccreted net fees remaining at quarter end</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n/a</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5,810</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7,736</w:t>
            </w:r>
          </w:p>
        </w:tc>
      </w:tr>
    </w:tbl>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Congress and the major bank regulatory agencies have encouraged banks to work with their borrowers to provide short-term loan payment relief during the COVID-19 national emergency. On March 22, 2020, an interagency statement was released by the Board of Governors of the Federal Reserve System, the Federal Deposit Insurance Corporation, the Office of the Comptroller of the Currency, the Consumer Financial Protection Bureau, the State Banking Regulators and the National Credit Union Administration that contained their interpretation as to which modifications would qualify for these exceptions. In general, to qualify for this exception:</w:t>
      </w:r>
    </w:p>
    <w:p>
      <w:pPr>
        <w:spacing w:after="0" w:line="215" w:lineRule="exact"/>
        <w:rPr>
          <w:sz w:val="20"/>
          <w:szCs w:val="20"/>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modified loan must be current when the modification is made;</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modification must be short term in nature (up to six months),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Modifications may include payment deferrals, fee waivers, extensions of repayment terms or other delays in payment that are insignificant.</w:t>
      </w:r>
    </w:p>
    <w:p>
      <w:pPr>
        <w:spacing w:after="0" w:line="24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Section 4013 of the CARES Act provides temporary relief from the accounting and reporting requirements for TDRs regarding certain loan modifications for our customers. Section 4013 specified that COVID-19 related modifications on loans that were current as of December 31, 2019 are not TDRs. The provisions of Section 4013 were extended to the earlier of 60 days after the termination of the national emergency that was previously declared on March 13, 2020 or January 21, 2022 by the Economic Aid to Hard-Hit Small Businesses, Nonprofits, and Venues Act which was signed into law on December 27, 2020.</w:t>
      </w: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response to our customers’ needs during this time of economic uncertainty, we have initiated forbearance programs for our retail (mortgage and installment loans) and our commercial customers. We also have similar programs for mortgage loans that we service for others. Commercial loan accommodations are typically a three month interest-only period while retail loan (mortgage and installment) forbearances have primarily been payment suspensions for three months. To date, there have not been a significant number of requests for additional modifications. See note #4 to the Condensed Consolidated Financial Statements included within this report.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161"/>
        </w:trPr>
        <w:tc>
          <w:tcPr>
            <w:tcW w:w="598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566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85"/>
        </w:trPr>
        <w:tc>
          <w:tcPr>
            <w:tcW w:w="5980" w:type="dxa"/>
            <w:vAlign w:val="bottom"/>
            <w:gridSpan w:val="3"/>
          </w:tcPr>
          <w:p>
            <w:pPr>
              <w:spacing w:after="0"/>
              <w:rPr>
                <w:sz w:val="20"/>
                <w:szCs w:val="20"/>
                <w:color w:val="auto"/>
              </w:rPr>
            </w:pPr>
            <w:r>
              <w:rPr>
                <w:rFonts w:ascii="Arial" w:cs="Arial" w:eastAsia="Arial" w:hAnsi="Arial"/>
                <w:sz w:val="18"/>
                <w:szCs w:val="18"/>
                <w:color w:val="auto"/>
              </w:rPr>
              <w:t>A summary of accommodations as of June 30, 2021 follows:</w:t>
            </w: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59"/>
        </w:trPr>
        <w:tc>
          <w:tcPr>
            <w:tcW w:w="5980" w:type="dxa"/>
            <w:vAlign w:val="bottom"/>
            <w:gridSpan w:val="3"/>
          </w:tcPr>
          <w:p>
            <w:pPr>
              <w:spacing w:after="0"/>
              <w:rPr>
                <w:sz w:val="20"/>
                <w:szCs w:val="20"/>
                <w:color w:val="auto"/>
              </w:rPr>
            </w:pPr>
            <w:r>
              <w:rPr>
                <w:rFonts w:ascii="Arial" w:cs="Arial" w:eastAsia="Arial" w:hAnsi="Arial"/>
                <w:sz w:val="18"/>
                <w:szCs w:val="18"/>
                <w:b w:val="1"/>
                <w:bCs w:val="1"/>
                <w:color w:val="auto"/>
              </w:rPr>
              <w:t>Commercial and Retail Loan COVID-19 Accomodations</w:t>
            </w: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66"/>
        </w:trPr>
        <w:tc>
          <w:tcPr>
            <w:tcW w:w="32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60" w:type="dxa"/>
            <w:vAlign w:val="bottom"/>
            <w:gridSpan w:val="5"/>
          </w:tcPr>
          <w:p>
            <w:pPr>
              <w:ind w:left="300"/>
              <w:spacing w:after="0"/>
              <w:rPr>
                <w:sz w:val="20"/>
                <w:szCs w:val="20"/>
                <w:color w:val="auto"/>
              </w:rPr>
            </w:pPr>
            <w:r>
              <w:rPr>
                <w:rFonts w:ascii="Arial" w:cs="Arial" w:eastAsia="Arial" w:hAnsi="Arial"/>
                <w:sz w:val="18"/>
                <w:szCs w:val="18"/>
                <w:color w:val="auto"/>
              </w:rPr>
              <w:t>Covid-19 Accomodations</w:t>
            </w:r>
          </w:p>
        </w:tc>
        <w:tc>
          <w:tcPr>
            <w:tcW w:w="220" w:type="dxa"/>
            <w:vAlign w:val="bottom"/>
          </w:tcPr>
          <w:p>
            <w:pPr>
              <w:spacing w:after="0"/>
              <w:rPr>
                <w:sz w:val="24"/>
                <w:szCs w:val="24"/>
                <w:color w:val="auto"/>
              </w:rPr>
            </w:pPr>
          </w:p>
        </w:tc>
        <w:tc>
          <w:tcPr>
            <w:tcW w:w="1120" w:type="dxa"/>
            <w:vAlign w:val="bottom"/>
            <w:gridSpan w:val="2"/>
          </w:tcPr>
          <w:p>
            <w:pPr>
              <w:ind w:left="160"/>
              <w:spacing w:after="0"/>
              <w:rPr>
                <w:sz w:val="20"/>
                <w:szCs w:val="20"/>
                <w:color w:val="auto"/>
              </w:rPr>
            </w:pPr>
            <w:r>
              <w:rPr>
                <w:rFonts w:ascii="Arial" w:cs="Arial" w:eastAsia="Arial" w:hAnsi="Arial"/>
                <w:sz w:val="18"/>
                <w:szCs w:val="18"/>
                <w:color w:val="auto"/>
              </w:rPr>
              <w:t>Total</w:t>
            </w:r>
          </w:p>
        </w:tc>
        <w:tc>
          <w:tcPr>
            <w:tcW w:w="126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 of Total</w:t>
            </w:r>
          </w:p>
        </w:tc>
      </w:tr>
      <w:tr>
        <w:trPr>
          <w:trHeight w:val="223"/>
        </w:trPr>
        <w:tc>
          <w:tcPr>
            <w:tcW w:w="58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Loan Category</w:t>
            </w:r>
          </w:p>
        </w:tc>
        <w:tc>
          <w:tcPr>
            <w:tcW w:w="12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Loans (#)</w:t>
            </w:r>
          </w:p>
        </w:tc>
        <w:tc>
          <w:tcPr>
            <w:tcW w:w="20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4"/>
              </w:rPr>
              <w:t>Loans ($)</w:t>
            </w: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Loans</w:t>
            </w:r>
          </w:p>
        </w:tc>
        <w:tc>
          <w:tcPr>
            <w:tcW w:w="220" w:type="dxa"/>
            <w:vAlign w:val="bottom"/>
          </w:tcPr>
          <w:p>
            <w:pPr>
              <w:spacing w:after="0"/>
              <w:rPr>
                <w:sz w:val="19"/>
                <w:szCs w:val="19"/>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Loans</w:t>
            </w:r>
          </w:p>
        </w:tc>
        <w:tc>
          <w:tcPr>
            <w:tcW w:w="160" w:type="dxa"/>
            <w:vAlign w:val="bottom"/>
          </w:tcPr>
          <w:p>
            <w:pPr>
              <w:spacing w:after="0"/>
              <w:rPr>
                <w:sz w:val="19"/>
                <w:szCs w:val="19"/>
                <w:color w:val="auto"/>
              </w:rPr>
            </w:pPr>
          </w:p>
        </w:tc>
      </w:tr>
      <w:tr>
        <w:trPr>
          <w:trHeight w:val="216"/>
        </w:trPr>
        <w:tc>
          <w:tcPr>
            <w:tcW w:w="320" w:type="dxa"/>
            <w:vAlign w:val="bottom"/>
          </w:tcPr>
          <w:p>
            <w:pPr>
              <w:spacing w:after="0"/>
              <w:rPr>
                <w:sz w:val="18"/>
                <w:szCs w:val="18"/>
                <w:color w:val="auto"/>
              </w:rPr>
            </w:pPr>
          </w:p>
        </w:tc>
        <w:tc>
          <w:tcPr>
            <w:tcW w:w="5660" w:type="dxa"/>
            <w:vAlign w:val="bottom"/>
            <w:gridSpan w:val="2"/>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1260" w:type="dxa"/>
            <w:vAlign w:val="bottom"/>
            <w:gridSpan w:val="2"/>
          </w:tcPr>
          <w:p>
            <w:pPr>
              <w:spacing w:after="0"/>
              <w:rPr>
                <w:sz w:val="18"/>
                <w:szCs w:val="18"/>
                <w:color w:val="auto"/>
              </w:rPr>
            </w:pPr>
          </w:p>
        </w:tc>
      </w:tr>
      <w:tr>
        <w:trPr>
          <w:trHeight w:val="216"/>
        </w:trPr>
        <w:tc>
          <w:tcPr>
            <w:tcW w:w="59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Commercial</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1,244,547</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w:t>
            </w:r>
          </w:p>
        </w:tc>
      </w:tr>
      <w:tr>
        <w:trPr>
          <w:trHeight w:val="216"/>
        </w:trPr>
        <w:tc>
          <w:tcPr>
            <w:tcW w:w="5980" w:type="dxa"/>
            <w:vAlign w:val="bottom"/>
            <w:gridSpan w:val="3"/>
          </w:tcPr>
          <w:p>
            <w:pPr>
              <w:ind w:left="140"/>
              <w:spacing w:after="0"/>
              <w:rPr>
                <w:sz w:val="20"/>
                <w:szCs w:val="20"/>
                <w:color w:val="auto"/>
              </w:rPr>
            </w:pPr>
            <w:r>
              <w:rPr>
                <w:rFonts w:ascii="Arial" w:cs="Arial" w:eastAsia="Arial" w:hAnsi="Arial"/>
                <w:sz w:val="18"/>
                <w:szCs w:val="18"/>
                <w:color w:val="auto"/>
              </w:rPr>
              <w:t>Mortgage</w:t>
            </w:r>
          </w:p>
        </w:tc>
        <w:tc>
          <w:tcPr>
            <w:tcW w:w="1140" w:type="dxa"/>
            <w:vAlign w:val="bottom"/>
          </w:tcPr>
          <w:p>
            <w:pPr>
              <w:jc w:val="right"/>
              <w:spacing w:after="0"/>
              <w:rPr>
                <w:sz w:val="20"/>
                <w:szCs w:val="20"/>
                <w:color w:val="auto"/>
              </w:rPr>
            </w:pPr>
            <w:r>
              <w:rPr>
                <w:rFonts w:ascii="Arial" w:cs="Arial" w:eastAsia="Arial" w:hAnsi="Arial"/>
                <w:sz w:val="18"/>
                <w:szCs w:val="18"/>
                <w:color w:val="auto"/>
              </w:rPr>
              <w:t>82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12,416</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1,045,108</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r>
      <w:tr>
        <w:trPr>
          <w:trHeight w:val="223"/>
        </w:trPr>
        <w:tc>
          <w:tcPr>
            <w:tcW w:w="598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Installment</w:t>
            </w:r>
          </w:p>
        </w:tc>
        <w:tc>
          <w:tcPr>
            <w:tcW w:w="11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2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524,904</w:t>
            </w: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w:t>
            </w:r>
          </w:p>
        </w:tc>
      </w:tr>
      <w:tr>
        <w:trPr>
          <w:trHeight w:val="216"/>
        </w:trPr>
        <w:tc>
          <w:tcPr>
            <w:tcW w:w="5980" w:type="dxa"/>
            <w:vAlign w:val="bottom"/>
            <w:gridSpan w:val="3"/>
          </w:tcPr>
          <w:p>
            <w:pPr>
              <w:spacing w:after="0"/>
              <w:rPr>
                <w:sz w:val="20"/>
                <w:szCs w:val="20"/>
                <w:color w:val="auto"/>
              </w:rPr>
            </w:pPr>
            <w:r>
              <w:rPr>
                <w:rFonts w:ascii="Arial" w:cs="Arial" w:eastAsia="Arial" w:hAnsi="Arial"/>
                <w:sz w:val="18"/>
                <w:szCs w:val="18"/>
                <w:color w:val="auto"/>
              </w:rPr>
              <w:t>Total</w:t>
            </w:r>
          </w:p>
        </w:tc>
        <w:tc>
          <w:tcPr>
            <w:tcW w:w="1140" w:type="dxa"/>
            <w:vAlign w:val="bottom"/>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12,743</w:t>
            </w:r>
          </w:p>
        </w:tc>
        <w:tc>
          <w:tcPr>
            <w:tcW w:w="2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2,814,559</w:t>
            </w:r>
          </w:p>
        </w:tc>
        <w:tc>
          <w:tcPr>
            <w:tcW w:w="2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0.5%</w:t>
            </w:r>
          </w:p>
        </w:tc>
      </w:tr>
      <w:tr>
        <w:trPr>
          <w:trHeight w:val="21"/>
        </w:trPr>
        <w:tc>
          <w:tcPr>
            <w:tcW w:w="320" w:type="dxa"/>
            <w:vAlign w:val="bottom"/>
          </w:tcPr>
          <w:p>
            <w:pPr>
              <w:spacing w:after="0" w:line="20" w:lineRule="exact"/>
              <w:rPr>
                <w:sz w:val="1"/>
                <w:szCs w:val="1"/>
                <w:color w:val="auto"/>
              </w:rPr>
            </w:pPr>
          </w:p>
        </w:tc>
        <w:tc>
          <w:tcPr>
            <w:tcW w:w="5660" w:type="dxa"/>
            <w:vAlign w:val="bottom"/>
            <w:gridSpan w:val="2"/>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0"/>
        </w:trPr>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Mortgage loans serviced for others(1)</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20,231</w:t>
            </w: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3,142,812</w:t>
            </w:r>
          </w:p>
        </w:tc>
        <w:tc>
          <w:tcPr>
            <w:tcW w:w="2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0.6%</w:t>
            </w:r>
          </w:p>
        </w:tc>
      </w:tr>
      <w:tr>
        <w:trPr>
          <w:trHeight w:val="20"/>
        </w:trPr>
        <w:tc>
          <w:tcPr>
            <w:tcW w:w="320" w:type="dxa"/>
            <w:vAlign w:val="bottom"/>
            <w:tcBorders>
              <w:top w:val="single" w:sz="8" w:color="CCEEFF"/>
            </w:tcBorders>
            <w:shd w:val="clear" w:color="auto" w:fill="CCEEFF"/>
          </w:tcPr>
          <w:p>
            <w:pPr>
              <w:spacing w:after="0" w:line="20" w:lineRule="exact"/>
              <w:rPr>
                <w:sz w:val="1"/>
                <w:szCs w:val="1"/>
                <w:color w:val="auto"/>
              </w:rPr>
            </w:pPr>
          </w:p>
        </w:tc>
        <w:tc>
          <w:tcPr>
            <w:tcW w:w="55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ind w:right="4720" w:firstLine="8"/>
        <w:spacing w:after="0" w:line="532" w:lineRule="auto"/>
        <w:tabs>
          <w:tab w:leader="none" w:pos="324"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have delegated authority from all investors to grant these deferrals on their behalf. A summary of our Portfolio Loans follows:</w:t>
      </w: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ind w:left="80"/>
              <w:spacing w:after="0"/>
              <w:rPr>
                <w:sz w:val="20"/>
                <w:szCs w:val="20"/>
                <w:color w:val="auto"/>
              </w:rPr>
            </w:pPr>
            <w:r>
              <w:rPr>
                <w:rFonts w:ascii="Arial" w:cs="Arial" w:eastAsia="Arial" w:hAnsi="Arial"/>
                <w:sz w:val="18"/>
                <w:szCs w:val="18"/>
                <w:color w:val="auto"/>
              </w:rPr>
              <w:t>June 30,</w:t>
            </w:r>
          </w:p>
        </w:tc>
        <w:tc>
          <w:tcPr>
            <w:tcW w:w="1220" w:type="dxa"/>
            <w:vAlign w:val="bottom"/>
            <w:gridSpan w:val="3"/>
          </w:tcPr>
          <w:p>
            <w:pPr>
              <w:ind w:left="6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8680" w:type="dxa"/>
            <w:vAlign w:val="bottom"/>
            <w:vMerge w:val="restart"/>
          </w:tcPr>
          <w:p>
            <w:pPr>
              <w:spacing w:after="0"/>
              <w:rPr>
                <w:sz w:val="20"/>
                <w:szCs w:val="20"/>
                <w:color w:val="auto"/>
              </w:rPr>
            </w:pPr>
            <w:r>
              <w:rPr>
                <w:rFonts w:ascii="Arial" w:cs="Arial" w:eastAsia="Arial" w:hAnsi="Arial"/>
                <w:sz w:val="18"/>
                <w:szCs w:val="18"/>
                <w:color w:val="auto"/>
              </w:rPr>
              <w:t>Real estate(1)</w:t>
            </w:r>
          </w:p>
        </w:tc>
        <w:tc>
          <w:tcPr>
            <w:tcW w:w="180" w:type="dxa"/>
            <w:vAlign w:val="bottom"/>
          </w:tcPr>
          <w:p>
            <w:pPr>
              <w:spacing w:after="0"/>
              <w:rPr>
                <w:sz w:val="20"/>
                <w:szCs w:val="20"/>
                <w:color w:val="auto"/>
              </w:rPr>
            </w:pPr>
          </w:p>
        </w:tc>
        <w:tc>
          <w:tcPr>
            <w:tcW w:w="940" w:type="dxa"/>
            <w:vAlign w:val="bottom"/>
          </w:tcPr>
          <w:p>
            <w:pPr>
              <w:jc w:val="right"/>
              <w:ind w:right="130"/>
              <w:spacing w:after="0"/>
              <w:rPr>
                <w:sz w:val="20"/>
                <w:szCs w:val="20"/>
                <w:color w:val="auto"/>
              </w:rPr>
            </w:pPr>
            <w:r>
              <w:rPr>
                <w:rFonts w:ascii="Arial" w:cs="Arial" w:eastAsia="Arial" w:hAnsi="Arial"/>
                <w:sz w:val="18"/>
                <w:szCs w:val="18"/>
                <w:b w:val="1"/>
                <w:bCs w:val="1"/>
                <w:color w:val="auto"/>
              </w:rPr>
              <w:t>(In</w:t>
            </w:r>
          </w:p>
        </w:tc>
        <w:tc>
          <w:tcPr>
            <w:tcW w:w="1340" w:type="dxa"/>
            <w:vAlign w:val="bottom"/>
            <w:gridSpan w:val="3"/>
          </w:tcPr>
          <w:p>
            <w:pPr>
              <w:jc w:val="right"/>
              <w:ind w:right="590"/>
              <w:spacing w:after="0"/>
              <w:rPr>
                <w:sz w:val="20"/>
                <w:szCs w:val="20"/>
                <w:color w:val="auto"/>
              </w:rPr>
            </w:pPr>
            <w:r>
              <w:rPr>
                <w:rFonts w:ascii="Arial" w:cs="Arial" w:eastAsia="Arial" w:hAnsi="Arial"/>
                <w:sz w:val="16"/>
                <w:szCs w:val="16"/>
                <w:b w:val="1"/>
                <w:bCs w:val="1"/>
                <w:color w:val="auto"/>
                <w:w w:val="74"/>
              </w:rPr>
              <w:t>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86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Residential first mortgages</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818,540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792,762</w:t>
            </w:r>
          </w:p>
        </w:tc>
        <w:tc>
          <w:tcPr>
            <w:tcW w:w="0" w:type="dxa"/>
            <w:vAlign w:val="bottom"/>
          </w:tcPr>
          <w:p>
            <w:pPr>
              <w:spacing w:after="0"/>
              <w:rPr>
                <w:sz w:val="1"/>
                <w:szCs w:val="1"/>
                <w:color w:val="auto"/>
              </w:rPr>
            </w:pP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color w:val="auto"/>
              </w:rPr>
              <w:t>Residential home equity and other junior mortgages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124,184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138,128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Construction and land development</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234,181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232,693</w:t>
            </w:r>
          </w:p>
        </w:tc>
        <w:tc>
          <w:tcPr>
            <w:tcW w:w="0" w:type="dxa"/>
            <w:vAlign w:val="bottom"/>
          </w:tcPr>
          <w:p>
            <w:pPr>
              <w:spacing w:after="0"/>
              <w:rPr>
                <w:sz w:val="1"/>
                <w:szCs w:val="1"/>
                <w:color w:val="auto"/>
              </w:rPr>
            </w:pP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color w:val="auto"/>
              </w:rPr>
              <w:t>Other(2)</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675,207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669,150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Consumer</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519,621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468,090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Commercial</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438,463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429,011</w:t>
            </w: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Agricultural</w:t>
            </w: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4,363</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color w:val="auto"/>
              </w:rPr>
              <w:t>Total loans</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2,814,559</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2,733,678</w:t>
            </w: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85725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57250" cy="1714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340" w:hanging="332"/>
        <w:spacing w:after="0"/>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Includes both residential and non-residential commercial loans secured by real estate.</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Includes loans secured by multi-family residential and non-farm, non-residential property.</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161"/>
        </w:trPr>
        <w:tc>
          <w:tcPr>
            <w:tcW w:w="8600" w:type="dxa"/>
            <w:vAlign w:val="bottom"/>
            <w:gridSpan w:val="2"/>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548"/>
        </w:trPr>
        <w:tc>
          <w:tcPr>
            <w:tcW w:w="860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Non-performing assets </w:t>
            </w:r>
            <w:r>
              <w:rPr>
                <w:rFonts w:ascii="Arial" w:cs="Arial" w:eastAsia="Arial" w:hAnsi="Arial"/>
                <w:sz w:val="29"/>
                <w:szCs w:val="29"/>
                <w:b w:val="1"/>
                <w:bCs w:val="1"/>
                <w:color w:val="auto"/>
                <w:vertAlign w:val="superscript"/>
              </w:rPr>
              <w:t>(1)</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22"/>
        </w:trPr>
        <w:tc>
          <w:tcPr>
            <w:tcW w:w="320" w:type="dxa"/>
            <w:vAlign w:val="bottom"/>
          </w:tcPr>
          <w:p>
            <w:pPr>
              <w:spacing w:after="0"/>
              <w:rPr>
                <w:sz w:val="24"/>
                <w:szCs w:val="24"/>
                <w:color w:val="auto"/>
              </w:rPr>
            </w:pPr>
          </w:p>
        </w:tc>
        <w:tc>
          <w:tcPr>
            <w:tcW w:w="8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gridSpan w:val="3"/>
          </w:tcPr>
          <w:p>
            <w:pPr>
              <w:jc w:val="right"/>
              <w:ind w:right="540"/>
              <w:spacing w:after="0"/>
              <w:rPr>
                <w:sz w:val="20"/>
                <w:szCs w:val="20"/>
                <w:color w:val="auto"/>
              </w:rPr>
            </w:pPr>
            <w:r>
              <w:rPr>
                <w:rFonts w:ascii="Arial" w:cs="Arial" w:eastAsia="Arial" w:hAnsi="Arial"/>
                <w:sz w:val="18"/>
                <w:szCs w:val="18"/>
                <w:color w:val="auto"/>
                <w:w w:val="95"/>
              </w:rPr>
              <w:t>June 30,</w:t>
            </w:r>
          </w:p>
        </w:tc>
        <w:tc>
          <w:tcPr>
            <w:tcW w:w="1260" w:type="dxa"/>
            <w:vAlign w:val="bottom"/>
            <w:gridSpan w:val="3"/>
          </w:tcPr>
          <w:p>
            <w:pPr>
              <w:ind w:left="40"/>
              <w:spacing w:after="0"/>
              <w:rPr>
                <w:sz w:val="20"/>
                <w:szCs w:val="20"/>
                <w:color w:val="auto"/>
              </w:rPr>
            </w:pPr>
            <w:r>
              <w:rPr>
                <w:rFonts w:ascii="Arial" w:cs="Arial" w:eastAsia="Arial" w:hAnsi="Arial"/>
                <w:sz w:val="18"/>
                <w:szCs w:val="18"/>
                <w:color w:val="auto"/>
              </w:rPr>
              <w:t>December 31,</w:t>
            </w:r>
          </w:p>
        </w:tc>
      </w:tr>
      <w:tr>
        <w:trPr>
          <w:trHeight w:val="237"/>
        </w:trPr>
        <w:tc>
          <w:tcPr>
            <w:tcW w:w="320" w:type="dxa"/>
            <w:vAlign w:val="bottom"/>
          </w:tcPr>
          <w:p>
            <w:pPr>
              <w:spacing w:after="0"/>
              <w:rPr>
                <w:sz w:val="20"/>
                <w:szCs w:val="20"/>
                <w:color w:val="auto"/>
              </w:rPr>
            </w:pPr>
          </w:p>
        </w:tc>
        <w:tc>
          <w:tcPr>
            <w:tcW w:w="8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160" w:type="dxa"/>
            <w:vAlign w:val="bottom"/>
          </w:tcPr>
          <w:p>
            <w:pPr>
              <w:spacing w:after="0"/>
              <w:rPr>
                <w:sz w:val="20"/>
                <w:szCs w:val="20"/>
                <w:color w:val="auto"/>
              </w:rPr>
            </w:pPr>
          </w:p>
        </w:tc>
      </w:tr>
      <w:tr>
        <w:trPr>
          <w:trHeight w:val="216"/>
        </w:trPr>
        <w:tc>
          <w:tcPr>
            <w:tcW w:w="320" w:type="dxa"/>
            <w:vAlign w:val="bottom"/>
          </w:tcPr>
          <w:p>
            <w:pPr>
              <w:spacing w:after="0"/>
              <w:rPr>
                <w:sz w:val="18"/>
                <w:szCs w:val="18"/>
                <w:color w:val="auto"/>
              </w:rPr>
            </w:pPr>
          </w:p>
        </w:tc>
        <w:tc>
          <w:tcPr>
            <w:tcW w:w="8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(Dollars</w:t>
            </w:r>
          </w:p>
        </w:tc>
        <w:tc>
          <w:tcPr>
            <w:tcW w:w="280" w:type="dxa"/>
            <w:vAlign w:val="bottom"/>
            <w:gridSpan w:val="2"/>
          </w:tcPr>
          <w:p>
            <w:pPr>
              <w:jc w:val="right"/>
              <w:ind w:right="160"/>
              <w:spacing w:after="0"/>
              <w:rPr>
                <w:sz w:val="20"/>
                <w:szCs w:val="20"/>
                <w:color w:val="auto"/>
              </w:rPr>
            </w:pPr>
            <w:r>
              <w:rPr>
                <w:rFonts w:ascii="Arial" w:cs="Arial" w:eastAsia="Arial" w:hAnsi="Arial"/>
                <w:sz w:val="18"/>
                <w:szCs w:val="18"/>
                <w:color w:val="auto"/>
                <w:w w:val="71"/>
              </w:rPr>
              <w:t>in</w:t>
            </w:r>
          </w:p>
        </w:tc>
        <w:tc>
          <w:tcPr>
            <w:tcW w:w="1100" w:type="dxa"/>
            <w:vAlign w:val="bottom"/>
            <w:gridSpan w:val="2"/>
          </w:tcPr>
          <w:p>
            <w:pPr>
              <w:spacing w:after="0"/>
              <w:rPr>
                <w:sz w:val="20"/>
                <w:szCs w:val="20"/>
                <w:color w:val="auto"/>
              </w:rPr>
            </w:pPr>
            <w:r>
              <w:rPr>
                <w:rFonts w:ascii="Arial" w:cs="Arial" w:eastAsia="Arial" w:hAnsi="Arial"/>
                <w:sz w:val="18"/>
                <w:szCs w:val="18"/>
                <w:color w:val="auto"/>
              </w:rPr>
              <w:t>thousands)</w:t>
            </w:r>
          </w:p>
        </w:tc>
        <w:tc>
          <w:tcPr>
            <w:tcW w:w="160" w:type="dxa"/>
            <w:vAlign w:val="bottom"/>
          </w:tcPr>
          <w:p>
            <w:pPr>
              <w:spacing w:after="0"/>
              <w:rPr>
                <w:sz w:val="18"/>
                <w:szCs w:val="18"/>
                <w:color w:val="auto"/>
              </w:rPr>
            </w:pPr>
          </w:p>
        </w:tc>
      </w:tr>
      <w:tr>
        <w:trPr>
          <w:trHeight w:val="216"/>
        </w:trPr>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Non-accrual loans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5,531</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8,312</w:t>
            </w:r>
          </w:p>
        </w:tc>
      </w:tr>
      <w:tr>
        <w:trPr>
          <w:trHeight w:val="223"/>
        </w:trPr>
        <w:tc>
          <w:tcPr>
            <w:tcW w:w="8600" w:type="dxa"/>
            <w:vAlign w:val="bottom"/>
            <w:gridSpan w:val="2"/>
          </w:tcPr>
          <w:p>
            <w:pPr>
              <w:spacing w:after="0"/>
              <w:rPr>
                <w:sz w:val="20"/>
                <w:szCs w:val="20"/>
                <w:color w:val="auto"/>
              </w:rPr>
            </w:pPr>
            <w:r>
              <w:rPr>
                <w:rFonts w:ascii="Arial" w:cs="Arial" w:eastAsia="Arial" w:hAnsi="Arial"/>
                <w:sz w:val="18"/>
                <w:szCs w:val="18"/>
                <w:color w:val="auto"/>
              </w:rPr>
              <w:t>Loans 90 days or more past due and still accruing interest</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320" w:type="dxa"/>
            <w:vAlign w:val="bottom"/>
            <w:shd w:val="clear" w:color="auto" w:fill="CCEEFF"/>
          </w:tcPr>
          <w:p>
            <w:pPr>
              <w:spacing w:after="0"/>
              <w:rPr>
                <w:sz w:val="18"/>
                <w:szCs w:val="18"/>
                <w:color w:val="auto"/>
              </w:rPr>
            </w:pPr>
          </w:p>
        </w:tc>
        <w:tc>
          <w:tcPr>
            <w:tcW w:w="8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Subtotal</w:t>
            </w: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5,545</w:t>
            </w:r>
          </w:p>
        </w:tc>
        <w:tc>
          <w:tcPr>
            <w:tcW w:w="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8,312</w:t>
            </w:r>
          </w:p>
        </w:tc>
        <w:tc>
          <w:tcPr>
            <w:tcW w:w="160" w:type="dxa"/>
            <w:vAlign w:val="bottom"/>
            <w:shd w:val="clear" w:color="auto" w:fill="CCEEFF"/>
          </w:tcPr>
          <w:p>
            <w:pPr>
              <w:spacing w:after="0"/>
              <w:rPr>
                <w:sz w:val="18"/>
                <w:szCs w:val="18"/>
                <w:color w:val="auto"/>
              </w:rPr>
            </w:pPr>
          </w:p>
        </w:tc>
      </w:tr>
      <w:tr>
        <w:trPr>
          <w:trHeight w:val="223"/>
        </w:trPr>
        <w:tc>
          <w:tcPr>
            <w:tcW w:w="8600" w:type="dxa"/>
            <w:vAlign w:val="bottom"/>
            <w:gridSpan w:val="2"/>
          </w:tcPr>
          <w:p>
            <w:pPr>
              <w:spacing w:after="0"/>
              <w:rPr>
                <w:sz w:val="20"/>
                <w:szCs w:val="20"/>
                <w:color w:val="auto"/>
              </w:rPr>
            </w:pPr>
            <w:r>
              <w:rPr>
                <w:rFonts w:ascii="Arial" w:cs="Arial" w:eastAsia="Arial" w:hAnsi="Arial"/>
                <w:sz w:val="18"/>
                <w:szCs w:val="18"/>
                <w:color w:val="auto"/>
              </w:rPr>
              <w:t>Less: Government guaranteed loans</w:t>
            </w:r>
          </w:p>
        </w:tc>
        <w:tc>
          <w:tcPr>
            <w:tcW w:w="16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427</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439</w:t>
            </w:r>
          </w:p>
        </w:tc>
      </w:tr>
      <w:tr>
        <w:trPr>
          <w:trHeight w:val="216"/>
        </w:trPr>
        <w:tc>
          <w:tcPr>
            <w:tcW w:w="320" w:type="dxa"/>
            <w:vAlign w:val="bottom"/>
            <w:shd w:val="clear" w:color="auto" w:fill="CCEEFF"/>
          </w:tcPr>
          <w:p>
            <w:pPr>
              <w:spacing w:after="0"/>
              <w:rPr>
                <w:sz w:val="18"/>
                <w:szCs w:val="18"/>
                <w:color w:val="auto"/>
              </w:rPr>
            </w:pPr>
          </w:p>
        </w:tc>
        <w:tc>
          <w:tcPr>
            <w:tcW w:w="8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Total non-performing loans</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5,118</w:t>
            </w:r>
          </w:p>
        </w:tc>
        <w:tc>
          <w:tcPr>
            <w:tcW w:w="2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7,873</w:t>
            </w:r>
          </w:p>
        </w:tc>
        <w:tc>
          <w:tcPr>
            <w:tcW w:w="160" w:type="dxa"/>
            <w:vAlign w:val="bottom"/>
            <w:shd w:val="clear" w:color="auto" w:fill="CCEEFF"/>
          </w:tcPr>
          <w:p>
            <w:pPr>
              <w:spacing w:after="0"/>
              <w:rPr>
                <w:sz w:val="18"/>
                <w:szCs w:val="18"/>
                <w:color w:val="auto"/>
              </w:rPr>
            </w:pPr>
          </w:p>
        </w:tc>
      </w:tr>
      <w:tr>
        <w:trPr>
          <w:trHeight w:val="223"/>
        </w:trPr>
        <w:tc>
          <w:tcPr>
            <w:tcW w:w="8600" w:type="dxa"/>
            <w:vAlign w:val="bottom"/>
            <w:gridSpan w:val="2"/>
          </w:tcPr>
          <w:p>
            <w:pPr>
              <w:spacing w:after="0"/>
              <w:rPr>
                <w:sz w:val="20"/>
                <w:szCs w:val="20"/>
                <w:color w:val="auto"/>
              </w:rPr>
            </w:pPr>
            <w:r>
              <w:rPr>
                <w:rFonts w:ascii="Arial" w:cs="Arial" w:eastAsia="Arial" w:hAnsi="Arial"/>
                <w:sz w:val="18"/>
                <w:szCs w:val="18"/>
                <w:color w:val="auto"/>
              </w:rPr>
              <w:t>Other real estate and repossessed assets</w:t>
            </w:r>
          </w:p>
        </w:tc>
        <w:tc>
          <w:tcPr>
            <w:tcW w:w="16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296</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766</w:t>
            </w:r>
          </w:p>
        </w:tc>
      </w:tr>
      <w:tr>
        <w:trPr>
          <w:trHeight w:val="257"/>
        </w:trPr>
        <w:tc>
          <w:tcPr>
            <w:tcW w:w="320" w:type="dxa"/>
            <w:vAlign w:val="bottom"/>
            <w:tcBorders>
              <w:bottom w:val="single" w:sz="8" w:color="CCEEFF"/>
            </w:tcBorders>
            <w:shd w:val="clear" w:color="auto" w:fill="CCEEFF"/>
          </w:tcPr>
          <w:p>
            <w:pPr>
              <w:spacing w:after="0"/>
              <w:rPr>
                <w:sz w:val="22"/>
                <w:szCs w:val="22"/>
                <w:color w:val="auto"/>
              </w:rPr>
            </w:pPr>
          </w:p>
        </w:tc>
        <w:tc>
          <w:tcPr>
            <w:tcW w:w="8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Total non-performing assets</w:t>
            </w: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5,414</w:t>
            </w:r>
          </w:p>
        </w:tc>
        <w:tc>
          <w:tcPr>
            <w:tcW w:w="20" w:type="dxa"/>
            <w:vAlign w:val="bottom"/>
            <w:tcBorders>
              <w:top w:val="single" w:sz="8" w:color="auto"/>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8,639</w:t>
            </w:r>
          </w:p>
        </w:tc>
        <w:tc>
          <w:tcPr>
            <w:tcW w:w="160" w:type="dxa"/>
            <w:vAlign w:val="bottom"/>
            <w:tcBorders>
              <w:bottom w:val="single" w:sz="8" w:color="CCEEFF"/>
            </w:tcBorders>
            <w:shd w:val="clear" w:color="auto" w:fill="CCEEFF"/>
          </w:tcPr>
          <w:p>
            <w:pPr>
              <w:spacing w:after="0"/>
              <w:rPr>
                <w:sz w:val="22"/>
                <w:szCs w:val="22"/>
                <w:color w:val="auto"/>
              </w:rPr>
            </w:pPr>
          </w:p>
        </w:tc>
      </w:tr>
      <w:tr>
        <w:trPr>
          <w:trHeight w:val="209"/>
        </w:trPr>
        <w:tc>
          <w:tcPr>
            <w:tcW w:w="320" w:type="dxa"/>
            <w:vAlign w:val="bottom"/>
          </w:tcPr>
          <w:p>
            <w:pPr>
              <w:spacing w:after="0"/>
              <w:rPr>
                <w:sz w:val="18"/>
                <w:szCs w:val="18"/>
                <w:color w:val="auto"/>
              </w:rPr>
            </w:pPr>
          </w:p>
        </w:tc>
        <w:tc>
          <w:tcPr>
            <w:tcW w:w="8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 a percent of Portfolio Loans</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8600" w:type="dxa"/>
            <w:vAlign w:val="bottom"/>
            <w:gridSpan w:val="2"/>
          </w:tcPr>
          <w:p>
            <w:pPr>
              <w:ind w:left="140"/>
              <w:spacing w:after="0"/>
              <w:rPr>
                <w:sz w:val="20"/>
                <w:szCs w:val="20"/>
                <w:color w:val="auto"/>
              </w:rPr>
            </w:pPr>
            <w:r>
              <w:rPr>
                <w:rFonts w:ascii="Arial" w:cs="Arial" w:eastAsia="Arial" w:hAnsi="Arial"/>
                <w:sz w:val="18"/>
                <w:szCs w:val="18"/>
                <w:color w:val="auto"/>
              </w:rPr>
              <w:t>Non-performing loans</w:t>
            </w:r>
          </w:p>
        </w:tc>
        <w:tc>
          <w:tcPr>
            <w:tcW w:w="160" w:type="dxa"/>
            <w:vAlign w:val="bottom"/>
          </w:tcPr>
          <w:p>
            <w:pPr>
              <w:spacing w:after="0"/>
              <w:rPr>
                <w:sz w:val="18"/>
                <w:szCs w:val="18"/>
                <w:color w:val="auto"/>
              </w:rPr>
            </w:pPr>
          </w:p>
        </w:tc>
        <w:tc>
          <w:tcPr>
            <w:tcW w:w="1220" w:type="dxa"/>
            <w:vAlign w:val="bottom"/>
            <w:gridSpan w:val="3"/>
          </w:tcPr>
          <w:p>
            <w:pPr>
              <w:jc w:val="right"/>
              <w:ind w:right="120"/>
              <w:spacing w:after="0"/>
              <w:rPr>
                <w:sz w:val="20"/>
                <w:szCs w:val="20"/>
                <w:color w:val="auto"/>
              </w:rPr>
            </w:pPr>
            <w:r>
              <w:rPr>
                <w:rFonts w:ascii="Arial" w:cs="Arial" w:eastAsia="Arial" w:hAnsi="Arial"/>
                <w:sz w:val="18"/>
                <w:szCs w:val="18"/>
                <w:color w:val="auto"/>
              </w:rPr>
              <w:t>0.18%</w:t>
            </w: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0.29%</w:t>
            </w:r>
          </w:p>
        </w:tc>
      </w:tr>
      <w:tr>
        <w:trPr>
          <w:trHeight w:val="216"/>
        </w:trPr>
        <w:tc>
          <w:tcPr>
            <w:tcW w:w="8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Allowance for credit losses</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1.30</w:t>
            </w:r>
          </w:p>
        </w:tc>
      </w:tr>
      <w:tr>
        <w:trPr>
          <w:trHeight w:val="216"/>
        </w:trPr>
        <w:tc>
          <w:tcPr>
            <w:tcW w:w="8600" w:type="dxa"/>
            <w:vAlign w:val="bottom"/>
            <w:gridSpan w:val="2"/>
          </w:tcPr>
          <w:p>
            <w:pPr>
              <w:spacing w:after="0"/>
              <w:rPr>
                <w:sz w:val="20"/>
                <w:szCs w:val="20"/>
                <w:color w:val="auto"/>
              </w:rPr>
            </w:pPr>
            <w:r>
              <w:rPr>
                <w:rFonts w:ascii="Arial" w:cs="Arial" w:eastAsia="Arial" w:hAnsi="Arial"/>
                <w:sz w:val="18"/>
                <w:szCs w:val="18"/>
                <w:color w:val="auto"/>
              </w:rPr>
              <w:t>Non-performing assets to total assets</w:t>
            </w:r>
          </w:p>
        </w:tc>
        <w:tc>
          <w:tcPr>
            <w:tcW w:w="1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0.12</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0.21</w:t>
            </w:r>
          </w:p>
        </w:tc>
      </w:tr>
      <w:tr>
        <w:trPr>
          <w:trHeight w:val="216"/>
        </w:trPr>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Allowance for credit losses as a percent of non-performing loans</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897.34</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450.01</w:t>
            </w:r>
          </w:p>
        </w:tc>
      </w:tr>
    </w:tbl>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390"/>
        </w:trPr>
        <w:tc>
          <w:tcPr>
            <w:tcW w:w="6060" w:type="dxa"/>
            <w:vAlign w:val="bottom"/>
            <w:gridSpan w:val="2"/>
          </w:tcPr>
          <w:p>
            <w:pPr>
              <w:spacing w:after="0"/>
              <w:rPr>
                <w:sz w:val="20"/>
                <w:szCs w:val="20"/>
                <w:color w:val="auto"/>
              </w:rPr>
            </w:pPr>
            <w:r>
              <w:rPr>
                <w:rFonts w:ascii="Arial" w:cs="Arial" w:eastAsia="Arial" w:hAnsi="Arial"/>
                <w:sz w:val="29"/>
                <w:szCs w:val="29"/>
                <w:color w:val="auto"/>
                <w:w w:val="92"/>
                <w:vertAlign w:val="superscript"/>
              </w:rPr>
              <w:t>(1)</w:t>
            </w:r>
            <w:r>
              <w:rPr>
                <w:rFonts w:ascii="Arial" w:cs="Arial" w:eastAsia="Arial" w:hAnsi="Arial"/>
                <w:sz w:val="18"/>
                <w:szCs w:val="18"/>
                <w:color w:val="auto"/>
                <w:w w:val="92"/>
              </w:rPr>
              <w:t xml:space="preserve"> Excludes loans classified as "troubled debt restructured" that are not past due.</w:t>
            </w: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36"/>
        </w:trPr>
        <w:tc>
          <w:tcPr>
            <w:tcW w:w="5760" w:type="dxa"/>
            <w:vAlign w:val="bottom"/>
          </w:tcPr>
          <w:p>
            <w:pPr>
              <w:spacing w:after="0"/>
              <w:rPr>
                <w:sz w:val="20"/>
                <w:szCs w:val="20"/>
                <w:color w:val="auto"/>
              </w:rPr>
            </w:pPr>
            <w:r>
              <w:rPr>
                <w:rFonts w:ascii="Arial" w:cs="Arial" w:eastAsia="Arial" w:hAnsi="Arial"/>
                <w:sz w:val="18"/>
                <w:szCs w:val="18"/>
                <w:b w:val="1"/>
                <w:bCs w:val="1"/>
                <w:color w:val="auto"/>
              </w:rPr>
              <w:t>Troubled debt restructurings ("TDR")</w:t>
            </w: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66"/>
        </w:trPr>
        <w:tc>
          <w:tcPr>
            <w:tcW w:w="57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6"/>
              </w:rPr>
              <w:t>June 30, 2021</w:t>
            </w: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64"/>
        </w:trPr>
        <w:tc>
          <w:tcPr>
            <w:tcW w:w="5760" w:type="dxa"/>
            <w:vAlign w:val="bottom"/>
          </w:tcPr>
          <w:p>
            <w:pPr>
              <w:spacing w:after="0"/>
              <w:rPr>
                <w:sz w:val="22"/>
                <w:szCs w:val="22"/>
                <w:color w:val="auto"/>
              </w:rPr>
            </w:pPr>
          </w:p>
        </w:tc>
        <w:tc>
          <w:tcPr>
            <w:tcW w:w="1060" w:type="dxa"/>
            <w:vAlign w:val="bottom"/>
            <w:gridSpan w:val="3"/>
          </w:tcPr>
          <w:p>
            <w:pPr>
              <w:spacing w:after="0"/>
              <w:rPr>
                <w:sz w:val="20"/>
                <w:szCs w:val="20"/>
                <w:color w:val="auto"/>
              </w:rPr>
            </w:pPr>
            <w:r>
              <w:rPr>
                <w:rFonts w:ascii="Arial" w:cs="Arial" w:eastAsia="Arial" w:hAnsi="Arial"/>
                <w:sz w:val="18"/>
                <w:szCs w:val="18"/>
                <w:color w:val="auto"/>
              </w:rPr>
              <w:t>Commercial</w:t>
            </w:r>
          </w:p>
        </w:tc>
        <w:tc>
          <w:tcPr>
            <w:tcW w:w="100" w:type="dxa"/>
            <w:vAlign w:val="bottom"/>
          </w:tcPr>
          <w:p>
            <w:pPr>
              <w:spacing w:after="0"/>
              <w:rPr>
                <w:sz w:val="22"/>
                <w:szCs w:val="22"/>
                <w:color w:val="auto"/>
              </w:rPr>
            </w:pPr>
          </w:p>
        </w:tc>
        <w:tc>
          <w:tcPr>
            <w:tcW w:w="1020" w:type="dxa"/>
            <w:vAlign w:val="bottom"/>
            <w:gridSpan w:val="2"/>
          </w:tcPr>
          <w:p>
            <w:pPr>
              <w:jc w:val="right"/>
              <w:ind w:right="360"/>
              <w:spacing w:after="0" w:line="256" w:lineRule="exact"/>
              <w:rPr>
                <w:sz w:val="20"/>
                <w:szCs w:val="20"/>
                <w:color w:val="auto"/>
              </w:rPr>
            </w:pPr>
            <w:r>
              <w:rPr>
                <w:rFonts w:ascii="Arial" w:cs="Arial" w:eastAsia="Arial" w:hAnsi="Arial"/>
                <w:sz w:val="18"/>
                <w:szCs w:val="18"/>
                <w:color w:val="auto"/>
                <w:w w:val="85"/>
              </w:rPr>
              <w:t xml:space="preserve">Retail </w:t>
            </w:r>
            <w:r>
              <w:rPr>
                <w:rFonts w:ascii="Arial" w:cs="Arial" w:eastAsia="Arial" w:hAnsi="Arial"/>
                <w:sz w:val="29"/>
                <w:szCs w:val="29"/>
                <w:color w:val="auto"/>
                <w:w w:val="85"/>
                <w:vertAlign w:val="superscript"/>
              </w:rPr>
              <w:t>(1)</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Total</w:t>
            </w:r>
          </w:p>
        </w:tc>
      </w:tr>
      <w:tr>
        <w:trPr>
          <w:trHeight w:val="216"/>
        </w:trPr>
        <w:tc>
          <w:tcPr>
            <w:tcW w:w="57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74"/>
              </w:rPr>
              <w:t>(In thousands)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Performing TDR's</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4,948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34,561</w:t>
            </w:r>
          </w:p>
        </w:tc>
        <w:tc>
          <w:tcPr>
            <w:tcW w:w="24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39,509</w:t>
            </w:r>
          </w:p>
        </w:tc>
      </w:tr>
      <w:tr>
        <w:trPr>
          <w:trHeight w:val="263"/>
        </w:trPr>
        <w:tc>
          <w:tcPr>
            <w:tcW w:w="5760" w:type="dxa"/>
            <w:vAlign w:val="bottom"/>
          </w:tcPr>
          <w:p>
            <w:pPr>
              <w:spacing w:after="0" w:line="256" w:lineRule="exact"/>
              <w:rPr>
                <w:sz w:val="20"/>
                <w:szCs w:val="20"/>
                <w:color w:val="auto"/>
              </w:rPr>
            </w:pPr>
            <w:r>
              <w:rPr>
                <w:rFonts w:ascii="Arial" w:cs="Arial" w:eastAsia="Arial" w:hAnsi="Arial"/>
                <w:sz w:val="18"/>
                <w:szCs w:val="18"/>
                <w:color w:val="auto"/>
              </w:rPr>
              <w:t xml:space="preserve">Non-performing TDR's </w:t>
            </w:r>
            <w:r>
              <w:rPr>
                <w:rFonts w:ascii="Arial" w:cs="Arial" w:eastAsia="Arial" w:hAnsi="Arial"/>
                <w:sz w:val="29"/>
                <w:szCs w:val="29"/>
                <w:color w:val="auto"/>
                <w:vertAlign w:val="superscript"/>
              </w:rPr>
              <w:t>(2)</w:t>
            </w:r>
          </w:p>
        </w:tc>
        <w:tc>
          <w:tcPr>
            <w:tcW w:w="3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2"/>
          </w:tcPr>
          <w:p>
            <w:pPr>
              <w:jc w:val="right"/>
              <w:ind w:right="60"/>
              <w:spacing w:after="0" w:line="256" w:lineRule="exact"/>
              <w:rPr>
                <w:sz w:val="20"/>
                <w:szCs w:val="20"/>
                <w:color w:val="auto"/>
              </w:rPr>
            </w:pPr>
            <w:r>
              <w:rPr>
                <w:rFonts w:ascii="Arial" w:cs="Arial" w:eastAsia="Arial" w:hAnsi="Arial"/>
                <w:sz w:val="18"/>
                <w:szCs w:val="18"/>
                <w:color w:val="auto"/>
              </w:rPr>
              <w:t>1,165</w:t>
            </w:r>
            <w:r>
              <w:rPr>
                <w:rFonts w:ascii="Arial" w:cs="Arial" w:eastAsia="Arial" w:hAnsi="Arial"/>
                <w:sz w:val="29"/>
                <w:szCs w:val="29"/>
                <w:color w:val="auto"/>
                <w:vertAlign w:val="superscript"/>
              </w:rPr>
              <w:t>(3)</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1,165</w:t>
            </w:r>
          </w:p>
        </w:tc>
      </w:tr>
      <w:tr>
        <w:trPr>
          <w:trHeight w:val="237"/>
        </w:trPr>
        <w:tc>
          <w:tcPr>
            <w:tcW w:w="5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4,948</w:t>
            </w:r>
          </w:p>
        </w:tc>
        <w:tc>
          <w:tcPr>
            <w:tcW w:w="160" w:type="dxa"/>
            <w:vAlign w:val="bottom"/>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35,726</w:t>
            </w:r>
          </w:p>
        </w:tc>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40,674</w:t>
            </w:r>
          </w:p>
        </w:tc>
        <w:tc>
          <w:tcPr>
            <w:tcW w:w="80" w:type="dxa"/>
            <w:vAlign w:val="bottom"/>
            <w:shd w:val="clear" w:color="auto" w:fill="CCEEFF"/>
          </w:tcPr>
          <w:p>
            <w:pPr>
              <w:spacing w:after="0"/>
              <w:rPr>
                <w:sz w:val="20"/>
                <w:szCs w:val="20"/>
                <w:color w:val="auto"/>
              </w:rPr>
            </w:pPr>
          </w:p>
        </w:tc>
      </w:tr>
      <w:tr>
        <w:trPr>
          <w:trHeight w:val="20"/>
        </w:trPr>
        <w:tc>
          <w:tcPr>
            <w:tcW w:w="57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460"/>
        </w:trPr>
        <w:tc>
          <w:tcPr>
            <w:tcW w:w="57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7"/>
          </w:tcPr>
          <w:p>
            <w:pPr>
              <w:jc w:val="right"/>
              <w:ind w:right="67"/>
              <w:spacing w:after="0"/>
              <w:rPr>
                <w:sz w:val="20"/>
                <w:szCs w:val="20"/>
                <w:color w:val="auto"/>
              </w:rPr>
            </w:pPr>
            <w:r>
              <w:rPr>
                <w:rFonts w:ascii="Arial" w:cs="Arial" w:eastAsia="Arial" w:hAnsi="Arial"/>
                <w:sz w:val="18"/>
                <w:szCs w:val="18"/>
                <w:color w:val="auto"/>
              </w:rPr>
              <w:t>December 31, 2020</w:t>
            </w:r>
          </w:p>
        </w:tc>
        <w:tc>
          <w:tcPr>
            <w:tcW w:w="7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63"/>
        </w:trPr>
        <w:tc>
          <w:tcPr>
            <w:tcW w:w="5760" w:type="dxa"/>
            <w:vAlign w:val="bottom"/>
          </w:tcPr>
          <w:p>
            <w:pPr>
              <w:spacing w:after="0"/>
              <w:rPr>
                <w:sz w:val="22"/>
                <w:szCs w:val="22"/>
                <w:color w:val="auto"/>
              </w:rPr>
            </w:pPr>
          </w:p>
        </w:tc>
        <w:tc>
          <w:tcPr>
            <w:tcW w:w="1060" w:type="dxa"/>
            <w:vAlign w:val="bottom"/>
            <w:gridSpan w:val="3"/>
          </w:tcPr>
          <w:p>
            <w:pPr>
              <w:spacing w:after="0"/>
              <w:rPr>
                <w:sz w:val="20"/>
                <w:szCs w:val="20"/>
                <w:color w:val="auto"/>
              </w:rPr>
            </w:pPr>
            <w:r>
              <w:rPr>
                <w:rFonts w:ascii="Arial" w:cs="Arial" w:eastAsia="Arial" w:hAnsi="Arial"/>
                <w:sz w:val="18"/>
                <w:szCs w:val="18"/>
                <w:color w:val="auto"/>
              </w:rPr>
              <w:t>Commercial</w:t>
            </w:r>
          </w:p>
        </w:tc>
        <w:tc>
          <w:tcPr>
            <w:tcW w:w="100" w:type="dxa"/>
            <w:vAlign w:val="bottom"/>
          </w:tcPr>
          <w:p>
            <w:pPr>
              <w:spacing w:after="0"/>
              <w:rPr>
                <w:sz w:val="22"/>
                <w:szCs w:val="22"/>
                <w:color w:val="auto"/>
              </w:rPr>
            </w:pPr>
          </w:p>
        </w:tc>
        <w:tc>
          <w:tcPr>
            <w:tcW w:w="1020" w:type="dxa"/>
            <w:vAlign w:val="bottom"/>
            <w:gridSpan w:val="2"/>
          </w:tcPr>
          <w:p>
            <w:pPr>
              <w:jc w:val="right"/>
              <w:ind w:right="360"/>
              <w:spacing w:after="0" w:line="256" w:lineRule="exact"/>
              <w:rPr>
                <w:sz w:val="20"/>
                <w:szCs w:val="20"/>
                <w:color w:val="auto"/>
              </w:rPr>
            </w:pPr>
            <w:r>
              <w:rPr>
                <w:rFonts w:ascii="Arial" w:cs="Arial" w:eastAsia="Arial" w:hAnsi="Arial"/>
                <w:sz w:val="18"/>
                <w:szCs w:val="18"/>
                <w:color w:val="auto"/>
                <w:w w:val="85"/>
              </w:rPr>
              <w:t xml:space="preserve">Retail </w:t>
            </w:r>
            <w:r>
              <w:rPr>
                <w:rFonts w:ascii="Arial" w:cs="Arial" w:eastAsia="Arial" w:hAnsi="Arial"/>
                <w:sz w:val="29"/>
                <w:szCs w:val="29"/>
                <w:color w:val="auto"/>
                <w:w w:val="85"/>
                <w:vertAlign w:val="superscript"/>
              </w:rPr>
              <w:t>(1)</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Total</w:t>
            </w:r>
          </w:p>
        </w:tc>
      </w:tr>
      <w:tr>
        <w:trPr>
          <w:trHeight w:val="216"/>
        </w:trPr>
        <w:tc>
          <w:tcPr>
            <w:tcW w:w="57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74"/>
              </w:rPr>
              <w:t>(In thousands)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Performing TDR's</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7,956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36,385</w:t>
            </w:r>
          </w:p>
        </w:tc>
        <w:tc>
          <w:tcPr>
            <w:tcW w:w="24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44,341</w:t>
            </w:r>
          </w:p>
        </w:tc>
      </w:tr>
      <w:tr>
        <w:trPr>
          <w:trHeight w:val="263"/>
        </w:trPr>
        <w:tc>
          <w:tcPr>
            <w:tcW w:w="5760" w:type="dxa"/>
            <w:vAlign w:val="bottom"/>
          </w:tcPr>
          <w:p>
            <w:pPr>
              <w:spacing w:after="0" w:line="256" w:lineRule="exact"/>
              <w:rPr>
                <w:sz w:val="20"/>
                <w:szCs w:val="20"/>
                <w:color w:val="auto"/>
              </w:rPr>
            </w:pPr>
            <w:r>
              <w:rPr>
                <w:rFonts w:ascii="Arial" w:cs="Arial" w:eastAsia="Arial" w:hAnsi="Arial"/>
                <w:sz w:val="18"/>
                <w:szCs w:val="18"/>
                <w:color w:val="auto"/>
              </w:rPr>
              <w:t xml:space="preserve">Non-performing TDR's </w:t>
            </w:r>
            <w:r>
              <w:rPr>
                <w:rFonts w:ascii="Arial" w:cs="Arial" w:eastAsia="Arial" w:hAnsi="Arial"/>
                <w:sz w:val="29"/>
                <w:szCs w:val="29"/>
                <w:color w:val="auto"/>
                <w:vertAlign w:val="superscript"/>
              </w:rPr>
              <w:t>(2)</w:t>
            </w:r>
          </w:p>
        </w:tc>
        <w:tc>
          <w:tcPr>
            <w:tcW w:w="3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1,148</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2"/>
          </w:tcPr>
          <w:p>
            <w:pPr>
              <w:jc w:val="right"/>
              <w:ind w:right="60"/>
              <w:spacing w:after="0" w:line="256" w:lineRule="exact"/>
              <w:rPr>
                <w:sz w:val="20"/>
                <w:szCs w:val="20"/>
                <w:color w:val="auto"/>
              </w:rPr>
            </w:pPr>
            <w:r>
              <w:rPr>
                <w:rFonts w:ascii="Arial" w:cs="Arial" w:eastAsia="Arial" w:hAnsi="Arial"/>
                <w:sz w:val="18"/>
                <w:szCs w:val="18"/>
                <w:color w:val="auto"/>
              </w:rPr>
              <w:t>1,584</w:t>
            </w:r>
            <w:r>
              <w:rPr>
                <w:rFonts w:ascii="Arial" w:cs="Arial" w:eastAsia="Arial" w:hAnsi="Arial"/>
                <w:sz w:val="29"/>
                <w:szCs w:val="29"/>
                <w:color w:val="auto"/>
                <w:vertAlign w:val="superscript"/>
              </w:rPr>
              <w:t>(3)</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2,732</w:t>
            </w:r>
          </w:p>
        </w:tc>
      </w:tr>
      <w:tr>
        <w:trPr>
          <w:trHeight w:val="237"/>
        </w:trPr>
        <w:tc>
          <w:tcPr>
            <w:tcW w:w="5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9,104</w:t>
            </w:r>
          </w:p>
        </w:tc>
        <w:tc>
          <w:tcPr>
            <w:tcW w:w="160" w:type="dxa"/>
            <w:vAlign w:val="bottom"/>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37,969</w:t>
            </w:r>
          </w:p>
        </w:tc>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47,073</w:t>
            </w:r>
          </w:p>
        </w:tc>
        <w:tc>
          <w:tcPr>
            <w:tcW w:w="80" w:type="dxa"/>
            <w:vAlign w:val="bottom"/>
            <w:shd w:val="clear" w:color="auto" w:fill="CCEEFF"/>
          </w:tcPr>
          <w:p>
            <w:pPr>
              <w:spacing w:after="0"/>
              <w:rPr>
                <w:sz w:val="20"/>
                <w:szCs w:val="20"/>
                <w:color w:val="auto"/>
              </w:rPr>
            </w:pPr>
          </w:p>
        </w:tc>
      </w:tr>
      <w:tr>
        <w:trPr>
          <w:trHeight w:val="20"/>
        </w:trPr>
        <w:tc>
          <w:tcPr>
            <w:tcW w:w="57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ind w:left="340" w:hanging="332"/>
        <w:spacing w:after="0"/>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Retail loans include mortgage and installment loan portfolio segments.</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Included in non-performing assets table above.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Also includes loans on non-accrual at the time of modification until six payments are received on a timely basis.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8" w:name="page89"/>
    <w:bookmarkEnd w:id="8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Non-performing loans decreased by $2.8 million since year-end 2020 as all loan categories have declined, reflecting improving economic conditions and the Company’s ongoing collection efforts. Our collection and resolution efforts have generally resulted in a positive trend in non-performing loans. Also see Part II, Item 1A. Risk Factors below regarding the COVID-19 pandemic and the potential negative impact on the level of non-performing loans and assets in the future.</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Non-performing loans exclude performing loans that are classified as TDRs. Performing TDRs totaled $39.5 million, or 1.4% of total Portfolio Loans, and $44.3 million, or 1.6% of total Portfolio Loans, at June 30, 2021 and December 31, 2020, respectively. The decrease in the amount of performing TDRs in the first six months of 2021 reflects a decrease in both commercial and retail performing TDRs.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Other real estate and repossessed assets totaled $0.3 million and $0.8 million at June 30, 2021, and December 31, 2020, respectively.</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will place a loan that is 90 days or more past due on non-accrual, unless we believe the loan is both well secured and in the process of collection. Accordingly, we have determined that the collection of the accrued and unpaid interest on any loans that are 90 days or more past due and still accruing interest is probable.</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reflect activity in our ACL on loans and ACL for unfunded lending commitments as well as the allocation of our ACL on loans.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20" w:type="dxa"/>
            <w:vAlign w:val="bottom"/>
          </w:tcPr>
          <w:p>
            <w:pPr>
              <w:ind w:left="100"/>
              <w:spacing w:after="0"/>
              <w:rPr>
                <w:sz w:val="20"/>
                <w:szCs w:val="20"/>
                <w:color w:val="auto"/>
              </w:rPr>
            </w:pPr>
            <w:r>
              <w:rPr>
                <w:rFonts w:ascii="Arial" w:cs="Arial" w:eastAsia="Arial" w:hAnsi="Arial"/>
                <w:sz w:val="18"/>
                <w:szCs w:val="18"/>
                <w:b w:val="1"/>
                <w:bCs w:val="1"/>
                <w:color w:val="auto"/>
                <w:w w:val="90"/>
              </w:rPr>
              <w:t>Allowance for credit losses on loans and unfunded lending commitments</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5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60" w:type="dxa"/>
            <w:vAlign w:val="bottom"/>
            <w:gridSpan w:val="5"/>
          </w:tcPr>
          <w:p>
            <w:pPr>
              <w:jc w:val="center"/>
              <w:ind w:right="440"/>
              <w:spacing w:after="0"/>
              <w:rPr>
                <w:sz w:val="20"/>
                <w:szCs w:val="20"/>
                <w:color w:val="auto"/>
              </w:rPr>
            </w:pPr>
            <w:r>
              <w:rPr>
                <w:rFonts w:ascii="Arial" w:cs="Arial" w:eastAsia="Arial" w:hAnsi="Arial"/>
                <w:sz w:val="18"/>
                <w:szCs w:val="18"/>
                <w:color w:val="auto"/>
                <w:w w:val="88"/>
              </w:rPr>
              <w:t>Six months ended</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3"/>
            <w:vMerge w:val="restart"/>
          </w:tcPr>
          <w:p>
            <w:pPr>
              <w:jc w:val="right"/>
              <w:ind w:right="30"/>
              <w:spacing w:after="0"/>
              <w:rPr>
                <w:sz w:val="20"/>
                <w:szCs w:val="20"/>
                <w:color w:val="auto"/>
              </w:rPr>
            </w:pPr>
            <w:r>
              <w:rPr>
                <w:rFonts w:ascii="Arial" w:cs="Arial" w:eastAsia="Arial" w:hAnsi="Arial"/>
                <w:sz w:val="18"/>
                <w:szCs w:val="18"/>
                <w:color w:val="auto"/>
              </w:rPr>
              <w:t>2021</w:t>
            </w:r>
          </w:p>
        </w:tc>
        <w:tc>
          <w:tcPr>
            <w:tcW w:w="1440" w:type="dxa"/>
            <w:vAlign w:val="bottom"/>
            <w:gridSpan w:val="3"/>
          </w:tcPr>
          <w:p>
            <w:pPr>
              <w:jc w:val="center"/>
              <w:ind w:left="590"/>
              <w:spacing w:after="0"/>
              <w:rPr>
                <w:sz w:val="20"/>
                <w:szCs w:val="20"/>
                <w:color w:val="auto"/>
              </w:rPr>
            </w:pPr>
            <w:r>
              <w:rPr>
                <w:rFonts w:ascii="Arial" w:cs="Arial" w:eastAsia="Arial" w:hAnsi="Arial"/>
                <w:sz w:val="18"/>
                <w:szCs w:val="18"/>
                <w:color w:val="auto"/>
                <w:w w:val="86"/>
              </w:rPr>
              <w:t>June 30,</w:t>
            </w:r>
          </w:p>
        </w:tc>
        <w:tc>
          <w:tcPr>
            <w:tcW w:w="1260" w:type="dxa"/>
            <w:vAlign w:val="bottom"/>
            <w:gridSpan w:val="3"/>
            <w:vMerge w:val="restart"/>
          </w:tcPr>
          <w:p>
            <w:pPr>
              <w:jc w:val="right"/>
              <w:spacing w:after="0"/>
              <w:rPr>
                <w:sz w:val="20"/>
                <w:szCs w:val="20"/>
                <w:color w:val="auto"/>
              </w:rPr>
            </w:pPr>
            <w:r>
              <w:rPr>
                <w:rFonts w:ascii="Arial" w:cs="Arial" w:eastAsia="Arial" w:hAnsi="Arial"/>
                <w:sz w:val="18"/>
                <w:szCs w:val="18"/>
                <w:color w:val="auto"/>
              </w:rPr>
              <w:t>2020</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vMerge w:val="continue"/>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3"/>
            <w:vMerge w:val="continue"/>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5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ind w:right="110"/>
              <w:spacing w:after="0" w:line="201" w:lineRule="exact"/>
              <w:rPr>
                <w:sz w:val="20"/>
                <w:szCs w:val="20"/>
                <w:color w:val="auto"/>
              </w:rPr>
            </w:pPr>
            <w:r>
              <w:rPr>
                <w:rFonts w:ascii="Arial" w:cs="Arial" w:eastAsia="Arial" w:hAnsi="Arial"/>
                <w:sz w:val="18"/>
                <w:szCs w:val="18"/>
                <w:color w:val="auto"/>
                <w:w w:val="97"/>
              </w:rPr>
              <w:t>Unfunded</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ind w:right="110"/>
              <w:spacing w:after="0" w:line="201" w:lineRule="exact"/>
              <w:rPr>
                <w:sz w:val="20"/>
                <w:szCs w:val="20"/>
                <w:color w:val="auto"/>
              </w:rPr>
            </w:pPr>
            <w:r>
              <w:rPr>
                <w:rFonts w:ascii="Arial" w:cs="Arial" w:eastAsia="Arial" w:hAnsi="Arial"/>
                <w:sz w:val="18"/>
                <w:szCs w:val="18"/>
                <w:color w:val="auto"/>
                <w:w w:val="97"/>
              </w:rPr>
              <w:t>Unfunded</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5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Loans</w:t>
            </w:r>
          </w:p>
        </w:tc>
        <w:tc>
          <w:tcPr>
            <w:tcW w:w="320" w:type="dxa"/>
            <w:vAlign w:val="bottom"/>
          </w:tcPr>
          <w:p>
            <w:pPr>
              <w:spacing w:after="0"/>
              <w:rPr>
                <w:sz w:val="20"/>
                <w:szCs w:val="20"/>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3"/>
              </w:rPr>
              <w:t>Commitments</w:t>
            </w:r>
          </w:p>
        </w:tc>
        <w:tc>
          <w:tcPr>
            <w:tcW w:w="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Loans</w:t>
            </w:r>
          </w:p>
        </w:tc>
        <w:tc>
          <w:tcPr>
            <w:tcW w:w="260" w:type="dxa"/>
            <w:vAlign w:val="bottom"/>
          </w:tcPr>
          <w:p>
            <w:pPr>
              <w:spacing w:after="0"/>
              <w:rPr>
                <w:sz w:val="20"/>
                <w:szCs w:val="20"/>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3"/>
              </w:rPr>
              <w:t>Commitments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60" w:type="dxa"/>
            <w:vAlign w:val="bottom"/>
            <w:gridSpan w:val="5"/>
          </w:tcPr>
          <w:p>
            <w:pPr>
              <w:jc w:val="center"/>
              <w:ind w:right="440"/>
              <w:spacing w:after="0"/>
              <w:rPr>
                <w:sz w:val="20"/>
                <w:szCs w:val="20"/>
                <w:color w:val="auto"/>
              </w:rPr>
            </w:pPr>
            <w:r>
              <w:rPr>
                <w:rFonts w:ascii="Arial" w:cs="Arial" w:eastAsia="Arial" w:hAnsi="Arial"/>
                <w:sz w:val="18"/>
                <w:szCs w:val="18"/>
                <w:color w:val="auto"/>
                <w:w w:val="91"/>
              </w:rPr>
              <w:t>(Dollars in thousands)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3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35,429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1,805</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26,148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1,542</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Additions (deductions)</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Impact of adoption of ASC 326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1,469</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5820" w:type="dxa"/>
            <w:vAlign w:val="bottom"/>
          </w:tcPr>
          <w:p>
            <w:pPr>
              <w:ind w:left="140"/>
              <w:spacing w:after="0" w:line="256" w:lineRule="exact"/>
              <w:rPr>
                <w:sz w:val="20"/>
                <w:szCs w:val="20"/>
                <w:color w:val="auto"/>
              </w:rPr>
            </w:pPr>
            <w:r>
              <w:rPr>
                <w:rFonts w:ascii="Arial" w:cs="Arial" w:eastAsia="Arial" w:hAnsi="Arial"/>
                <w:sz w:val="18"/>
                <w:szCs w:val="18"/>
                <w:color w:val="auto"/>
              </w:rPr>
              <w:t xml:space="preserve">Provision for credit losses </w:t>
            </w:r>
            <w:r>
              <w:rPr>
                <w:rFonts w:ascii="Arial" w:cs="Arial" w:eastAsia="Arial" w:hAnsi="Arial"/>
                <w:sz w:val="29"/>
                <w:szCs w:val="29"/>
                <w:color w:val="auto"/>
                <w:vertAlign w:val="superscript"/>
              </w:rPr>
              <w:t>(1)</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(1,899)</w:t>
            </w:r>
          </w:p>
        </w:tc>
        <w:tc>
          <w:tcPr>
            <w:tcW w:w="14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11,909</w:t>
            </w:r>
          </w:p>
        </w:tc>
        <w:tc>
          <w:tcPr>
            <w:tcW w:w="140" w:type="dxa"/>
            <w:vAlign w:val="bottom"/>
          </w:tcPr>
          <w:p>
            <w:pPr>
              <w:spacing w:after="0"/>
              <w:rPr>
                <w:sz w:val="22"/>
                <w:szCs w:val="22"/>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Initial allowance on loans purchased with credit deterioration</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134</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20" w:type="dxa"/>
            <w:vAlign w:val="bottom"/>
          </w:tcPr>
          <w:p>
            <w:pPr>
              <w:ind w:left="140"/>
              <w:spacing w:after="0"/>
              <w:rPr>
                <w:sz w:val="20"/>
                <w:szCs w:val="20"/>
                <w:color w:val="auto"/>
              </w:rPr>
            </w:pPr>
            <w:r>
              <w:rPr>
                <w:rFonts w:ascii="Arial" w:cs="Arial" w:eastAsia="Arial" w:hAnsi="Arial"/>
                <w:sz w:val="18"/>
                <w:szCs w:val="18"/>
                <w:color w:val="auto"/>
              </w:rPr>
              <w:t>Recoveries credited to allowance</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1,434</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1,754</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Loans charged against the allowance</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(746)</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(5,311)</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820" w:type="dxa"/>
            <w:vAlign w:val="bottom"/>
          </w:tcPr>
          <w:p>
            <w:pPr>
              <w:spacing w:after="0"/>
              <w:rPr>
                <w:sz w:val="20"/>
                <w:szCs w:val="20"/>
                <w:color w:val="auto"/>
              </w:rPr>
            </w:pPr>
            <w:r>
              <w:rPr>
                <w:rFonts w:ascii="Arial" w:cs="Arial" w:eastAsia="Arial" w:hAnsi="Arial"/>
                <w:sz w:val="18"/>
                <w:szCs w:val="18"/>
                <w:color w:val="auto"/>
              </w:rPr>
              <w:t>Additions (recoveries) included in non-interest expense</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19"/>
                <w:szCs w:val="19"/>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57"/>
        </w:trPr>
        <w:tc>
          <w:tcPr>
            <w:tcW w:w="5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end of period</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45,926</w:t>
            </w:r>
          </w:p>
        </w:tc>
        <w:tc>
          <w:tcPr>
            <w:tcW w:w="3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3,268</w:t>
            </w:r>
          </w:p>
        </w:tc>
        <w:tc>
          <w:tcPr>
            <w:tcW w:w="2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34,500</w:t>
            </w:r>
          </w:p>
        </w:tc>
        <w:tc>
          <w:tcPr>
            <w:tcW w:w="2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1,772</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w w:val="91"/>
              </w:rPr>
              <w:t>Net loans charged (recovered) against the allowance to average Portfolio Loans</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(0.08)%</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0.26%</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100" w:right="60" w:firstLine="5"/>
        <w:spacing w:after="0" w:line="277" w:lineRule="auto"/>
        <w:tabs>
          <w:tab w:leader="none" w:pos="355" w:val="left"/>
        </w:tabs>
        <w:numPr>
          <w:ilvl w:val="0"/>
          <w:numId w:val="52"/>
        </w:numPr>
        <w:rPr>
          <w:rFonts w:ascii="Arial" w:cs="Arial" w:eastAsia="Arial" w:hAnsi="Arial"/>
          <w:sz w:val="18"/>
          <w:szCs w:val="18"/>
          <w:color w:val="auto"/>
        </w:rPr>
      </w:pPr>
      <w:r>
        <w:rPr>
          <w:rFonts w:ascii="Arial" w:cs="Arial" w:eastAsia="Arial" w:hAnsi="Arial"/>
          <w:sz w:val="18"/>
          <w:szCs w:val="18"/>
          <w:color w:val="auto"/>
        </w:rPr>
        <w:t>Beginning January 1, 2021, calculation is based on CECL methodology. Prior to January 1, 2021, calculation was based on the probable incurred loss methodology.</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161"/>
        </w:trPr>
        <w:tc>
          <w:tcPr>
            <w:tcW w:w="8680" w:type="dxa"/>
            <w:vAlign w:val="bottom"/>
            <w:gridSpan w:val="2"/>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85"/>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Allocation of the Allowance for Credit Losses (1)</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5"/>
        </w:trPr>
        <w:tc>
          <w:tcPr>
            <w:tcW w:w="320" w:type="dxa"/>
            <w:vAlign w:val="bottom"/>
          </w:tcPr>
          <w:p>
            <w:pPr>
              <w:spacing w:after="0"/>
              <w:rPr>
                <w:sz w:val="24"/>
                <w:szCs w:val="24"/>
                <w:color w:val="auto"/>
              </w:rPr>
            </w:pPr>
          </w:p>
        </w:tc>
        <w:tc>
          <w:tcPr>
            <w:tcW w:w="8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2"/>
          </w:tcPr>
          <w:p>
            <w:pPr>
              <w:ind w:left="80"/>
              <w:spacing w:after="0"/>
              <w:rPr>
                <w:sz w:val="20"/>
                <w:szCs w:val="20"/>
                <w:color w:val="auto"/>
              </w:rPr>
            </w:pPr>
            <w:r>
              <w:rPr>
                <w:rFonts w:ascii="Arial" w:cs="Arial" w:eastAsia="Arial" w:hAnsi="Arial"/>
                <w:sz w:val="18"/>
                <w:szCs w:val="18"/>
                <w:color w:val="auto"/>
              </w:rPr>
              <w:t>June 30,</w:t>
            </w:r>
          </w:p>
        </w:tc>
        <w:tc>
          <w:tcPr>
            <w:tcW w:w="140" w:type="dxa"/>
            <w:vAlign w:val="bottom"/>
          </w:tcPr>
          <w:p>
            <w:pPr>
              <w:spacing w:after="0"/>
              <w:rPr>
                <w:sz w:val="24"/>
                <w:szCs w:val="24"/>
                <w:color w:val="auto"/>
              </w:rPr>
            </w:pPr>
          </w:p>
        </w:tc>
        <w:tc>
          <w:tcPr>
            <w:tcW w:w="1080" w:type="dxa"/>
            <w:vAlign w:val="bottom"/>
            <w:gridSpan w:val="2"/>
          </w:tcPr>
          <w:p>
            <w:pPr>
              <w:ind w:left="40"/>
              <w:spacing w:after="0"/>
              <w:rPr>
                <w:sz w:val="20"/>
                <w:szCs w:val="20"/>
                <w:color w:val="auto"/>
              </w:rPr>
            </w:pPr>
            <w:r>
              <w:rPr>
                <w:rFonts w:ascii="Arial" w:cs="Arial" w:eastAsia="Arial" w:hAnsi="Arial"/>
                <w:sz w:val="18"/>
                <w:szCs w:val="18"/>
                <w:color w:val="auto"/>
              </w:rPr>
              <w:t>January 1,</w:t>
            </w:r>
          </w:p>
        </w:tc>
      </w:tr>
      <w:tr>
        <w:trPr>
          <w:trHeight w:val="237"/>
        </w:trPr>
        <w:tc>
          <w:tcPr>
            <w:tcW w:w="320" w:type="dxa"/>
            <w:vAlign w:val="bottom"/>
          </w:tcPr>
          <w:p>
            <w:pPr>
              <w:spacing w:after="0"/>
              <w:rPr>
                <w:sz w:val="20"/>
                <w:szCs w:val="20"/>
                <w:color w:val="auto"/>
              </w:rPr>
            </w:pPr>
          </w:p>
        </w:tc>
        <w:tc>
          <w:tcPr>
            <w:tcW w:w="83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20"/>
                <w:szCs w:val="20"/>
                <w:color w:val="auto"/>
              </w:rPr>
            </w:pPr>
          </w:p>
        </w:tc>
      </w:tr>
      <w:tr>
        <w:trPr>
          <w:trHeight w:val="216"/>
        </w:trPr>
        <w:tc>
          <w:tcPr>
            <w:tcW w:w="320" w:type="dxa"/>
            <w:vAlign w:val="bottom"/>
          </w:tcPr>
          <w:p>
            <w:pPr>
              <w:spacing w:after="0"/>
              <w:rPr>
                <w:sz w:val="18"/>
                <w:szCs w:val="18"/>
                <w:color w:val="auto"/>
              </w:rPr>
            </w:pPr>
          </w:p>
        </w:tc>
        <w:tc>
          <w:tcPr>
            <w:tcW w:w="8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80" w:type="dxa"/>
            <w:vAlign w:val="bottom"/>
            <w:gridSpan w:val="5"/>
          </w:tcPr>
          <w:p>
            <w:pPr>
              <w:ind w:left="240"/>
              <w:spacing w:after="0"/>
              <w:rPr>
                <w:sz w:val="20"/>
                <w:szCs w:val="20"/>
                <w:color w:val="auto"/>
              </w:rPr>
            </w:pPr>
            <w:r>
              <w:rPr>
                <w:rFonts w:ascii="Arial" w:cs="Arial" w:eastAsia="Arial" w:hAnsi="Arial"/>
                <w:sz w:val="18"/>
                <w:szCs w:val="18"/>
                <w:color w:val="auto"/>
              </w:rPr>
              <w:t>(Dollars in thousands)</w:t>
            </w: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Specific allocations</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2,452</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Pooled analysis allocations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30,277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30,796</w:t>
            </w:r>
          </w:p>
        </w:tc>
      </w:tr>
      <w:tr>
        <w:trPr>
          <w:trHeight w:val="223"/>
        </w:trPr>
        <w:tc>
          <w:tcPr>
            <w:tcW w:w="8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Additional allocations based on subjective factors</w:t>
            </w: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14,198</w:t>
            </w: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13,889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Total</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45,926</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47,137</w:t>
            </w:r>
          </w:p>
        </w:tc>
      </w:tr>
      <w:tr>
        <w:trPr>
          <w:trHeight w:val="21"/>
        </w:trPr>
        <w:tc>
          <w:tcPr>
            <w:tcW w:w="320" w:type="dxa"/>
            <w:vAlign w:val="bottom"/>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(1) January 1, 2021 includes impact of the adoption of CECL.</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Beginning January 1, 2021, we calculated the ACL using the current expected credit losses methodology. As of January 1, 2021, we increased the ACL for loans by $11.7 million and increased the ACL for unfunded loan commitments by $1.5 million.</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Some loans will not be repaid in full. Therefore, an ACL is maintained at a level which represents our best estimate of expected credit losses. Our ACL is comprised of three principal elements: (i) specific analysis of individual loans identified during the review of the loan portfolio, (ii) pooled analysis of loans with similar risk characteristics based on historical experience, adjusted for current conditions, reasonable and supportable forecasts, and expected prepayments, and (iii) additional allowances based on subjective factors, including local and general economic business factors and trends, portfolio concentrations and changes in the size and/or the general terms of the loan portfolios. See note #4 to the Condensed Consolidated Financial Statements included within this report for further discussion on the ACL.</w:t>
      </w:r>
    </w:p>
    <w:p>
      <w:pPr>
        <w:spacing w:after="0" w:line="2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While we use relevant information to recognize losses on loans, additional provisions for related losses may be necessary based on changes in economic conditions, customer circumstances and other credit risk factors.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ACL decreased $1.2 million to $45.9 million at June 30, 2021 from $47.1 million at January 1, 2021 (CECL adoption date) and was equal to 1.63% of total Portfolio Loans at June 30, 2021.</w:t>
      </w:r>
    </w:p>
    <w:p>
      <w:pPr>
        <w:spacing w:after="0" w:line="19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Two of the three components of the ACL outlined above decreased since our CECL adoption date. The ACL related to specific loans decreased $1.0 million due primarily to a $4.8 million decrease in the amount of such loans. The ACL related to pooled analysis of loans decreased $0.5 million due primarily to slightly lower reserve allocations reflecting an improvement in economic forecasts (particularly for lower unemployment levels) that was partially offset by loan growth in 2021. The ACL related to subjective factors increased $0.3 million due primarily loan growth in 2021.</w:t>
      </w:r>
    </w:p>
    <w:p>
      <w:pPr>
        <w:spacing w:after="0" w:line="19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Deposits and borrowings. </w:t>
      </w:r>
      <w:r>
        <w:rPr>
          <w:rFonts w:ascii="Arial" w:cs="Arial" w:eastAsia="Arial" w:hAnsi="Arial"/>
          <w:sz w:val="18"/>
          <w:szCs w:val="18"/>
          <w:color w:val="auto"/>
        </w:rPr>
        <w:t>Historically, the loyalty of our customer base has allowed us to price deposits competitively, contributing to a net interest</w:t>
      </w:r>
      <w:r>
        <w:rPr>
          <w:rFonts w:ascii="Arial" w:cs="Arial" w:eastAsia="Arial" w:hAnsi="Arial"/>
          <w:sz w:val="18"/>
          <w:szCs w:val="18"/>
          <w:b w:val="1"/>
          <w:bCs w:val="1"/>
          <w:color w:val="auto"/>
        </w:rPr>
        <w:t xml:space="preserve"> </w:t>
      </w:r>
      <w:r>
        <w:rPr>
          <w:rFonts w:ascii="Arial" w:cs="Arial" w:eastAsia="Arial" w:hAnsi="Arial"/>
          <w:sz w:val="18"/>
          <w:szCs w:val="18"/>
          <w:color w:val="auto"/>
        </w:rPr>
        <w:t>margin that generally compares favorably to our peers. However, we still face a significant amount of competition for deposits within many of the markets served by our branch network, which limits our ability to materially increase deposits without adversely impacting the weighted-average cost of core deposits.</w:t>
      </w:r>
    </w:p>
    <w:p>
      <w:pPr>
        <w:spacing w:after="0" w:line="21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To attract new core deposits, we have implemented various account acquisition strategies as well as branch staff sales training. Account acquisition initiatives have historically generated increases in customer relationships. Over the past several years, we have also expanded our treasury management products and services for commercial businesses and municipalities or other governmental units and have also increased our sales calling efforts in order to attract additional deposit relationships from these sectors. We view long-term core deposit growth as an important objective. Core deposits generally provide a more stable and lower cost source of funds than alternative sources such as short-term borrowings. (See “Liquidity and capital resources.”)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90" w:name="page91"/>
    <w:bookmarkEnd w:id="9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Deposits totaled $3.86 billion and $3.64 billion at June 30, 2021 and December 31, 2020, respectively. The increase in deposits is primarily due to growth in non-interest bearing deposits, savings and interest bearing checking deposits and reciprocal deposits that were partially offset by a decline in time and brokered deposits. Reciprocal deposits totaled $589.5 million and $556.2 million at June 30, 2021 and December 31, 2020, respectively. These deposits represent demand, money market and time deposits from our customers that have been placed through IntraFi Network. This service allows our customers to access multi-million dollar FDIC deposit insurance on deposit balances greater than the standard FDIC insurance maximum. The continued increase in reciprocal deposits is due in part to an automated sweep product that we introduced in mid-2018 as well as the marketing and sales efforts of our treasury management team.</w:t>
      </w:r>
    </w:p>
    <w:p>
      <w:pPr>
        <w:spacing w:after="0" w:line="22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cannot be sure that we will be able to maintain our current level of core deposits. In particular, those deposits that are uninsured may be susceptible to outflow. At June 30, 2021, we had approximately $831.9 million of uninsured deposits. A reduction in core deposits would likely increase our need to rely on wholesale funding sources.</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also implemented strategies that incorporate using federal funds purchased, other borrowings and Brokered CDs to fund a portion of our interest-earning assets. The use of such alternate sources of funds supplements our core deposits and is also an integral part of our asset/liability management efforts.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Other borrowings, comprised primarily of advances from the FHLB, totaled $30.0 million at both June 30, 2021 and December 31, 2020.</w:t>
      </w:r>
    </w:p>
    <w:p>
      <w:pPr>
        <w:spacing w:after="0" w:line="25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As described above, we utilize wholesale funding, including federal funds purchased, FHLB and FRB borrowings and Brokered CDs to augment our core deposits and fund a portion of our assets. At June 30, 2021, our use of such wholesale funding sources (including reciprocal deposits) amounted to approximately $622.4 million, or 16.0% of total funding (deposits and all borrowings, excluding subordinated debt and debentures). Because wholesale funding sources are affected by general market conditions, the availability of such funding may be dependent on the confidence these sources have in our financial condition and operations. The continued availability to us of these funding sources is not certain, and Brokered CDs may be difficult for us to retain or replace at attractive rates as they mature. Our liquidity may be constrained if we are unable to renew our wholesale funding sources or if adequate financing is not available in the future at acceptable rates of interest or at all. Our financial performance could also be affected if we are unable to maintain our access to funding sources or if we are required to rely more heavily on more expensive funding sources. In such case, our net interest income and results of operations could be adversely affected.</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historically employed derivative financial instruments to manage our exposure to changes in interest rates. During the first six months of 2021 and 2020, we entered into $15.6 million and $10.6 million (aggregate notional amounts), respectively, of interest rate swaps with commercial loan customers, which were offset with interest rate swaps that the Bank entered into with a broker-dealer. We recorded $0.3 million and $0.2 million of fee income related to these transactions during the first six months of 2021 and 2020, respectively. See note #6 to the Condensed Consolidated Financial Statements included within this report for more information on our derivative financial instruments.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Liquidity and capital resources. </w:t>
      </w:r>
      <w:r>
        <w:rPr>
          <w:rFonts w:ascii="Arial" w:cs="Arial" w:eastAsia="Arial" w:hAnsi="Arial"/>
          <w:sz w:val="17"/>
          <w:szCs w:val="17"/>
          <w:color w:val="auto"/>
        </w:rPr>
        <w:t>Liquidity risk is the risk of being unable to timely meet obligations as they come due at a reasonable funding cost or</w:t>
      </w:r>
      <w:r>
        <w:rPr>
          <w:rFonts w:ascii="Arial" w:cs="Arial" w:eastAsia="Arial" w:hAnsi="Arial"/>
          <w:sz w:val="17"/>
          <w:szCs w:val="17"/>
          <w:b w:val="1"/>
          <w:bCs w:val="1"/>
          <w:color w:val="auto"/>
        </w:rPr>
        <w:t xml:space="preserve"> </w:t>
      </w:r>
      <w:r>
        <w:rPr>
          <w:rFonts w:ascii="Arial" w:cs="Arial" w:eastAsia="Arial" w:hAnsi="Arial"/>
          <w:sz w:val="17"/>
          <w:szCs w:val="17"/>
          <w:color w:val="auto"/>
        </w:rPr>
        <w:t>without incurring unacceptable losses. Our liquidity management involves the measurement and monitoring of a variety of sources and uses of funds. Our Condensed Consolidated Statements of Cash Flows categorize these sources and uses into operating, investing and financing activities. We primarily focus our liquidity management on maintaining adequate levels of liquid assets (primarily funds on deposit with the FRB and certain securities available for sale) as well as developing access to a variety of borrowing sources to supplement our deposit gathering activities and provide funds for purchasing securities available for sale or originating Portfolio Loans as well as to be able to respond to unforeseen liquidity needs.</w:t>
      </w:r>
    </w:p>
    <w:p>
      <w:pPr>
        <w:spacing w:after="0" w:line="20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primary sources of funds include our deposit base, secured advances from the FHLB and FRB, federal funds purchased borrowing facilities with other banks, and access to the capital markets (for Brokered CDs).</w:t>
      </w:r>
    </w:p>
    <w:p>
      <w:pPr>
        <w:spacing w:after="0" w:line="197" w:lineRule="exact"/>
        <w:rPr>
          <w:sz w:val="20"/>
          <w:szCs w:val="20"/>
          <w:color w:val="auto"/>
        </w:rPr>
      </w:pPr>
    </w:p>
    <w:p>
      <w:pPr>
        <w:jc w:val="both"/>
        <w:ind w:right="100"/>
        <w:spacing w:after="0" w:line="275" w:lineRule="auto"/>
        <w:rPr>
          <w:sz w:val="20"/>
          <w:szCs w:val="20"/>
          <w:color w:val="auto"/>
        </w:rPr>
      </w:pPr>
      <w:r>
        <w:rPr>
          <w:rFonts w:ascii="Arial" w:cs="Arial" w:eastAsia="Arial" w:hAnsi="Arial"/>
          <w:sz w:val="17"/>
          <w:szCs w:val="17"/>
          <w:color w:val="auto"/>
        </w:rPr>
        <w:t>At June 30, 2021, we had $209.3 million of time deposits that mature in the next 12 months. Historically, a majority of these maturing time deposits are renewed by our customers. Additionally, $3.55 billion of our deposits at June 30, 2021, were in account types from which the customer could withdraw the funds on demand. Changes in the balances of deposits that can be withdrawn upon demand are usually predictable and the total balances of these accounts have generally grown or have been stable over time as a result of our marketing and promotional activities. However, there can be no assurance that historical patterns of renewing time deposits or overall growth or stability in deposits will continue in the future.</w:t>
      </w:r>
    </w:p>
    <w:p>
      <w:pPr>
        <w:spacing w:after="0" w:line="20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have developed contingency funding plans that stress test our liquidity needs that may arise from certain events such as an adverse change in our financial metrics (for example, credit quality or regulatory capital ratios). Our liquidity management also includes periodic monitoring that measures quick assets (defined generally as highly liquid or short-term assets) to total assets, short-term liability dependence and basic surplus (defined as quick assets less volatile liabilities to total assets). Policy limits have been established for our various liquidity measurements and are monitored on a quarterly basis. In addition, we also prepare cash flow forecasts that include a variety of different scenarios.</w:t>
      </w:r>
    </w:p>
    <w:p>
      <w:pPr>
        <w:spacing w:after="0" w:line="20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believe that we currently have adequate liquidity at our Bank because of our cash and cash equivalents, our portfolio of securities available for sale, our access to secured advances from the FHLB and FRB and our ability to issue Brokered CDs.</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also believe that the available cash on hand at the parent company (including time deposits) of approximately $48.6 million as of June 30, 2021 provides sufficient liquidity resources at the parent company to meet operating expenses, to make interest payments on the subordinated debt and debentures, and, along with dividends from the Bank, to pay projected cash dividends on our common stock.</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Effective management of capital resources is critical to our mission to create value for our shareholders. In addition to common stock, our capital structure also currently includes subordinated debt and cumulative trust preferred securities.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161"/>
        </w:trPr>
        <w:tc>
          <w:tcPr>
            <w:tcW w:w="8680" w:type="dxa"/>
            <w:vAlign w:val="bottom"/>
            <w:gridSpan w:val="2"/>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85"/>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Capitalization</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5"/>
        </w:trPr>
        <w:tc>
          <w:tcPr>
            <w:tcW w:w="320" w:type="dxa"/>
            <w:vAlign w:val="bottom"/>
          </w:tcPr>
          <w:p>
            <w:pPr>
              <w:spacing w:after="0"/>
              <w:rPr>
                <w:sz w:val="24"/>
                <w:szCs w:val="24"/>
                <w:color w:val="auto"/>
              </w:rPr>
            </w:pPr>
          </w:p>
        </w:tc>
        <w:tc>
          <w:tcPr>
            <w:tcW w:w="8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2"/>
          </w:tcPr>
          <w:p>
            <w:pPr>
              <w:jc w:val="right"/>
              <w:ind w:right="396"/>
              <w:spacing w:after="0"/>
              <w:rPr>
                <w:sz w:val="20"/>
                <w:szCs w:val="20"/>
                <w:color w:val="auto"/>
              </w:rPr>
            </w:pPr>
            <w:r>
              <w:rPr>
                <w:rFonts w:ascii="Arial" w:cs="Arial" w:eastAsia="Arial" w:hAnsi="Arial"/>
                <w:sz w:val="18"/>
                <w:szCs w:val="18"/>
                <w:color w:val="auto"/>
                <w:w w:val="95"/>
              </w:rPr>
              <w:t>June 30,</w:t>
            </w:r>
          </w:p>
        </w:tc>
        <w:tc>
          <w:tcPr>
            <w:tcW w:w="1220" w:type="dxa"/>
            <w:vAlign w:val="bottom"/>
            <w:gridSpan w:val="3"/>
          </w:tcPr>
          <w:p>
            <w:pPr>
              <w:jc w:val="right"/>
              <w:ind w:right="160"/>
              <w:spacing w:after="0"/>
              <w:rPr>
                <w:sz w:val="20"/>
                <w:szCs w:val="20"/>
                <w:color w:val="auto"/>
              </w:rPr>
            </w:pPr>
            <w:r>
              <w:rPr>
                <w:rFonts w:ascii="Arial" w:cs="Arial" w:eastAsia="Arial" w:hAnsi="Arial"/>
                <w:sz w:val="18"/>
                <w:szCs w:val="18"/>
                <w:color w:val="auto"/>
                <w:w w:val="91"/>
              </w:rPr>
              <w:t>December 31,</w:t>
            </w:r>
          </w:p>
        </w:tc>
      </w:tr>
      <w:tr>
        <w:trPr>
          <w:trHeight w:val="237"/>
        </w:trPr>
        <w:tc>
          <w:tcPr>
            <w:tcW w:w="320" w:type="dxa"/>
            <w:vAlign w:val="bottom"/>
          </w:tcPr>
          <w:p>
            <w:pPr>
              <w:spacing w:after="0"/>
              <w:rPr>
                <w:sz w:val="20"/>
                <w:szCs w:val="20"/>
                <w:color w:val="auto"/>
              </w:rPr>
            </w:pPr>
          </w:p>
        </w:tc>
        <w:tc>
          <w:tcPr>
            <w:tcW w:w="83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r>
      <w:tr>
        <w:trPr>
          <w:trHeight w:val="216"/>
        </w:trPr>
        <w:tc>
          <w:tcPr>
            <w:tcW w:w="320" w:type="dxa"/>
            <w:vAlign w:val="bottom"/>
          </w:tcPr>
          <w:p>
            <w:pPr>
              <w:spacing w:after="0"/>
              <w:rPr>
                <w:sz w:val="18"/>
                <w:szCs w:val="18"/>
                <w:color w:val="auto"/>
              </w:rPr>
            </w:pPr>
          </w:p>
        </w:tc>
        <w:tc>
          <w:tcPr>
            <w:tcW w:w="8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(In</w:t>
            </w:r>
          </w:p>
        </w:tc>
        <w:tc>
          <w:tcPr>
            <w:tcW w:w="1340" w:type="dxa"/>
            <w:vAlign w:val="bottom"/>
            <w:gridSpan w:val="3"/>
          </w:tcPr>
          <w:p>
            <w:pPr>
              <w:jc w:val="right"/>
              <w:ind w:right="630"/>
              <w:spacing w:after="0"/>
              <w:rPr>
                <w:sz w:val="20"/>
                <w:szCs w:val="20"/>
                <w:color w:val="auto"/>
              </w:rPr>
            </w:pPr>
            <w:r>
              <w:rPr>
                <w:rFonts w:ascii="Arial" w:cs="Arial" w:eastAsia="Arial" w:hAnsi="Arial"/>
                <w:sz w:val="17"/>
                <w:szCs w:val="17"/>
                <w:color w:val="auto"/>
                <w:w w:val="71"/>
              </w:rPr>
              <w:t>thousands)</w:t>
            </w: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Subordinated debt</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36"/>
              <w:spacing w:after="0"/>
              <w:rPr>
                <w:sz w:val="20"/>
                <w:szCs w:val="20"/>
                <w:color w:val="auto"/>
              </w:rPr>
            </w:pPr>
            <w:r>
              <w:rPr>
                <w:rFonts w:ascii="Arial" w:cs="Arial" w:eastAsia="Arial" w:hAnsi="Arial"/>
                <w:sz w:val="18"/>
                <w:szCs w:val="18"/>
                <w:color w:val="auto"/>
              </w:rPr>
              <w:t>39,319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39,281</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Subordinated debentures</w:t>
            </w:r>
          </w:p>
        </w:tc>
        <w:tc>
          <w:tcPr>
            <w:tcW w:w="180" w:type="dxa"/>
            <w:vAlign w:val="bottom"/>
          </w:tcPr>
          <w:p>
            <w:pPr>
              <w:spacing w:after="0"/>
              <w:rPr>
                <w:sz w:val="18"/>
                <w:szCs w:val="18"/>
                <w:color w:val="auto"/>
              </w:rPr>
            </w:pPr>
          </w:p>
        </w:tc>
        <w:tc>
          <w:tcPr>
            <w:tcW w:w="1160" w:type="dxa"/>
            <w:vAlign w:val="bottom"/>
            <w:gridSpan w:val="2"/>
          </w:tcPr>
          <w:p>
            <w:pPr>
              <w:jc w:val="right"/>
              <w:ind w:right="136"/>
              <w:spacing w:after="0"/>
              <w:rPr>
                <w:sz w:val="20"/>
                <w:szCs w:val="20"/>
                <w:color w:val="auto"/>
              </w:rPr>
            </w:pPr>
            <w:r>
              <w:rPr>
                <w:rFonts w:ascii="Arial" w:cs="Arial" w:eastAsia="Arial" w:hAnsi="Arial"/>
                <w:sz w:val="18"/>
                <w:szCs w:val="18"/>
                <w:color w:val="auto"/>
              </w:rPr>
              <w:t>39,558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39,524</w:t>
            </w: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Amount not qualifying as regulatory capital</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76"/>
              <w:spacing w:after="0"/>
              <w:rPr>
                <w:sz w:val="20"/>
                <w:szCs w:val="20"/>
                <w:color w:val="auto"/>
              </w:rPr>
            </w:pPr>
            <w:r>
              <w:rPr>
                <w:rFonts w:ascii="Arial" w:cs="Arial" w:eastAsia="Arial" w:hAnsi="Arial"/>
                <w:sz w:val="18"/>
                <w:szCs w:val="18"/>
                <w:color w:val="auto"/>
              </w:rPr>
              <w:t>(543)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(505)</w:t>
            </w:r>
          </w:p>
        </w:tc>
      </w:tr>
      <w:tr>
        <w:trPr>
          <w:trHeight w:val="27"/>
        </w:trPr>
        <w:tc>
          <w:tcPr>
            <w:tcW w:w="320" w:type="dxa"/>
            <w:vAlign w:val="bottom"/>
            <w:shd w:val="clear" w:color="auto" w:fill="CCEEFF"/>
          </w:tcPr>
          <w:p>
            <w:pPr>
              <w:spacing w:after="0"/>
              <w:rPr>
                <w:sz w:val="2"/>
                <w:szCs w:val="2"/>
                <w:color w:val="auto"/>
              </w:rPr>
            </w:pPr>
          </w:p>
        </w:tc>
        <w:tc>
          <w:tcPr>
            <w:tcW w:w="83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8680" w:type="dxa"/>
            <w:vAlign w:val="bottom"/>
            <w:gridSpan w:val="2"/>
          </w:tcPr>
          <w:p>
            <w:pPr>
              <w:ind w:left="140"/>
              <w:spacing w:after="0"/>
              <w:rPr>
                <w:sz w:val="20"/>
                <w:szCs w:val="20"/>
                <w:color w:val="auto"/>
              </w:rPr>
            </w:pPr>
            <w:r>
              <w:rPr>
                <w:rFonts w:ascii="Arial" w:cs="Arial" w:eastAsia="Arial" w:hAnsi="Arial"/>
                <w:sz w:val="18"/>
                <w:szCs w:val="18"/>
                <w:color w:val="auto"/>
              </w:rPr>
              <w:t>Amount qualifying as regulatory capital</w:t>
            </w:r>
          </w:p>
        </w:tc>
        <w:tc>
          <w:tcPr>
            <w:tcW w:w="180" w:type="dxa"/>
            <w:vAlign w:val="bottom"/>
          </w:tcPr>
          <w:p>
            <w:pPr>
              <w:spacing w:after="0"/>
              <w:rPr>
                <w:sz w:val="19"/>
                <w:szCs w:val="19"/>
                <w:color w:val="auto"/>
              </w:rPr>
            </w:pPr>
          </w:p>
        </w:tc>
        <w:tc>
          <w:tcPr>
            <w:tcW w:w="1160" w:type="dxa"/>
            <w:vAlign w:val="bottom"/>
            <w:gridSpan w:val="2"/>
          </w:tcPr>
          <w:p>
            <w:pPr>
              <w:jc w:val="right"/>
              <w:ind w:right="136"/>
              <w:spacing w:after="0"/>
              <w:rPr>
                <w:sz w:val="20"/>
                <w:szCs w:val="20"/>
                <w:color w:val="auto"/>
              </w:rPr>
            </w:pPr>
            <w:r>
              <w:rPr>
                <w:rFonts w:ascii="Arial" w:cs="Arial" w:eastAsia="Arial" w:hAnsi="Arial"/>
                <w:sz w:val="18"/>
                <w:szCs w:val="18"/>
                <w:color w:val="auto"/>
              </w:rPr>
              <w:t>78,334</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78,300</w:t>
            </w: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140"/>
              <w:spacing w:after="0"/>
              <w:rPr>
                <w:sz w:val="20"/>
                <w:szCs w:val="20"/>
                <w:color w:val="auto"/>
              </w:rPr>
            </w:pPr>
            <w:r>
              <w:rPr>
                <w:rFonts w:ascii="Arial" w:cs="Arial" w:eastAsia="Arial" w:hAnsi="Arial"/>
                <w:sz w:val="18"/>
                <w:szCs w:val="18"/>
                <w:color w:val="auto"/>
              </w:rPr>
              <w:t>Common stock</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332,457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339,353</w:t>
            </w:r>
          </w:p>
        </w:tc>
      </w:tr>
      <w:tr>
        <w:trPr>
          <w:trHeight w:val="216"/>
        </w:trPr>
        <w:tc>
          <w:tcPr>
            <w:tcW w:w="8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Retained earnings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36"/>
              <w:spacing w:after="0"/>
              <w:rPr>
                <w:sz w:val="20"/>
                <w:szCs w:val="20"/>
                <w:color w:val="auto"/>
              </w:rPr>
            </w:pPr>
            <w:r>
              <w:rPr>
                <w:rFonts w:ascii="Arial" w:cs="Arial" w:eastAsia="Arial" w:hAnsi="Arial"/>
                <w:sz w:val="18"/>
                <w:szCs w:val="18"/>
                <w:color w:val="auto"/>
              </w:rPr>
              <w:t>55,101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40,145</w:t>
            </w:r>
          </w:p>
        </w:tc>
      </w:tr>
      <w:tr>
        <w:trPr>
          <w:trHeight w:val="223"/>
        </w:trPr>
        <w:tc>
          <w:tcPr>
            <w:tcW w:w="8680" w:type="dxa"/>
            <w:vAlign w:val="bottom"/>
            <w:gridSpan w:val="2"/>
          </w:tcPr>
          <w:p>
            <w:pPr>
              <w:ind w:left="140"/>
              <w:spacing w:after="0"/>
              <w:rPr>
                <w:sz w:val="20"/>
                <w:szCs w:val="20"/>
                <w:color w:val="auto"/>
              </w:rPr>
            </w:pPr>
            <w:r>
              <w:rPr>
                <w:rFonts w:ascii="Arial" w:cs="Arial" w:eastAsia="Arial" w:hAnsi="Arial"/>
                <w:sz w:val="18"/>
                <w:szCs w:val="18"/>
                <w:color w:val="auto"/>
              </w:rPr>
              <w:t>Accumulated other comprehensive income</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8,416</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10,024</w:t>
            </w:r>
          </w:p>
        </w:tc>
      </w:tr>
      <w:tr>
        <w:trPr>
          <w:trHeight w:val="223"/>
        </w:trPr>
        <w:tc>
          <w:tcPr>
            <w:tcW w:w="868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Total shareholders’ equity</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395,974</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389,522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gridSpan w:val="2"/>
          </w:tcPr>
          <w:p>
            <w:pPr>
              <w:ind w:left="260"/>
              <w:spacing w:after="0"/>
              <w:rPr>
                <w:sz w:val="20"/>
                <w:szCs w:val="20"/>
                <w:color w:val="auto"/>
              </w:rPr>
            </w:pPr>
            <w:r>
              <w:rPr>
                <w:rFonts w:ascii="Arial" w:cs="Arial" w:eastAsia="Arial" w:hAnsi="Arial"/>
                <w:sz w:val="18"/>
                <w:szCs w:val="18"/>
                <w:color w:val="auto"/>
              </w:rPr>
              <w:t>Total capitalization</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474,308</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467,822</w:t>
            </w:r>
          </w:p>
        </w:tc>
      </w:tr>
      <w:tr>
        <w:trPr>
          <w:trHeight w:val="20"/>
        </w:trPr>
        <w:tc>
          <w:tcPr>
            <w:tcW w:w="320" w:type="dxa"/>
            <w:vAlign w:val="bottom"/>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May 2020, we issued $40.0 million of fixed to floating subordinated notes with a ten year maturity and a five year call option. The initial coupon rate is 5.95% fixed for five years and then floats at the Secured Overnight Financing Rate (“SOFR”) plus 5.825%. These notes are presented in the Condensed Consolidated Statement of Financial Condition under the caption “Subordinated debt” and the June 30, 2021 balance of $39.3 million is net of remaining unamortized deferred issuance costs of approximately $0.3 million that are being amortized through the maturity date into interest expense on other borrowings and subordinated debt and debentures in our Condensed Consolidated Statements of Operations.</w:t>
      </w:r>
    </w:p>
    <w:p>
      <w:pPr>
        <w:spacing w:after="0" w:line="20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currently have four special purpose entities with $39.6 million of outstanding cumulative trust preferred securities as of June 30, 2021. These special purpose entities issued common securities and provided cash to our parent company that in turn issued subordinated debentures to these special purpose entities equal to the trust preferred securities and common securities. The subordinated debentures represent the sole asset of the special purpose entities. The common securities and subordinated debentures are included in our Condensed Consolidated Statements of Financial Condition.</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FRB has issued rules regarding trust preferred securities as a component of the Tier 1 capital of bank holding companies. The aggregate amount of trust preferred securities (and certain other capital elements) are limited to 25 percent of Tier 1 capital elements, net of goodwill (net of any associated deferred tax liability). The amount of trust preferred securities and certain other elements in excess of the limit can be included in Tier 2 capital, subject to restrictions. At the parent company, all of these securities qualified as Tier 1 capital at June 30, 2021 and December 31, 2020.</w:t>
      </w:r>
    </w:p>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Common shareholders’ equity increased to $396.0 million at June 30, 2021, from $389.5 million at December 31, 2020, due primarily to our net income that was partially offset by a $10.3 million reduction in retained earnings related to the adoption of CECL, a $1.6 million decrease in our accumulated other comprehensive income, by share repurchases and by cash dividend payments. Our tangible common equity (“TCE”) totaled $363.9 million and $356.9 million, respectively, at those same dates. Our ratio of TCE to tangible assets was 8.21% and 8.56% at June 30, 2021, and December 31, 2020, respectively. TCE and the ratio of TCE to tangible assets are non-GAAP measures. TCE represents total common equity less goodwill and other intangible assets.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93" w:name="page94"/>
    <w:bookmarkEnd w:id="9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December 2020, our Board of Directors authorized a 2021 share repurchase plan. Under the terms of the 2021 share repurchase plan, we are authorized to buy back up 1,100,000, or approximately 5% of our outstanding common stock. During the first six months of 2021, the Company repurchased 344,005 shares at a weighted average purchase price of $21.18 per share.</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pay a quarterly cash dividend on our common stock. These dividends totaled $0.42 per share and $0.40 per share in the first six months of 2021 and 2020, respectively. We generally favor a dividend payout ratio between 30% and 50% of net income.</w:t>
      </w:r>
    </w:p>
    <w:p>
      <w:pPr>
        <w:spacing w:after="0" w:line="19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As of June 30, 2021 and December 31, 2020, our Bank (and holding company) continued to meet the requirements to be considered “well-capitalized” under federal regulatory standards (also see note #10 to the Condensed Consolidated Financial Statements included within this report).</w:t>
      </w:r>
    </w:p>
    <w:p>
      <w:pPr>
        <w:spacing w:after="0" w:line="169"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auto"/>
        </w:rPr>
        <w:t xml:space="preserve">Asset/liability management. </w:t>
      </w:r>
      <w:r>
        <w:rPr>
          <w:rFonts w:ascii="Arial" w:cs="Arial" w:eastAsia="Arial" w:hAnsi="Arial"/>
          <w:sz w:val="16"/>
          <w:szCs w:val="16"/>
          <w:color w:val="auto"/>
        </w:rPr>
        <w:t>Interest-rate risk is created by differences in the cash flow characteristics of our assets and liabilities. Options embedded in</w:t>
      </w:r>
      <w:r>
        <w:rPr>
          <w:rFonts w:ascii="Arial" w:cs="Arial" w:eastAsia="Arial" w:hAnsi="Arial"/>
          <w:sz w:val="16"/>
          <w:szCs w:val="16"/>
          <w:b w:val="1"/>
          <w:bCs w:val="1"/>
          <w:color w:val="auto"/>
        </w:rPr>
        <w:t xml:space="preserve"> </w:t>
      </w:r>
      <w:r>
        <w:rPr>
          <w:rFonts w:ascii="Arial" w:cs="Arial" w:eastAsia="Arial" w:hAnsi="Arial"/>
          <w:sz w:val="16"/>
          <w:szCs w:val="16"/>
          <w:color w:val="auto"/>
        </w:rPr>
        <w:t>certain financial instruments, including caps on adjustable-rate loans as well as borrowers’ rights to prepay fixed-rate loans, also create interest-rate risk.</w:t>
      </w:r>
    </w:p>
    <w:p>
      <w:pPr>
        <w:spacing w:after="0" w:line="14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asset/liability management efforts identify and evaluate opportunities to structure our assets and liabilities in a manner that is consistent with our mission to maintain profitable financial leverage within established risk parameters. We evaluate various opportunities and alternate asset/liability management strategies carefully and consider the likely impact on our risk profile as well as the anticipated contribution to earnings. The marginal cost of funds is a principal consideration in the implementation of our asset/liability management strategies, but such evaluations further consider interest-rate and liquidity risk as well as other pertinent factors. We have established parameters for interest-rate risk. We regularly monitor our interest-rate risk and report at least quarterly to our board of directors.</w:t>
      </w:r>
    </w:p>
    <w:p>
      <w:pPr>
        <w:spacing w:after="0" w:line="21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employ simulation analyses to monitor our interest-rate risk profile and evaluate potential changes in our net interest income and market value of portfolio equity that result from changes in interest rates. The purpose of these simulations is to identify sources of interest-rate risk. The simulations do not anticipate any actions that we might initiate in response to changes in interest rates and, accordingly, the simulations do not provide a reliable forecast of anticipated results. The simulations are predicated on immediate, permanent and parallel shifts in interest rates and generally assume that current loan and deposit pricing relationships remain constant. The simulations further incorporate assumptions relating to changes in customer behavior, including changes in prepayment rates on certain assets and liabilities.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161"/>
        </w:trPr>
        <w:tc>
          <w:tcPr>
            <w:tcW w:w="5840" w:type="dxa"/>
            <w:vAlign w:val="bottom"/>
            <w:gridSpan w:val="2"/>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7160" w:type="dxa"/>
            <w:vAlign w:val="bottom"/>
            <w:gridSpan w:val="6"/>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7480" w:type="dxa"/>
            <w:vAlign w:val="bottom"/>
            <w:gridSpan w:val="7"/>
          </w:tcPr>
          <w:p>
            <w:pPr>
              <w:spacing w:after="0"/>
              <w:rPr>
                <w:sz w:val="20"/>
                <w:szCs w:val="20"/>
                <w:color w:val="auto"/>
              </w:rPr>
            </w:pPr>
            <w:r>
              <w:rPr>
                <w:rFonts w:ascii="Arial" w:cs="Arial" w:eastAsia="Arial" w:hAnsi="Arial"/>
                <w:sz w:val="18"/>
                <w:szCs w:val="18"/>
                <w:b w:val="1"/>
                <w:bCs w:val="1"/>
                <w:color w:val="auto"/>
              </w:rPr>
              <w:t>CHANGES IN MARKET VALUE OF PORTFOLIO EQUITY AND NET INTEREST INCOME</w:t>
            </w: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32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gridSpan w:val="3"/>
          </w:tcPr>
          <w:p>
            <w:pPr>
              <w:jc w:val="center"/>
              <w:ind w:right="540"/>
              <w:spacing w:after="0"/>
              <w:rPr>
                <w:sz w:val="20"/>
                <w:szCs w:val="20"/>
                <w:color w:val="auto"/>
              </w:rPr>
            </w:pPr>
            <w:r>
              <w:rPr>
                <w:rFonts w:ascii="Arial" w:cs="Arial" w:eastAsia="Arial" w:hAnsi="Arial"/>
                <w:sz w:val="18"/>
                <w:szCs w:val="18"/>
                <w:b w:val="1"/>
                <w:bCs w:val="1"/>
                <w:color w:val="auto"/>
                <w:w w:val="99"/>
              </w:rPr>
              <w:t>Market</w:t>
            </w: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3"/>
          </w:tcPr>
          <w:p>
            <w:pPr>
              <w:jc w:val="center"/>
              <w:ind w:right="560"/>
              <w:spacing w:after="0"/>
              <w:rPr>
                <w:sz w:val="20"/>
                <w:szCs w:val="20"/>
                <w:color w:val="auto"/>
              </w:rPr>
            </w:pPr>
            <w:r>
              <w:rPr>
                <w:rFonts w:ascii="Arial" w:cs="Arial" w:eastAsia="Arial" w:hAnsi="Arial"/>
                <w:sz w:val="18"/>
                <w:szCs w:val="18"/>
                <w:b w:val="1"/>
                <w:bCs w:val="1"/>
                <w:color w:val="auto"/>
                <w:w w:val="91"/>
              </w:rPr>
              <w:t>Value of</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6"/>
              </w:rPr>
              <w:t>Net</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3"/>
          </w:tcPr>
          <w:p>
            <w:pPr>
              <w:jc w:val="center"/>
              <w:ind w:right="560"/>
              <w:spacing w:after="0"/>
              <w:rPr>
                <w:sz w:val="20"/>
                <w:szCs w:val="20"/>
                <w:color w:val="auto"/>
              </w:rPr>
            </w:pPr>
            <w:r>
              <w:rPr>
                <w:rFonts w:ascii="Arial" w:cs="Arial" w:eastAsia="Arial" w:hAnsi="Arial"/>
                <w:sz w:val="18"/>
                <w:szCs w:val="18"/>
                <w:b w:val="1"/>
                <w:bCs w:val="1"/>
                <w:color w:val="auto"/>
                <w:w w:val="91"/>
              </w:rPr>
              <w:t>Portfolio</w:t>
            </w:r>
          </w:p>
        </w:tc>
        <w:tc>
          <w:tcPr>
            <w:tcW w:w="11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w w:val="93"/>
              </w:rPr>
              <w:t>Percent</w:t>
            </w: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Interest</w:t>
            </w:r>
          </w:p>
        </w:tc>
        <w:tc>
          <w:tcPr>
            <w:tcW w:w="12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Percent</w:t>
            </w:r>
          </w:p>
        </w:tc>
        <w:tc>
          <w:tcPr>
            <w:tcW w:w="0" w:type="dxa"/>
            <w:vAlign w:val="bottom"/>
          </w:tcPr>
          <w:p>
            <w:pPr>
              <w:spacing w:after="0"/>
              <w:rPr>
                <w:sz w:val="1"/>
                <w:szCs w:val="1"/>
                <w:color w:val="auto"/>
              </w:rPr>
            </w:pPr>
          </w:p>
        </w:tc>
      </w:tr>
      <w:tr>
        <w:trPr>
          <w:trHeight w:val="241"/>
        </w:trPr>
        <w:tc>
          <w:tcPr>
            <w:tcW w:w="58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Change in Interest Rates</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3"/>
              </w:rPr>
              <w:t>Equity(1)</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3"/>
              </w:rPr>
              <w:t>Change</w:t>
            </w: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1"/>
              </w:rPr>
              <w:t>Income(2)</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Change</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8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June 30, 2021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00" w:type="dxa"/>
            <w:vAlign w:val="bottom"/>
            <w:gridSpan w:val="5"/>
          </w:tcPr>
          <w:p>
            <w:pPr>
              <w:ind w:left="180"/>
              <w:spacing w:after="0"/>
              <w:rPr>
                <w:sz w:val="20"/>
                <w:szCs w:val="20"/>
                <w:color w:val="auto"/>
              </w:rPr>
            </w:pPr>
            <w:r>
              <w:rPr>
                <w:rFonts w:ascii="Arial" w:cs="Arial" w:eastAsia="Arial" w:hAnsi="Arial"/>
                <w:sz w:val="18"/>
                <w:szCs w:val="18"/>
                <w:b w:val="1"/>
                <w:bCs w:val="1"/>
                <w:color w:val="auto"/>
              </w:rPr>
              <w:t>(Dollars in thousands)</w:t>
            </w: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8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 basis point rise</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518,400</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133,500</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16"/>
        </w:trPr>
        <w:tc>
          <w:tcPr>
            <w:tcW w:w="5840" w:type="dxa"/>
            <w:vAlign w:val="bottom"/>
            <w:gridSpan w:val="2"/>
          </w:tcPr>
          <w:p>
            <w:pPr>
              <w:spacing w:after="0"/>
              <w:rPr>
                <w:sz w:val="20"/>
                <w:szCs w:val="20"/>
                <w:color w:val="auto"/>
              </w:rPr>
            </w:pPr>
            <w:r>
              <w:rPr>
                <w:rFonts w:ascii="Arial" w:cs="Arial" w:eastAsia="Arial" w:hAnsi="Arial"/>
                <w:sz w:val="18"/>
                <w:szCs w:val="18"/>
                <w:color w:val="auto"/>
              </w:rPr>
              <w:t>100 basis point rise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530,700</w:t>
            </w:r>
          </w:p>
        </w:tc>
        <w:tc>
          <w:tcPr>
            <w:tcW w:w="20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6.10</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132,000</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16"/>
        </w:trPr>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Base-rate scenario</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500,200</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128,100</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40" w:type="dxa"/>
            <w:vAlign w:val="bottom"/>
            <w:gridSpan w:val="2"/>
          </w:tcPr>
          <w:p>
            <w:pPr>
              <w:spacing w:after="0"/>
              <w:rPr>
                <w:sz w:val="20"/>
                <w:szCs w:val="20"/>
                <w:color w:val="auto"/>
              </w:rPr>
            </w:pPr>
            <w:r>
              <w:rPr>
                <w:rFonts w:ascii="Arial" w:cs="Arial" w:eastAsia="Arial" w:hAnsi="Arial"/>
                <w:sz w:val="18"/>
                <w:szCs w:val="18"/>
                <w:color w:val="auto"/>
              </w:rPr>
              <w:t>100 basis point decline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445,700</w:t>
            </w:r>
          </w:p>
        </w:tc>
        <w:tc>
          <w:tcPr>
            <w:tcW w:w="20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(10.90)</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122,000</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5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gridSpan w:val="2"/>
          </w:tcPr>
          <w:p>
            <w:pPr>
              <w:spacing w:after="0"/>
              <w:rPr>
                <w:sz w:val="20"/>
                <w:szCs w:val="20"/>
                <w:color w:val="auto"/>
              </w:rPr>
            </w:pPr>
            <w:r>
              <w:rPr>
                <w:rFonts w:ascii="Arial" w:cs="Arial" w:eastAsia="Arial" w:hAnsi="Arial"/>
                <w:sz w:val="18"/>
                <w:szCs w:val="18"/>
                <w:b w:val="1"/>
                <w:bCs w:val="1"/>
                <w:color w:val="auto"/>
              </w:rPr>
              <w:t>December 31, 2020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 basis point rise</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494,600</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15.02%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125,200</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16"/>
        </w:trPr>
        <w:tc>
          <w:tcPr>
            <w:tcW w:w="5840" w:type="dxa"/>
            <w:vAlign w:val="bottom"/>
            <w:gridSpan w:val="2"/>
          </w:tcPr>
          <w:p>
            <w:pPr>
              <w:spacing w:after="0"/>
              <w:rPr>
                <w:sz w:val="20"/>
                <w:szCs w:val="20"/>
                <w:color w:val="auto"/>
              </w:rPr>
            </w:pPr>
            <w:r>
              <w:rPr>
                <w:rFonts w:ascii="Arial" w:cs="Arial" w:eastAsia="Arial" w:hAnsi="Arial"/>
                <w:sz w:val="18"/>
                <w:szCs w:val="18"/>
                <w:color w:val="auto"/>
              </w:rPr>
              <w:t>100 basis point rise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483,200</w:t>
            </w:r>
          </w:p>
        </w:tc>
        <w:tc>
          <w:tcPr>
            <w:tcW w:w="20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12.37</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123,700</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16"/>
        </w:trPr>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Base-rate scenario</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430,000</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120,200</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840" w:type="dxa"/>
            <w:vAlign w:val="bottom"/>
            <w:gridSpan w:val="2"/>
          </w:tcPr>
          <w:p>
            <w:pPr>
              <w:spacing w:after="0"/>
              <w:rPr>
                <w:sz w:val="20"/>
                <w:szCs w:val="20"/>
                <w:color w:val="auto"/>
              </w:rPr>
            </w:pPr>
            <w:r>
              <w:rPr>
                <w:rFonts w:ascii="Arial" w:cs="Arial" w:eastAsia="Arial" w:hAnsi="Arial"/>
                <w:sz w:val="18"/>
                <w:szCs w:val="18"/>
                <w:color w:val="auto"/>
              </w:rPr>
              <w:t>100 basis point decline</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395,500</w:t>
            </w:r>
          </w:p>
        </w:tc>
        <w:tc>
          <w:tcPr>
            <w:tcW w:w="20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(8.02)</w:t>
            </w:r>
          </w:p>
        </w:tc>
        <w:tc>
          <w:tcPr>
            <w:tcW w:w="1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114,900</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205105</wp:posOffset>
            </wp:positionV>
            <wp:extent cx="85725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57250" cy="1714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jc w:val="both"/>
        <w:ind w:left="340" w:hanging="332"/>
        <w:spacing w:after="0" w:line="255" w:lineRule="auto"/>
        <w:tabs>
          <w:tab w:leader="none" w:pos="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Simulation analyses calculate the change in the net present value of our assets and liabilities, including debt and related financial derivative instruments, under parallel shifts in interest rates by discounting the estimated future cash flows using a market-based discount rate. Cash flow estimates incorporate anticipated changes in prepayment speeds and other embedded options.</w:t>
      </w:r>
    </w:p>
    <w:p>
      <w:pPr>
        <w:spacing w:after="0" w:line="2" w:lineRule="exact"/>
        <w:rPr>
          <w:rFonts w:ascii="Arial" w:cs="Arial" w:eastAsia="Arial" w:hAnsi="Arial"/>
          <w:sz w:val="18"/>
          <w:szCs w:val="18"/>
          <w:color w:val="auto"/>
        </w:rPr>
      </w:pPr>
    </w:p>
    <w:p>
      <w:pPr>
        <w:ind w:left="340" w:hanging="332"/>
        <w:spacing w:after="0" w:line="323" w:lineRule="auto"/>
        <w:tabs>
          <w:tab w:leader="none" w:pos="3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Simulation analyses calculate the change in net interest income under immediate parallel shifts in interest rates over the next twelve months, based upon a static statement of financial condition, which includes debt and related financial derivative instruments, and do not consider loan fees.</w:t>
      </w:r>
    </w:p>
    <w:p>
      <w:pPr>
        <w:spacing w:after="0" w:line="16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Accounting standards update. </w:t>
      </w:r>
      <w:r>
        <w:rPr>
          <w:rFonts w:ascii="Arial" w:cs="Arial" w:eastAsia="Arial" w:hAnsi="Arial"/>
          <w:sz w:val="18"/>
          <w:szCs w:val="18"/>
          <w:color w:val="auto"/>
        </w:rPr>
        <w:t>See note #2 to the Condensed Consolidated Financial Statements included elsewhere in this report for details on recently</w:t>
      </w:r>
      <w:r>
        <w:rPr>
          <w:rFonts w:ascii="Arial" w:cs="Arial" w:eastAsia="Arial" w:hAnsi="Arial"/>
          <w:sz w:val="18"/>
          <w:szCs w:val="18"/>
          <w:b w:val="1"/>
          <w:bCs w:val="1"/>
          <w:color w:val="auto"/>
        </w:rPr>
        <w:t xml:space="preserve"> </w:t>
      </w:r>
      <w:r>
        <w:rPr>
          <w:rFonts w:ascii="Arial" w:cs="Arial" w:eastAsia="Arial" w:hAnsi="Arial"/>
          <w:sz w:val="18"/>
          <w:szCs w:val="18"/>
          <w:color w:val="auto"/>
        </w:rPr>
        <w:t>issued accounting pronouncements and their impact on our interim condensed consolidated financial statements.</w:t>
      </w:r>
    </w:p>
    <w:p>
      <w:pPr>
        <w:spacing w:after="0" w:line="18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Fair valuation of financial instruments. </w:t>
      </w:r>
      <w:r>
        <w:rPr>
          <w:rFonts w:ascii="Arial" w:cs="Arial" w:eastAsia="Arial" w:hAnsi="Arial"/>
          <w:sz w:val="18"/>
          <w:szCs w:val="18"/>
          <w:color w:val="auto"/>
        </w:rPr>
        <w:t>Financial Accounting Standards Board (“FASB”) Accounting Standards Codification (“ASC”) Topic 820 - “Fair</w:t>
      </w:r>
      <w:r>
        <w:rPr>
          <w:rFonts w:ascii="Arial" w:cs="Arial" w:eastAsia="Arial" w:hAnsi="Arial"/>
          <w:sz w:val="18"/>
          <w:szCs w:val="18"/>
          <w:b w:val="1"/>
          <w:bCs w:val="1"/>
          <w:color w:val="auto"/>
        </w:rPr>
        <w:t xml:space="preserve"> </w:t>
      </w:r>
      <w:r>
        <w:rPr>
          <w:rFonts w:ascii="Arial" w:cs="Arial" w:eastAsia="Arial" w:hAnsi="Arial"/>
          <w:sz w:val="18"/>
          <w:szCs w:val="18"/>
          <w:color w:val="auto"/>
        </w:rPr>
        <w:t>Value Measurements and Disclosures” (“FASB ASC Topic 820”) defines fair value as the exchange price that would be received for an asset or paid to transfer a liability (an exit price) in the principal or most advantageous market for the asset or liability in an orderly transaction between market participants on the measurement date.</w:t>
      </w:r>
    </w:p>
    <w:p>
      <w:pPr>
        <w:spacing w:after="0" w:line="21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utilize fair value measurements to record fair value adjustments to certain financial instruments and to determine fair value disclosures. FASB ASC Topic 820 differentiates between those assets and liabilities required to be carried at fair value at every reporting period (“recurring”) and those assets and liabilities that are only required to be adjusted to fair value under certain circumstances (“nonrecurring”). Securities available for sale, loans held for sale, carried at fair value, derivatives and capitalized mortgage loan servicing rights are financial instruments recorded at fair value on a recurring basis. Additionally, from time to time, we may be required to record at fair value other financial assets on a nonrecurring basis, such as loans held for investment and certain other assets. These nonrecurring fair value adjustments typically involve application of lower of cost or fair value accounting or write-downs of individual assets. See note #11 to the Condensed Consolidated Financial Statements included within this report for a complete discussion on our use of fair valuation of financial instruments and the related measurement techniques.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95" w:name="page96"/>
    <w:bookmarkEnd w:id="9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2"/>
          <w:szCs w:val="12"/>
          <w:b w:val="1"/>
          <w:bCs w:val="1"/>
          <w:color w:val="auto"/>
        </w:rPr>
        <w:t>ITIGATION</w:t>
      </w:r>
      <w:r>
        <w:rPr>
          <w:rFonts w:ascii="Arial" w:cs="Arial" w:eastAsia="Arial" w:hAnsi="Arial"/>
          <w:sz w:val="18"/>
          <w:szCs w:val="18"/>
          <w:b w:val="1"/>
          <w:bCs w:val="1"/>
          <w:color w:val="auto"/>
        </w:rPr>
        <w:t xml:space="preserve"> M</w:t>
      </w:r>
      <w:r>
        <w:rPr>
          <w:rFonts w:ascii="Arial" w:cs="Arial" w:eastAsia="Arial" w:hAnsi="Arial"/>
          <w:sz w:val="12"/>
          <w:szCs w:val="12"/>
          <w:b w:val="1"/>
          <w:bCs w:val="1"/>
          <w:color w:val="auto"/>
        </w:rPr>
        <w:t>ATTERS</w:t>
      </w:r>
    </w:p>
    <w:p>
      <w:pPr>
        <w:spacing w:after="0" w:line="25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aggregate amount we have accrued for losses we consider probable as a result of litigation matters is immaterial. However, because of the inherent uncertainty of outcomes from any litigation matter, we believe it is reasonably possible we may incur losses in addition to the amounts we have accrued. At this time, we estimate the maximum amount of additional losses that are reasonably possible is insignificant. However, because of a number of factors, including the fact that certain of these litigation matters are still in their early stages, this maximum amount may change in the future.</w:t>
      </w:r>
    </w:p>
    <w:p>
      <w:pPr>
        <w:spacing w:after="0" w:line="18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litigation matters described in the preceding paragraph primarily include claims that have been brought against us for damages, but do not include litigation matters where we seek to collect amounts owed to us by third parties (such as litigation initiated to collect delinquent loans). These excluded, collection-related matters may involve claims or counterclaims by the opposing party or parties, but we have excluded such matters from the disclosure contained in the preceding paragraph in all cases where we believe the possibility of us paying damages to any opposing party is remote.</w:t>
      </w:r>
    </w:p>
    <w:p>
      <w:pPr>
        <w:spacing w:after="0" w:line="18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RITICAL</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CCOUNTING</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OLICIES</w:t>
      </w:r>
    </w:p>
    <w:p>
      <w:pPr>
        <w:spacing w:after="0" w:line="25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accounting and reporting policies are in accordance with accounting principles generally accepted in the United States of America and conform to general practices within the banking industry. Accounting and reporting policies for the ACL and capitalized mortgage loan servicing rights are deemed critical since they involve the use of estimates and require significant management judgments. Application of assumptions different than those that we have used could result in material changes in our consolidated financial position or results of operations. We adopted CECL on January 1, 2021 which changed the way we calculate our ACL. See notes #2 and #4 to the Condensed Consolidated Financial Statements included within this report for further discussion on CECL. There was no material change to our critical accounting policy on capitalized mortgage loan servicing rights as disclosed in our Annual Report on Form 10-K for the year ended December 31, 2020.</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Item 3.</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w:t>
      </w:r>
      <w:r>
        <w:rPr>
          <w:rFonts w:ascii="Arial" w:cs="Arial" w:eastAsia="Arial" w:hAnsi="Arial"/>
          <w:sz w:val="12"/>
          <w:szCs w:val="12"/>
          <w:b w:val="1"/>
          <w:bCs w:val="1"/>
          <w:color w:val="auto"/>
        </w:rPr>
        <w:t>UANTITATIVE AND</w:t>
      </w:r>
      <w:r>
        <w:rPr>
          <w:rFonts w:ascii="Arial" w:cs="Arial" w:eastAsia="Arial" w:hAnsi="Arial"/>
          <w:sz w:val="18"/>
          <w:szCs w:val="18"/>
          <w:b w:val="1"/>
          <w:bCs w:val="1"/>
          <w:color w:val="auto"/>
        </w:rPr>
        <w:t xml:space="preserve"> Q</w:t>
      </w:r>
      <w:r>
        <w:rPr>
          <w:rFonts w:ascii="Arial" w:cs="Arial" w:eastAsia="Arial" w:hAnsi="Arial"/>
          <w:sz w:val="12"/>
          <w:szCs w:val="12"/>
          <w:b w:val="1"/>
          <w:bCs w:val="1"/>
          <w:color w:val="auto"/>
        </w:rPr>
        <w:t>UALITATIVE</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ISCLOSURES ABOUT</w:t>
      </w:r>
      <w:r>
        <w:rPr>
          <w:rFonts w:ascii="Arial" w:cs="Arial" w:eastAsia="Arial" w:hAnsi="Arial"/>
          <w:sz w:val="18"/>
          <w:szCs w:val="18"/>
          <w:b w:val="1"/>
          <w:bCs w:val="1"/>
          <w:color w:val="auto"/>
        </w:rPr>
        <w:t xml:space="preserve"> M</w:t>
      </w:r>
      <w:r>
        <w:rPr>
          <w:rFonts w:ascii="Arial" w:cs="Arial" w:eastAsia="Arial" w:hAnsi="Arial"/>
          <w:sz w:val="12"/>
          <w:szCs w:val="12"/>
          <w:b w:val="1"/>
          <w:bCs w:val="1"/>
          <w:color w:val="auto"/>
        </w:rPr>
        <w:t>ARKET</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ISK</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See applicable disclosures set forth in “Management’s Discussion and Analysis of Financial Condition and Results of Operations” in Item 2 under the caption “Asset/liability management.”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Item 4.</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ONTROLS AND</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ROCEDURES</w:t>
      </w:r>
    </w:p>
    <w:p>
      <w:pPr>
        <w:spacing w:after="0" w:line="256" w:lineRule="exact"/>
        <w:rPr>
          <w:sz w:val="20"/>
          <w:szCs w:val="20"/>
          <w:color w:val="auto"/>
        </w:rPr>
      </w:pPr>
    </w:p>
    <w:p>
      <w:pPr>
        <w:ind w:left="340" w:hanging="332"/>
        <w:spacing w:after="0"/>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Evaluation of Disclosure Controls and Procedures.</w:t>
      </w:r>
    </w:p>
    <w:p>
      <w:pPr>
        <w:spacing w:after="0" w:line="252" w:lineRule="exact"/>
        <w:rPr>
          <w:rFonts w:ascii="Arial" w:cs="Arial" w:eastAsia="Arial" w:hAnsi="Arial"/>
          <w:sz w:val="18"/>
          <w:szCs w:val="18"/>
          <w:color w:val="auto"/>
        </w:rPr>
      </w:pPr>
    </w:p>
    <w:p>
      <w:pPr>
        <w:ind w:left="340" w:right="20"/>
        <w:spacing w:after="0" w:line="263" w:lineRule="auto"/>
        <w:rPr>
          <w:rFonts w:ascii="Arial" w:cs="Arial" w:eastAsia="Arial" w:hAnsi="Arial"/>
          <w:sz w:val="18"/>
          <w:szCs w:val="18"/>
          <w:color w:val="auto"/>
        </w:rPr>
      </w:pPr>
      <w:r>
        <w:rPr>
          <w:rFonts w:ascii="Arial" w:cs="Arial" w:eastAsia="Arial" w:hAnsi="Arial"/>
          <w:sz w:val="18"/>
          <w:szCs w:val="18"/>
          <w:color w:val="auto"/>
        </w:rPr>
        <w:t>With the participation of management, our chief executive officer and chief financial officer, after evaluating the effectiveness of our disclosure controls and procedures (as defined in Exchange Act Rules 13a – 15(e) and 15d – 15(e)) for the period ended June 30, 2021, have concluded that, as of such date, our disclosure controls and procedures were effective.</w:t>
      </w:r>
    </w:p>
    <w:p>
      <w:pPr>
        <w:spacing w:after="0" w:line="210" w:lineRule="exact"/>
        <w:rPr>
          <w:rFonts w:ascii="Arial" w:cs="Arial" w:eastAsia="Arial" w:hAnsi="Arial"/>
          <w:sz w:val="18"/>
          <w:szCs w:val="18"/>
          <w:color w:val="auto"/>
        </w:rPr>
      </w:pPr>
    </w:p>
    <w:p>
      <w:pPr>
        <w:ind w:left="340" w:hanging="332"/>
        <w:spacing w:after="0"/>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Changes in Internal Controls.</w:t>
      </w:r>
    </w:p>
    <w:p>
      <w:pPr>
        <w:spacing w:after="0" w:line="252" w:lineRule="exact"/>
        <w:rPr>
          <w:rFonts w:ascii="Arial" w:cs="Arial" w:eastAsia="Arial" w:hAnsi="Arial"/>
          <w:sz w:val="18"/>
          <w:szCs w:val="18"/>
          <w:color w:val="auto"/>
        </w:rPr>
      </w:pPr>
    </w:p>
    <w:p>
      <w:pPr>
        <w:ind w:left="340" w:right="760"/>
        <w:spacing w:after="0" w:line="277" w:lineRule="auto"/>
        <w:rPr>
          <w:rFonts w:ascii="Arial" w:cs="Arial" w:eastAsia="Arial" w:hAnsi="Arial"/>
          <w:sz w:val="18"/>
          <w:szCs w:val="18"/>
          <w:color w:val="auto"/>
        </w:rPr>
      </w:pPr>
      <w:r>
        <w:rPr>
          <w:rFonts w:ascii="Arial" w:cs="Arial" w:eastAsia="Arial" w:hAnsi="Arial"/>
          <w:sz w:val="18"/>
          <w:szCs w:val="18"/>
          <w:color w:val="auto"/>
        </w:rPr>
        <w:t>During the quarter ended June 30, 2021, there were no changes in our internal control over financial reporting that materially affected, or are reasonably likely to materially affect, our internal control over financial reporting.</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7" w:name="page98"/>
    <w:bookmarkEnd w:id="9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Part 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1A. Risk Factors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to the risk factors disclosed in the Company’s Annual Report on Form 10-K for the year ended December 31, 2020, the following risk factors apply to the Company:</w:t>
      </w:r>
    </w:p>
    <w:p>
      <w:pPr>
        <w:spacing w:after="0" w:line="19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The ongoing COVID-19 pandemic and measures intended to prevent its spread could have a material adverse effect on our business, results of operations and financial condition, and such effects will depend on future developments, which are highly uncertain and are difficult to predict.</w:t>
      </w:r>
    </w:p>
    <w:p>
      <w:pPr>
        <w:spacing w:after="0" w:line="15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Global health concerns relating to the COVID-19 pandemic and related government actions have resulted in significant disruptions and increased economic uncertainty. Government restrictions and recommendations designed to contain the virus and limit its effects have substantially limited the activities of individuals and the operations of businesses in the markets we serve.</w:t>
      </w:r>
    </w:p>
    <w:p>
      <w:pPr>
        <w:spacing w:after="0" w:line="21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Since the U.S. Food and Drug Administration (FDA) issued its first emergency use authorization for a COVID-19 vaccine on December 11, 2020, more than two-thirds of the adult population in the U.S. has received at least one vaccination. As of July 12, 2021, 62.4% of Michigan residents ages 16 and older have had at least one vaccination. Widespread vaccinations have slowed the spread of the virus. Effective June 22, 2021, the State of Michigan rescinded the emergency orders it implemented in response to the pandemic, including the rescission of restrictions on restaurant capacities and other restrictions on the size of in-person gatherings. Despite these positive developments, the pandemic continues to cause a great deal of economic uncertainty and disruption to financial and other markets, including as a result of concerns relating to possible variants of the original virus.</w:t>
      </w:r>
    </w:p>
    <w:p>
      <w:pPr>
        <w:spacing w:after="0" w:line="19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 result of the pandemic, the related governmental responses, and the ongoing uncertainty, our business, results of operations, and financial condition may be adversely affected by a number of factors that could impact us and our customers, including but not limited to:</w:t>
      </w:r>
    </w:p>
    <w:p>
      <w:pPr>
        <w:spacing w:after="0" w:line="197" w:lineRule="exact"/>
        <w:rPr>
          <w:sz w:val="20"/>
          <w:szCs w:val="20"/>
          <w:color w:val="auto"/>
        </w:rPr>
      </w:pPr>
    </w:p>
    <w:p>
      <w:pPr>
        <w:ind w:left="660" w:hanging="328"/>
        <w:spacing w:after="0"/>
        <w:tabs>
          <w:tab w:leader="none" w:pos="6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business closures and higher than normal levels of unemployment may cause increases in loan delinquencies, foreclosures and defaults;</w:t>
      </w:r>
    </w:p>
    <w:p>
      <w:pPr>
        <w:spacing w:after="0" w:line="34" w:lineRule="exact"/>
        <w:rPr>
          <w:rFonts w:ascii="Arial" w:cs="Arial" w:eastAsia="Arial" w:hAnsi="Arial"/>
          <w:sz w:val="17"/>
          <w:szCs w:val="17"/>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increases in our allowance for credit losses may be necessary;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declines in collateral values may occur;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third party disruptions may occur, including outages at network providers, on-line banking vendors and other suppliers;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there is increased cyber and payment fraud risk, as cybercriminals attempt to profit from the disruption, given increased online and remote activity;</w:t>
      </w:r>
    </w:p>
    <w:p>
      <w:pPr>
        <w:ind w:left="660" w:hanging="328"/>
        <w:spacing w:after="0" w:line="250"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we may experience operational failures due to changes in our normal business practices necessitated by the pandemic and related governmental actions; and/or</w:t>
      </w: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production and efficiency may suffer due to employee illnesses and/or employees having to work remotely.</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Given the ongoing uncertainty with respect to the pandemic and potential governmental responses, these risk factors may continue to some degree for a significant period of time.</w:t>
      </w:r>
    </w:p>
    <w:p>
      <w:pPr>
        <w:spacing w:after="0" w:line="19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risks presented by the pandemic have caused us to modify many of our business practices. Since the start of the pandemic, varying levels of our employee base have been working remotely. We have also expanded sick and vacation time for certain employees. Given the recent changes in workplace guidance as a result of the progress with vaccinations, we are moving to a hybrid work model. Depending on an employee’s position and responsibilities, some employees may continue to function either fully or partially out of the office while others will return to the office on a full-time basis. We may take further actions as may be required or as we determine to be prudent. There is no certainty that such measures will be sufficient to mitigate the risks posed by COVID-19. Similarly, while we hope vaccinations will lessen the impact of the virus on our business, there is still a significant degree of uncertainty with respect to the potential impact of widespread vaccinations and the spread of possible virus variants.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extent to which the COVID-19 pandemic may impact our business, results of operations and financial condition will depend on future developments, which are highly uncertain and difficult to predict. Those developments and factors are expected to include the evolution of the virus and possible virus variants, the number of people who become vaccinated, actions taken by governmental authorities to address the foregoing, and how quickly and to what extent normal economic and operating conditions can resume. We do not yet know the full extent of the impact. However, the effects could have a material adverse impact on our business, asset valuations, financial condition and results of operations. Material adverse impacts may include all or a combination of valuation impairments on our intangible assets, securities available for sale, loans, capitalized mortgage loan servicing rights or deferred tax assets.</w:t>
      </w:r>
    </w:p>
    <w:p>
      <w:pPr>
        <w:spacing w:after="0" w:line="18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As a participating lender in the U.S. Small Business Administration (“SBA”) Paycheck Protection Program (“PPP”), the Company and the Bank are subject to additional risks regarding the Bank’s processing of loans for the PPP and risks that the SBA may not fund some or all PPP loan guaranties.</w:t>
      </w:r>
    </w:p>
    <w:p>
      <w:pPr>
        <w:spacing w:after="0" w:line="20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March 27, 2020, the Coronavirus Aid, Relief, and Economic Security Act (“CARES Act”), was signed into law which included a $349 billion loan program administered through the SBA referred to as the Paycheck Protection Program ("PPP"). Under the PPP, small businesses and other entities and individuals could apply for loans from existing SBA lenders and other approved regulated lenders that enrolled in the PPP, subject to numerous limitations and eligibility criteria ("First Draw Loans"). First Draw Loans are eligible for forgiveness, subject to numerous limitations. The Bank is participating as a lender in the PPP.</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PPP opened on April 3, 2020; however, because of the short timeframe between the enactment of the CARES Act and the opening of the PPP, there was and is some ambiguity in the laws, rules and guidance regarding the operation of the PPP, which exposes us to potential risks relating to noncompliance with the PPP. Since the enactment of the CARES Act, the SBA and U.S. Department of Treasury have provided additional guidance and clarity on the PPP through the issuance of approximately 30 interim final rules implementing the PPP.</w:t>
      </w:r>
    </w:p>
    <w:p>
      <w:pPr>
        <w:spacing w:after="0" w:line="214"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Through various subsequent laws, including the Paycheck Protection Program and Health Care Enhancement Act and the Paycheck Protection Program Flexibility Act, the PPP was expanded to include an additional $310 billion in funding and extended through August 8, 2020. Such laws also allowed more time to spend the funds and eased some of the limitations and restrictions to obtaining forgiveness of PPP loans.</w:t>
      </w:r>
    </w:p>
    <w:p>
      <w:pPr>
        <w:spacing w:after="0" w:line="192" w:lineRule="exact"/>
        <w:rPr>
          <w:sz w:val="20"/>
          <w:szCs w:val="20"/>
          <w:color w:val="auto"/>
        </w:rPr>
      </w:pPr>
    </w:p>
    <w:p>
      <w:pPr>
        <w:ind w:right="180"/>
        <w:spacing w:after="0" w:line="287" w:lineRule="auto"/>
        <w:rPr>
          <w:sz w:val="20"/>
          <w:szCs w:val="20"/>
          <w:color w:val="auto"/>
        </w:rPr>
      </w:pPr>
      <w:r>
        <w:rPr>
          <w:rFonts w:ascii="Arial" w:cs="Arial" w:eastAsia="Arial" w:hAnsi="Arial"/>
          <w:sz w:val="16"/>
          <w:szCs w:val="16"/>
          <w:color w:val="auto"/>
        </w:rPr>
        <w:t>On December 27, 2020, the Economic Aid to Hard-Hit Small Businesses, Nonprofits, and Venues Act (‘‘Economic Aid Act’’) was signed into law which allocated an additional $284 billion in funding for the PPP. The Economic Aid Act reopened First Draw Loans with generally the same terms and conditions as originally enacted under the CARES Act while clarifying eligibility and ineligibility for certain entities and expanding the permitted uses of</w:t>
      </w:r>
    </w:p>
    <w:p>
      <w:pPr>
        <w:spacing w:after="0" w:line="2" w:lineRule="exact"/>
        <w:rPr>
          <w:sz w:val="20"/>
          <w:szCs w:val="20"/>
          <w:color w:val="auto"/>
        </w:rPr>
      </w:pPr>
    </w:p>
    <w:p>
      <w:pPr>
        <w:ind w:right="120" w:firstLine="8"/>
        <w:spacing w:after="0" w:line="302" w:lineRule="auto"/>
        <w:tabs>
          <w:tab w:leader="none" w:pos="345" w:val="left"/>
        </w:tabs>
        <w:numPr>
          <w:ilvl w:val="0"/>
          <w:numId w:val="56"/>
        </w:numPr>
        <w:rPr>
          <w:rFonts w:ascii="Arial" w:cs="Arial" w:eastAsia="Arial" w:hAnsi="Arial"/>
          <w:sz w:val="16"/>
          <w:szCs w:val="16"/>
          <w:color w:val="auto"/>
        </w:rPr>
      </w:pPr>
      <w:r>
        <w:rPr>
          <w:rFonts w:ascii="Arial" w:cs="Arial" w:eastAsia="Arial" w:hAnsi="Arial"/>
          <w:sz w:val="16"/>
          <w:szCs w:val="16"/>
          <w:color w:val="auto"/>
        </w:rPr>
        <w:t>funds. In addition, the Economic Aid Act simplified the loan forgiveness process for PPP loans of $150,000 or less. The Economic Aid Act also established second draw loans for entities that have already used their First Draw Loan proceeds, subject to numerous limitations and eligibility criteria ("Second Draw Loans"). Second Draw Loans are eligible for forgiveness similar to First Draw Loans, subject to limitations set forth in the Economic Aid Act.</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June 30, 2021, we had 1,707 First Draw Loans and Second Draw Loans outstanding with a total balance of $171.9 million, and the SBA had approved $238.3 million in First Draw Loans and Second Draw Loans for forgiveness.</w:t>
      </w:r>
    </w:p>
    <w:p>
      <w:pPr>
        <w:spacing w:after="0" w:line="197" w:lineRule="exact"/>
        <w:rPr>
          <w:sz w:val="20"/>
          <w:szCs w:val="20"/>
          <w:color w:val="auto"/>
        </w:rPr>
      </w:pPr>
    </w:p>
    <w:p>
      <w:pPr>
        <w:jc w:val="both"/>
        <w:spacing w:after="0" w:line="219" w:lineRule="exact"/>
        <w:rPr>
          <w:sz w:val="20"/>
          <w:szCs w:val="20"/>
          <w:color w:val="auto"/>
        </w:rPr>
      </w:pPr>
      <w:r>
        <w:rPr>
          <w:rFonts w:ascii="Arial" w:cs="Arial" w:eastAsia="Arial" w:hAnsi="Arial"/>
          <w:sz w:val="18"/>
          <w:szCs w:val="18"/>
          <w:color w:val="auto"/>
        </w:rPr>
        <w:t>Since the initiation of the PPP, several larger banks have been subject to litigation regarding the protocols and procedures that they used in processing applications for the PPP. We may be exposed to the risk of similar litigation, from both customers and non</w:t>
      </w:r>
      <w:r>
        <w:rPr>
          <w:rFonts w:ascii="MS PGothic" w:cs="MS PGothic" w:eastAsia="MS PGothic" w:hAnsi="MS PGothic"/>
          <w:sz w:val="18"/>
          <w:szCs w:val="18"/>
          <w:color w:val="auto"/>
        </w:rPr>
        <w:t>‑</w:t>
      </w:r>
      <w:r>
        <w:rPr>
          <w:rFonts w:ascii="Arial" w:cs="Arial" w:eastAsia="Arial" w:hAnsi="Arial"/>
          <w:sz w:val="18"/>
          <w:szCs w:val="18"/>
          <w:color w:val="auto"/>
        </w:rPr>
        <w:t>customers that approached us regarding PPP loans, regarding our policies and procedures used in processing applications for the PPP. If any such litigation is filed against the Company or the Bank and is not resolved in a manner favorable to us, it could result in financial liability or adversely affect our reputation. In addition, litigation can be costly, regardless of outcome. Any financial liability, litigation costs or reputational damage caused by PPP related litigation could have an adverse impact on our business, financial condition and results of operations.</w:t>
      </w:r>
    </w:p>
    <w:p>
      <w:pPr>
        <w:spacing w:after="0" w:line="23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also have credit risk on PPP loans if a determination is made by the SBA that there is a deficiency in the manner in which the loan was originated, funded, or serviced by the Bank, such as an issue with the eligibility of a borrower to receive a PPP loan, which may or may not be related to the ambiguity in the laws, rules and guidance regarding the operation of the PPP. The SBA reserves the right to audit PPP loans for six years after the loan is paid or forgiven in full. In the event of a loss resulting from a default on a PPP loan and a determination by the SBA that there was a deficiency in the manner in which the PPP loan was originated, funded, or serviced by us, the SBA may deny its liability under the guaranty, reduce the amount of the guaranty, or, if it has already paid under the guaranty, seek recovery of any loss related to the deficiency from us.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 Unregistered Sales of Equity Securities and Use of Proceeds</w:t>
      </w:r>
    </w:p>
    <w:p>
      <w:pPr>
        <w:spacing w:after="0" w:line="25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Company maintains a Deferred Compensation and Stock Purchase Plan for Non-Employee Directors (the "Plan") pursuant to which non-employee directors can elect to receive shares of the Company's common stock in lieu of fees otherwise payable to the director for his or her service as a director. A director can elect to receive shares on a current basis or to defer receipt of the shares, in which case the shares are issued to a trust to be held for the account of the director and then generally distributed to the director after his or her retirement from the Board. Pursuant to this Plan, during the second quarter of 2021, the Company issued 420 shares of common stock to non-employee directors on a current basis and 3,666 shares of common stock to the trust for distribution to directors on a deferred basis. These shares were issued on April 1, 2021 representing aggregate fees of $0.09 million. The shares on a current basis were issued at a price of $23.64 per share and the shares on a deferred basis were issued at a price of $21.28 per share, representing 90% of the fair value of the shares on the credit date. The price per share was the consolidated closing bid price per share of the Company's common stock as of the date of issuance, as determined in accordance with NASDAQ Marketplace Rules. The Company issued the shares pursuant to an exemption from registration under Section 4(2) of the Securities Act of 1933 due to the fact that the issuance of the shares was made on a private basis pursuant to the Plan.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certain information relating to repurchases of common stock for the three-months ended June 30, 2021:</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2"/>
              </w:rPr>
              <w:t>Total Number of</w:t>
            </w: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Remaining</w:t>
            </w:r>
          </w:p>
        </w:tc>
      </w:tr>
      <w:tr>
        <w:trPr>
          <w:trHeight w:val="216"/>
        </w:trPr>
        <w:tc>
          <w:tcPr>
            <w:tcW w:w="40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5"/>
              </w:rPr>
              <w:t>Shares Purchased</w:t>
            </w:r>
          </w:p>
        </w:tc>
        <w:tc>
          <w:tcPr>
            <w:tcW w:w="1540" w:type="dxa"/>
            <w:vAlign w:val="bottom"/>
          </w:tcPr>
          <w:p>
            <w:pPr>
              <w:jc w:val="center"/>
              <w:spacing w:after="0"/>
              <w:rPr>
                <w:sz w:val="20"/>
                <w:szCs w:val="20"/>
                <w:color w:val="auto"/>
              </w:rPr>
            </w:pPr>
            <w:r>
              <w:rPr>
                <w:rFonts w:ascii="Arial" w:cs="Arial" w:eastAsia="Arial" w:hAnsi="Arial"/>
                <w:sz w:val="18"/>
                <w:szCs w:val="18"/>
                <w:color w:val="auto"/>
                <w:w w:val="92"/>
              </w:rPr>
              <w:t>Number of</w:t>
            </w:r>
          </w:p>
        </w:tc>
      </w:tr>
      <w:tr>
        <w:trPr>
          <w:trHeight w:val="216"/>
        </w:trPr>
        <w:tc>
          <w:tcPr>
            <w:tcW w:w="40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6"/>
              </w:rPr>
              <w:t>as Part of a</w:t>
            </w: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Shares Authorized</w:t>
            </w:r>
          </w:p>
        </w:tc>
      </w:tr>
      <w:tr>
        <w:trPr>
          <w:trHeight w:val="216"/>
        </w:trPr>
        <w:tc>
          <w:tcPr>
            <w:tcW w:w="40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20" w:type="dxa"/>
            <w:vAlign w:val="bottom"/>
          </w:tcPr>
          <w:p>
            <w:pPr>
              <w:jc w:val="right"/>
              <w:ind w:right="170"/>
              <w:spacing w:after="0"/>
              <w:rPr>
                <w:sz w:val="20"/>
                <w:szCs w:val="20"/>
                <w:color w:val="auto"/>
              </w:rPr>
            </w:pPr>
            <w:r>
              <w:rPr>
                <w:rFonts w:ascii="Arial" w:cs="Arial" w:eastAsia="Arial" w:hAnsi="Arial"/>
                <w:sz w:val="18"/>
                <w:szCs w:val="18"/>
                <w:color w:val="auto"/>
              </w:rPr>
              <w:t>Total Number of</w:t>
            </w:r>
          </w:p>
        </w:tc>
        <w:tc>
          <w:tcPr>
            <w:tcW w:w="1320" w:type="dxa"/>
            <w:vAlign w:val="bottom"/>
            <w:gridSpan w:val="2"/>
          </w:tcPr>
          <w:p>
            <w:pPr>
              <w:jc w:val="right"/>
              <w:ind w:right="50"/>
              <w:spacing w:after="0"/>
              <w:rPr>
                <w:sz w:val="20"/>
                <w:szCs w:val="20"/>
                <w:color w:val="auto"/>
              </w:rPr>
            </w:pPr>
            <w:r>
              <w:rPr>
                <w:rFonts w:ascii="Arial" w:cs="Arial" w:eastAsia="Arial" w:hAnsi="Arial"/>
                <w:sz w:val="18"/>
                <w:szCs w:val="18"/>
                <w:color w:val="auto"/>
              </w:rPr>
              <w:t>Average Price</w:t>
            </w:r>
          </w:p>
        </w:tc>
        <w:tc>
          <w:tcPr>
            <w:tcW w:w="1480" w:type="dxa"/>
            <w:vAlign w:val="bottom"/>
          </w:tcPr>
          <w:p>
            <w:pPr>
              <w:jc w:val="center"/>
              <w:spacing w:after="0"/>
              <w:rPr>
                <w:sz w:val="20"/>
                <w:szCs w:val="20"/>
                <w:color w:val="auto"/>
              </w:rPr>
            </w:pPr>
            <w:r>
              <w:rPr>
                <w:rFonts w:ascii="Arial" w:cs="Arial" w:eastAsia="Arial" w:hAnsi="Arial"/>
                <w:sz w:val="18"/>
                <w:szCs w:val="18"/>
                <w:color w:val="auto"/>
                <w:w w:val="96"/>
              </w:rPr>
              <w:t>Publicly</w:t>
            </w:r>
          </w:p>
        </w:tc>
        <w:tc>
          <w:tcPr>
            <w:tcW w:w="1540" w:type="dxa"/>
            <w:vAlign w:val="bottom"/>
          </w:tcPr>
          <w:p>
            <w:pPr>
              <w:jc w:val="center"/>
              <w:spacing w:after="0"/>
              <w:rPr>
                <w:sz w:val="20"/>
                <w:szCs w:val="20"/>
                <w:color w:val="auto"/>
              </w:rPr>
            </w:pPr>
            <w:r>
              <w:rPr>
                <w:rFonts w:ascii="Arial" w:cs="Arial" w:eastAsia="Arial" w:hAnsi="Arial"/>
                <w:sz w:val="18"/>
                <w:szCs w:val="18"/>
                <w:color w:val="auto"/>
                <w:w w:val="88"/>
              </w:rPr>
              <w:t>for Purchase</w:t>
            </w:r>
          </w:p>
        </w:tc>
      </w:tr>
      <w:tr>
        <w:trPr>
          <w:trHeight w:val="237"/>
        </w:trPr>
        <w:tc>
          <w:tcPr>
            <w:tcW w:w="4060" w:type="dxa"/>
            <w:vAlign w:val="bottom"/>
            <w:tcBorders>
              <w:bottom w:val="single" w:sz="8" w:color="auto"/>
            </w:tcBorders>
          </w:tcPr>
          <w:p>
            <w:pPr>
              <w:ind w:left="2360"/>
              <w:spacing w:after="0"/>
              <w:rPr>
                <w:sz w:val="20"/>
                <w:szCs w:val="20"/>
                <w:color w:val="auto"/>
              </w:rPr>
            </w:pPr>
            <w:r>
              <w:rPr>
                <w:rFonts w:ascii="Arial" w:cs="Arial" w:eastAsia="Arial" w:hAnsi="Arial"/>
                <w:sz w:val="18"/>
                <w:szCs w:val="18"/>
                <w:color w:val="auto"/>
              </w:rPr>
              <w:t>Period</w:t>
            </w:r>
          </w:p>
        </w:tc>
        <w:tc>
          <w:tcPr>
            <w:tcW w:w="284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Shares Purchased (1)</w:t>
            </w:r>
          </w:p>
        </w:tc>
        <w:tc>
          <w:tcPr>
            <w:tcW w:w="132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96"/>
              </w:rPr>
              <w:t>Paid Per Share</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Announced Plan</w:t>
            </w: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Under the Plan</w:t>
            </w: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April 2021</w:t>
            </w:r>
          </w:p>
        </w:tc>
        <w:tc>
          <w:tcPr>
            <w:tcW w:w="28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4,521</w:t>
            </w:r>
          </w:p>
        </w:tc>
        <w:tc>
          <w:tcPr>
            <w:tcW w:w="5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23.74</w:t>
            </w: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919,333</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May 2021</w:t>
            </w:r>
          </w:p>
        </w:tc>
        <w:tc>
          <w:tcPr>
            <w:tcW w:w="2840" w:type="dxa"/>
            <w:vAlign w:val="bottom"/>
            <w:gridSpan w:val="2"/>
          </w:tcPr>
          <w:p>
            <w:pPr>
              <w:jc w:val="right"/>
              <w:ind w:right="10"/>
              <w:spacing w:after="0"/>
              <w:rPr>
                <w:sz w:val="20"/>
                <w:szCs w:val="20"/>
                <w:color w:val="auto"/>
              </w:rPr>
            </w:pPr>
            <w:r>
              <w:rPr>
                <w:rFonts w:ascii="Arial" w:cs="Arial" w:eastAsia="Arial" w:hAnsi="Arial"/>
                <w:sz w:val="18"/>
                <w:szCs w:val="18"/>
                <w:color w:val="auto"/>
              </w:rPr>
              <w:t>51,454</w:t>
            </w:r>
          </w:p>
        </w:tc>
        <w:tc>
          <w:tcPr>
            <w:tcW w:w="52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22.92</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51,220</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868,113</w:t>
            </w:r>
          </w:p>
        </w:tc>
      </w:tr>
      <w:tr>
        <w:trPr>
          <w:trHeight w:val="223"/>
        </w:trPr>
        <w:tc>
          <w:tcPr>
            <w:tcW w:w="4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June 2021</w:t>
            </w:r>
          </w:p>
        </w:tc>
        <w:tc>
          <w:tcPr>
            <w:tcW w:w="122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112,118</w:t>
            </w:r>
          </w:p>
        </w:tc>
        <w:tc>
          <w:tcPr>
            <w:tcW w:w="5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22.40</w:t>
            </w: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112,118</w:t>
            </w:r>
          </w:p>
        </w:tc>
        <w:tc>
          <w:tcPr>
            <w:tcW w:w="1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755,995</w:t>
            </w:r>
          </w:p>
        </w:tc>
      </w:tr>
      <w:tr>
        <w:trPr>
          <w:trHeight w:val="216"/>
        </w:trPr>
        <w:tc>
          <w:tcPr>
            <w:tcW w:w="4060" w:type="dxa"/>
            <w:vAlign w:val="bottom"/>
          </w:tcPr>
          <w:p>
            <w:pPr>
              <w:ind w:left="140"/>
              <w:spacing w:after="0"/>
              <w:rPr>
                <w:sz w:val="20"/>
                <w:szCs w:val="20"/>
                <w:color w:val="auto"/>
              </w:rPr>
            </w:pPr>
            <w:r>
              <w:rPr>
                <w:rFonts w:ascii="Arial" w:cs="Arial" w:eastAsia="Arial" w:hAnsi="Arial"/>
                <w:sz w:val="18"/>
                <w:szCs w:val="18"/>
                <w:color w:val="auto"/>
              </w:rPr>
              <w:t>Total</w:t>
            </w:r>
          </w:p>
        </w:tc>
        <w:tc>
          <w:tcPr>
            <w:tcW w:w="2840" w:type="dxa"/>
            <w:vAlign w:val="bottom"/>
            <w:gridSpan w:val="2"/>
          </w:tcPr>
          <w:p>
            <w:pPr>
              <w:jc w:val="right"/>
              <w:ind w:right="10"/>
              <w:spacing w:after="0"/>
              <w:rPr>
                <w:sz w:val="20"/>
                <w:szCs w:val="20"/>
                <w:color w:val="auto"/>
              </w:rPr>
            </w:pPr>
            <w:r>
              <w:rPr>
                <w:rFonts w:ascii="Arial" w:cs="Arial" w:eastAsia="Arial" w:hAnsi="Arial"/>
                <w:sz w:val="18"/>
                <w:szCs w:val="18"/>
                <w:color w:val="auto"/>
              </w:rPr>
              <w:t>168,093</w:t>
            </w:r>
          </w:p>
        </w:tc>
        <w:tc>
          <w:tcPr>
            <w:tcW w:w="5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22.59</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163,338</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755,995</w:t>
            </w:r>
          </w:p>
        </w:tc>
      </w:tr>
      <w:tr>
        <w:trPr>
          <w:trHeight w:val="21"/>
        </w:trPr>
        <w:tc>
          <w:tcPr>
            <w:tcW w:w="40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left="340" w:hanging="332"/>
        <w:spacing w:after="0" w:line="263" w:lineRule="auto"/>
        <w:tabs>
          <w:tab w:leader="none" w:pos="3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April and June include 4,521 shares and 234 shares, respectively, withheld from the shares that would otherwise have been issued to certain officers in order to satisfy tax withholding obligations resulting from the vesting of restricted stock as well as satisfy tax withholding obligations and stock option exercise price resulting from the exercise of stock options.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6. Exhibits</w:t>
      </w:r>
    </w:p>
    <w:p>
      <w:pPr>
        <w:spacing w:after="0" w:line="252" w:lineRule="exact"/>
        <w:rPr>
          <w:sz w:val="20"/>
          <w:szCs w:val="20"/>
          <w:color w:val="auto"/>
        </w:rPr>
      </w:pPr>
    </w:p>
    <w:p>
      <w:pPr>
        <w:ind w:left="320"/>
        <w:spacing w:after="0"/>
        <w:tabs>
          <w:tab w:leader="none" w:pos="64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The following exhibits (listed by number corresponding to the Exhibit Table as Item 601 in Regulation S-K) are filed with this report: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40" w:type="dxa"/>
            <w:vAlign w:val="bottom"/>
            <w:gridSpan w:val="3"/>
            <w:shd w:val="clear" w:color="auto" w:fill="CCEEFF"/>
          </w:tcPr>
          <w:p>
            <w:pPr>
              <w:jc w:val="right"/>
              <w:ind w:right="300"/>
              <w:spacing w:after="0"/>
              <w:rPr>
                <w:rFonts w:ascii="Arial" w:cs="Arial" w:eastAsia="Arial" w:hAnsi="Arial"/>
                <w:sz w:val="18"/>
                <w:szCs w:val="18"/>
                <w:color w:val="0000EE"/>
              </w:rPr>
            </w:pPr>
            <w:hyperlink w:anchor="page104">
              <w:r>
                <w:rPr>
                  <w:rFonts w:ascii="Arial" w:cs="Arial" w:eastAsia="Arial" w:hAnsi="Arial"/>
                  <w:sz w:val="18"/>
                  <w:szCs w:val="18"/>
                  <w:color w:val="0000EE"/>
                </w:rPr>
                <w:t>31.</w:t>
              </w:r>
              <w:r>
                <w:rPr>
                  <w:rFonts w:ascii="Arial" w:cs="Arial" w:eastAsia="Arial" w:hAnsi="Arial"/>
                  <w:sz w:val="18"/>
                  <w:szCs w:val="18"/>
                  <w:u w:val="single" w:color="auto"/>
                  <w:color w:val="0000EE"/>
                </w:rPr>
                <w:t>1</w:t>
              </w:r>
            </w:hyperlink>
          </w:p>
        </w:tc>
        <w:tc>
          <w:tcPr>
            <w:tcW w:w="1000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4"/>
              </w:rPr>
              <w:t>Certificate of the Chief Executive Officer of Independent Bank Corporation pursuant to Section 302 of the Sarbanes-Oxley Act of</w:t>
            </w:r>
          </w:p>
        </w:tc>
      </w:tr>
      <w:tr>
        <w:trPr>
          <w:trHeight w:val="237"/>
        </w:trPr>
        <w:tc>
          <w:tcPr>
            <w:tcW w:w="62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0000EE"/>
            </w:tcBorders>
            <w:shd w:val="clear" w:color="auto" w:fill="CCEEFF"/>
          </w:tcPr>
          <w:p>
            <w:pPr>
              <w:spacing w:after="0"/>
              <w:rPr>
                <w:sz w:val="20"/>
                <w:szCs w:val="20"/>
                <w:color w:val="auto"/>
              </w:rPr>
            </w:pPr>
          </w:p>
        </w:tc>
        <w:tc>
          <w:tcPr>
            <w:tcW w:w="300" w:type="dxa"/>
            <w:vAlign w:val="bottom"/>
            <w:tcBorders>
              <w:top w:val="single" w:sz="8" w:color="CCEEFF"/>
            </w:tcBorders>
            <w:shd w:val="clear" w:color="auto" w:fill="CCEEFF"/>
          </w:tcPr>
          <w:p>
            <w:pPr>
              <w:spacing w:after="0"/>
              <w:rPr>
                <w:sz w:val="20"/>
                <w:szCs w:val="20"/>
                <w:color w:val="auto"/>
              </w:rPr>
            </w:pPr>
          </w:p>
        </w:tc>
        <w:tc>
          <w:tcPr>
            <w:tcW w:w="10000" w:type="dxa"/>
            <w:vAlign w:val="bottom"/>
            <w:tcBorders>
              <w:top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2002 (18 U.S.C. 1350).</w:t>
            </w:r>
          </w:p>
        </w:tc>
      </w:tr>
      <w:tr>
        <w:trPr>
          <w:trHeight w:val="175"/>
        </w:trPr>
        <w:tc>
          <w:tcPr>
            <w:tcW w:w="1240" w:type="dxa"/>
            <w:vAlign w:val="bottom"/>
            <w:gridSpan w:val="3"/>
          </w:tcPr>
          <w:p>
            <w:pPr>
              <w:jc w:val="right"/>
              <w:ind w:right="300"/>
              <w:spacing w:after="0" w:line="176" w:lineRule="exact"/>
              <w:rPr>
                <w:rFonts w:ascii="Arial" w:cs="Arial" w:eastAsia="Arial" w:hAnsi="Arial"/>
                <w:sz w:val="18"/>
                <w:szCs w:val="18"/>
                <w:color w:val="0000EE"/>
              </w:rPr>
            </w:pPr>
            <w:hyperlink w:anchor="page105">
              <w:r>
                <w:rPr>
                  <w:rFonts w:ascii="Arial" w:cs="Arial" w:eastAsia="Arial" w:hAnsi="Arial"/>
                  <w:sz w:val="18"/>
                  <w:szCs w:val="18"/>
                  <w:color w:val="0000EE"/>
                </w:rPr>
                <w:t>31.</w:t>
              </w:r>
              <w:r>
                <w:rPr>
                  <w:rFonts w:ascii="Arial" w:cs="Arial" w:eastAsia="Arial" w:hAnsi="Arial"/>
                  <w:sz w:val="18"/>
                  <w:szCs w:val="18"/>
                  <w:u w:val="single" w:color="auto"/>
                  <w:color w:val="0000EE"/>
                </w:rPr>
                <w:t>2</w:t>
              </w:r>
            </w:hyperlink>
          </w:p>
        </w:tc>
        <w:tc>
          <w:tcPr>
            <w:tcW w:w="10000" w:type="dxa"/>
            <w:vAlign w:val="bottom"/>
          </w:tcPr>
          <w:p>
            <w:pPr>
              <w:ind w:left="300"/>
              <w:spacing w:after="0" w:line="176" w:lineRule="exact"/>
              <w:rPr>
                <w:sz w:val="20"/>
                <w:szCs w:val="20"/>
                <w:color w:val="auto"/>
              </w:rPr>
            </w:pPr>
            <w:r>
              <w:rPr>
                <w:rFonts w:ascii="Arial" w:cs="Arial" w:eastAsia="Arial" w:hAnsi="Arial"/>
                <w:sz w:val="18"/>
                <w:szCs w:val="18"/>
                <w:color w:val="auto"/>
                <w:w w:val="95"/>
              </w:rPr>
              <w:t>Certificate of the Chief Financial Officer of Independent Bank Corporation pursuant to Section 302 of the Sarbanes-Oxley Act of</w:t>
            </w:r>
          </w:p>
        </w:tc>
      </w:tr>
      <w:tr>
        <w:trPr>
          <w:trHeight w:val="237"/>
        </w:trPr>
        <w:tc>
          <w:tcPr>
            <w:tcW w:w="620" w:type="dxa"/>
            <w:vAlign w:val="bottom"/>
          </w:tcPr>
          <w:p>
            <w:pPr>
              <w:spacing w:after="0"/>
              <w:rPr>
                <w:sz w:val="20"/>
                <w:szCs w:val="20"/>
                <w:color w:val="auto"/>
              </w:rPr>
            </w:pPr>
          </w:p>
        </w:tc>
        <w:tc>
          <w:tcPr>
            <w:tcW w:w="320" w:type="dxa"/>
            <w:vAlign w:val="bottom"/>
            <w:tcBorders>
              <w:top w:val="single" w:sz="8" w:color="0000EE"/>
            </w:tcBorders>
          </w:tcPr>
          <w:p>
            <w:pPr>
              <w:spacing w:after="0"/>
              <w:rPr>
                <w:sz w:val="20"/>
                <w:szCs w:val="20"/>
                <w:color w:val="auto"/>
              </w:rPr>
            </w:pPr>
          </w:p>
        </w:tc>
        <w:tc>
          <w:tcPr>
            <w:tcW w:w="300" w:type="dxa"/>
            <w:vAlign w:val="bottom"/>
          </w:tcPr>
          <w:p>
            <w:pPr>
              <w:spacing w:after="0"/>
              <w:rPr>
                <w:sz w:val="20"/>
                <w:szCs w:val="20"/>
                <w:color w:val="auto"/>
              </w:rPr>
            </w:pPr>
          </w:p>
        </w:tc>
        <w:tc>
          <w:tcPr>
            <w:tcW w:w="10000" w:type="dxa"/>
            <w:vAlign w:val="bottom"/>
          </w:tcPr>
          <w:p>
            <w:pPr>
              <w:ind w:left="300"/>
              <w:spacing w:after="0"/>
              <w:rPr>
                <w:sz w:val="20"/>
                <w:szCs w:val="20"/>
                <w:color w:val="auto"/>
              </w:rPr>
            </w:pPr>
            <w:r>
              <w:rPr>
                <w:rFonts w:ascii="Arial" w:cs="Arial" w:eastAsia="Arial" w:hAnsi="Arial"/>
                <w:sz w:val="18"/>
                <w:szCs w:val="18"/>
                <w:color w:val="auto"/>
              </w:rPr>
              <w:t>2002 (18 U.S.C. 1350).</w:t>
            </w:r>
          </w:p>
        </w:tc>
      </w:tr>
      <w:tr>
        <w:trPr>
          <w:trHeight w:val="176"/>
        </w:trPr>
        <w:tc>
          <w:tcPr>
            <w:tcW w:w="1240" w:type="dxa"/>
            <w:vAlign w:val="bottom"/>
            <w:gridSpan w:val="3"/>
            <w:shd w:val="clear" w:color="auto" w:fill="CCEEFF"/>
          </w:tcPr>
          <w:p>
            <w:pPr>
              <w:jc w:val="right"/>
              <w:ind w:right="300"/>
              <w:spacing w:after="0" w:line="176" w:lineRule="exact"/>
              <w:rPr>
                <w:rFonts w:ascii="Arial" w:cs="Arial" w:eastAsia="Arial" w:hAnsi="Arial"/>
                <w:sz w:val="18"/>
                <w:szCs w:val="18"/>
                <w:color w:val="0000EE"/>
              </w:rPr>
            </w:pPr>
            <w:hyperlink w:anchor="page106">
              <w:r>
                <w:rPr>
                  <w:rFonts w:ascii="Arial" w:cs="Arial" w:eastAsia="Arial" w:hAnsi="Arial"/>
                  <w:sz w:val="18"/>
                  <w:szCs w:val="18"/>
                  <w:color w:val="0000EE"/>
                </w:rPr>
                <w:t>32.</w:t>
              </w:r>
              <w:r>
                <w:rPr>
                  <w:rFonts w:ascii="Arial" w:cs="Arial" w:eastAsia="Arial" w:hAnsi="Arial"/>
                  <w:sz w:val="18"/>
                  <w:szCs w:val="18"/>
                  <w:u w:val="single" w:color="auto"/>
                  <w:color w:val="0000EE"/>
                </w:rPr>
                <w:t>1</w:t>
              </w:r>
            </w:hyperlink>
          </w:p>
        </w:tc>
        <w:tc>
          <w:tcPr>
            <w:tcW w:w="10000" w:type="dxa"/>
            <w:vAlign w:val="bottom"/>
            <w:shd w:val="clear" w:color="auto" w:fill="CCEEFF"/>
          </w:tcPr>
          <w:p>
            <w:pPr>
              <w:ind w:left="300"/>
              <w:spacing w:after="0" w:line="176" w:lineRule="exact"/>
              <w:rPr>
                <w:sz w:val="20"/>
                <w:szCs w:val="20"/>
                <w:color w:val="auto"/>
              </w:rPr>
            </w:pPr>
            <w:r>
              <w:rPr>
                <w:rFonts w:ascii="Arial" w:cs="Arial" w:eastAsia="Arial" w:hAnsi="Arial"/>
                <w:sz w:val="18"/>
                <w:szCs w:val="18"/>
                <w:color w:val="auto"/>
                <w:w w:val="94"/>
              </w:rPr>
              <w:t>Certificate of the Chief Executive Officer of Independent Bank Corporation pursuant to Section 906 of the Sarbanes-Oxley Act of</w:t>
            </w:r>
          </w:p>
        </w:tc>
      </w:tr>
      <w:tr>
        <w:trPr>
          <w:trHeight w:val="237"/>
        </w:trPr>
        <w:tc>
          <w:tcPr>
            <w:tcW w:w="62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0000EE"/>
            </w:tcBorders>
            <w:shd w:val="clear" w:color="auto" w:fill="CCEEFF"/>
          </w:tcPr>
          <w:p>
            <w:pPr>
              <w:spacing w:after="0"/>
              <w:rPr>
                <w:sz w:val="20"/>
                <w:szCs w:val="20"/>
                <w:color w:val="auto"/>
              </w:rPr>
            </w:pPr>
          </w:p>
        </w:tc>
        <w:tc>
          <w:tcPr>
            <w:tcW w:w="300" w:type="dxa"/>
            <w:vAlign w:val="bottom"/>
            <w:tcBorders>
              <w:top w:val="single" w:sz="8" w:color="CCEEFF"/>
            </w:tcBorders>
            <w:shd w:val="clear" w:color="auto" w:fill="CCEEFF"/>
          </w:tcPr>
          <w:p>
            <w:pPr>
              <w:spacing w:after="0"/>
              <w:rPr>
                <w:sz w:val="20"/>
                <w:szCs w:val="20"/>
                <w:color w:val="auto"/>
              </w:rPr>
            </w:pPr>
          </w:p>
        </w:tc>
        <w:tc>
          <w:tcPr>
            <w:tcW w:w="10000" w:type="dxa"/>
            <w:vAlign w:val="bottom"/>
            <w:tcBorders>
              <w:top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2002 (18 U.S.C. 1350).</w:t>
            </w:r>
          </w:p>
        </w:tc>
      </w:tr>
      <w:tr>
        <w:trPr>
          <w:trHeight w:val="175"/>
        </w:trPr>
        <w:tc>
          <w:tcPr>
            <w:tcW w:w="1240" w:type="dxa"/>
            <w:vAlign w:val="bottom"/>
            <w:gridSpan w:val="3"/>
          </w:tcPr>
          <w:p>
            <w:pPr>
              <w:jc w:val="right"/>
              <w:ind w:right="300"/>
              <w:spacing w:after="0" w:line="176" w:lineRule="exact"/>
              <w:rPr>
                <w:rFonts w:ascii="Arial" w:cs="Arial" w:eastAsia="Arial" w:hAnsi="Arial"/>
                <w:sz w:val="18"/>
                <w:szCs w:val="18"/>
                <w:color w:val="0000EE"/>
              </w:rPr>
            </w:pPr>
            <w:hyperlink w:anchor="page107">
              <w:r>
                <w:rPr>
                  <w:rFonts w:ascii="Arial" w:cs="Arial" w:eastAsia="Arial" w:hAnsi="Arial"/>
                  <w:sz w:val="18"/>
                  <w:szCs w:val="18"/>
                  <w:color w:val="0000EE"/>
                </w:rPr>
                <w:t>32.</w:t>
              </w:r>
              <w:r>
                <w:rPr>
                  <w:rFonts w:ascii="Arial" w:cs="Arial" w:eastAsia="Arial" w:hAnsi="Arial"/>
                  <w:sz w:val="18"/>
                  <w:szCs w:val="18"/>
                  <w:u w:val="single" w:color="auto"/>
                  <w:color w:val="0000EE"/>
                </w:rPr>
                <w:t>2</w:t>
              </w:r>
            </w:hyperlink>
          </w:p>
        </w:tc>
        <w:tc>
          <w:tcPr>
            <w:tcW w:w="10000" w:type="dxa"/>
            <w:vAlign w:val="bottom"/>
          </w:tcPr>
          <w:p>
            <w:pPr>
              <w:ind w:left="300"/>
              <w:spacing w:after="0" w:line="176" w:lineRule="exact"/>
              <w:rPr>
                <w:sz w:val="20"/>
                <w:szCs w:val="20"/>
                <w:color w:val="auto"/>
              </w:rPr>
            </w:pPr>
            <w:r>
              <w:rPr>
                <w:rFonts w:ascii="Arial" w:cs="Arial" w:eastAsia="Arial" w:hAnsi="Arial"/>
                <w:sz w:val="18"/>
                <w:szCs w:val="18"/>
                <w:color w:val="auto"/>
                <w:w w:val="95"/>
              </w:rPr>
              <w:t>Certificate of the Chief Financial Officer of Independent Bank Corporation pursuant to Section 906 of the Sarbanes-Oxley Act of</w:t>
            </w:r>
          </w:p>
        </w:tc>
      </w:tr>
      <w:tr>
        <w:trPr>
          <w:trHeight w:val="237"/>
        </w:trPr>
        <w:tc>
          <w:tcPr>
            <w:tcW w:w="620" w:type="dxa"/>
            <w:vAlign w:val="bottom"/>
          </w:tcPr>
          <w:p>
            <w:pPr>
              <w:spacing w:after="0"/>
              <w:rPr>
                <w:sz w:val="20"/>
                <w:szCs w:val="20"/>
                <w:color w:val="auto"/>
              </w:rPr>
            </w:pPr>
          </w:p>
        </w:tc>
        <w:tc>
          <w:tcPr>
            <w:tcW w:w="320" w:type="dxa"/>
            <w:vAlign w:val="bottom"/>
            <w:tcBorders>
              <w:top w:val="single" w:sz="8" w:color="0000EE"/>
            </w:tcBorders>
          </w:tcPr>
          <w:p>
            <w:pPr>
              <w:spacing w:after="0"/>
              <w:rPr>
                <w:sz w:val="20"/>
                <w:szCs w:val="20"/>
                <w:color w:val="auto"/>
              </w:rPr>
            </w:pPr>
          </w:p>
        </w:tc>
        <w:tc>
          <w:tcPr>
            <w:tcW w:w="300" w:type="dxa"/>
            <w:vAlign w:val="bottom"/>
          </w:tcPr>
          <w:p>
            <w:pPr>
              <w:spacing w:after="0"/>
              <w:rPr>
                <w:sz w:val="20"/>
                <w:szCs w:val="20"/>
                <w:color w:val="auto"/>
              </w:rPr>
            </w:pPr>
          </w:p>
        </w:tc>
        <w:tc>
          <w:tcPr>
            <w:tcW w:w="10000" w:type="dxa"/>
            <w:vAlign w:val="bottom"/>
          </w:tcPr>
          <w:p>
            <w:pPr>
              <w:ind w:left="300"/>
              <w:spacing w:after="0"/>
              <w:rPr>
                <w:sz w:val="20"/>
                <w:szCs w:val="20"/>
                <w:color w:val="auto"/>
              </w:rPr>
            </w:pPr>
            <w:r>
              <w:rPr>
                <w:rFonts w:ascii="Arial" w:cs="Arial" w:eastAsia="Arial" w:hAnsi="Arial"/>
                <w:sz w:val="18"/>
                <w:szCs w:val="18"/>
                <w:color w:val="auto"/>
              </w:rPr>
              <w:t>2002 (18 U.S.C. 1350).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2743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1540" w:hanging="911"/>
        <w:spacing w:after="0"/>
        <w:tabs>
          <w:tab w:leader="none" w:pos="1540" w:val="left"/>
        </w:tabs>
        <w:numPr>
          <w:ilvl w:val="0"/>
          <w:numId w:val="58"/>
        </w:numPr>
        <w:rPr>
          <w:rFonts w:ascii="Arial" w:cs="Arial" w:eastAsia="Arial" w:hAnsi="Arial"/>
          <w:sz w:val="16"/>
          <w:szCs w:val="16"/>
          <w:color w:val="auto"/>
        </w:rPr>
      </w:pPr>
      <w:r>
        <w:rPr>
          <w:rFonts w:ascii="Arial" w:cs="Arial" w:eastAsia="Arial" w:hAnsi="Arial"/>
          <w:sz w:val="16"/>
          <w:szCs w:val="16"/>
          <w:color w:val="auto"/>
        </w:rPr>
        <w:t>INS Inline XBRL Instance Document (the instance document does not appear in the Interactive Data File because its XBRL tags are</w:t>
      </w:r>
    </w:p>
    <w:p>
      <w:pPr>
        <w:spacing w:after="0" w:line="32"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embedded within the Inline XBRL document)</w:t>
      </w:r>
    </w:p>
    <w:p>
      <w:pPr>
        <w:spacing w:after="0" w:line="9" w:lineRule="exact"/>
        <w:rPr>
          <w:sz w:val="20"/>
          <w:szCs w:val="20"/>
          <w:color w:val="auto"/>
        </w:rPr>
      </w:pPr>
    </w:p>
    <w:p>
      <w:pPr>
        <w:ind w:left="1540" w:hanging="911"/>
        <w:spacing w:after="0"/>
        <w:tabs>
          <w:tab w:leader="none" w:pos="15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SCH Inline XBRL Taxonomy Extension Schema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540" w:hanging="911"/>
        <w:spacing w:after="0"/>
        <w:tabs>
          <w:tab w:leader="none" w:pos="15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CAL Inline XBRL Taxonomy Extension Calculation Linkbase Document</w:t>
      </w:r>
    </w:p>
    <w:p>
      <w:pPr>
        <w:spacing w:after="0" w:line="9" w:lineRule="exact"/>
        <w:rPr>
          <w:sz w:val="20"/>
          <w:szCs w:val="20"/>
          <w:color w:val="auto"/>
        </w:rPr>
      </w:pPr>
    </w:p>
    <w:p>
      <w:pPr>
        <w:ind w:left="1540" w:hanging="911"/>
        <w:spacing w:after="0"/>
        <w:tabs>
          <w:tab w:leader="none" w:pos="15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DEF Inline XBRL Taxonomy Extension Definition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540" w:hanging="911"/>
        <w:spacing w:after="0"/>
        <w:tabs>
          <w:tab w:leader="none" w:pos="15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LAB Inline XBRL Taxonomy Extension Label Linkbase Document</w:t>
      </w:r>
    </w:p>
    <w:p>
      <w:pPr>
        <w:spacing w:after="0" w:line="9" w:lineRule="exact"/>
        <w:rPr>
          <w:sz w:val="20"/>
          <w:szCs w:val="20"/>
          <w:color w:val="auto"/>
        </w:rPr>
      </w:pPr>
    </w:p>
    <w:p>
      <w:pPr>
        <w:ind w:left="1540" w:hanging="911"/>
        <w:spacing w:after="0"/>
        <w:tabs>
          <w:tab w:leader="none" w:pos="15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PRE Inline XBRL Taxonomy Extension Presentation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540" w:hanging="911"/>
        <w:spacing w:after="0"/>
        <w:tabs>
          <w:tab w:leader="none" w:pos="15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69" w:lineRule="exact"/>
        <w:rPr>
          <w:rFonts w:ascii="Arial" w:cs="Arial" w:eastAsia="Arial" w:hAnsi="Arial"/>
          <w:sz w:val="18"/>
          <w:szCs w:val="18"/>
          <w:color w:val="auto"/>
        </w:rPr>
      </w:pPr>
    </w:p>
    <w:p>
      <w:pPr>
        <w:ind w:left="5480"/>
        <w:spacing w:after="0"/>
        <w:rPr>
          <w:rFonts w:ascii="Arial" w:cs="Arial" w:eastAsia="Arial" w:hAnsi="Arial"/>
          <w:sz w:val="18"/>
          <w:szCs w:val="18"/>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2" w:name="page103"/>
    <w:bookmarkEnd w:id="10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SIGNATURES</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spacing w:after="0"/>
        <w:tabs>
          <w:tab w:leader="none" w:pos="1720" w:val="left"/>
          <w:tab w:leader="none" w:pos="6180" w:val="left"/>
          <w:tab w:leader="none" w:pos="70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6,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Gavin A. Mohr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14605</wp:posOffset>
            </wp:positionV>
            <wp:extent cx="675513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755130" cy="17145"/>
                    </a:xfrm>
                    <a:prstGeom prst="rect">
                      <a:avLst/>
                    </a:prstGeom>
                    <a:noFill/>
                  </pic:spPr>
                </pic:pic>
              </a:graphicData>
            </a:graphic>
          </wp:anchor>
        </w:drawing>
      </w:r>
    </w:p>
    <w:p>
      <w:pPr>
        <w:spacing w:after="0" w:line="16" w:lineRule="exact"/>
        <w:rPr>
          <w:sz w:val="20"/>
          <w:szCs w:val="20"/>
          <w:color w:val="auto"/>
        </w:rPr>
      </w:pPr>
    </w:p>
    <w:p>
      <w:pPr>
        <w:ind w:left="7020"/>
        <w:spacing w:after="0"/>
        <w:rPr>
          <w:sz w:val="20"/>
          <w:szCs w:val="20"/>
          <w:color w:val="auto"/>
        </w:rPr>
      </w:pPr>
      <w:r>
        <w:rPr>
          <w:rFonts w:ascii="Arial" w:cs="Arial" w:eastAsia="Arial" w:hAnsi="Arial"/>
          <w:sz w:val="18"/>
          <w:szCs w:val="18"/>
          <w:color w:val="auto"/>
        </w:rPr>
        <w:t>Gavin A. Mohr, Principal Financial Officer</w:t>
      </w:r>
    </w:p>
    <w:p>
      <w:pPr>
        <w:spacing w:after="0" w:line="225" w:lineRule="exact"/>
        <w:rPr>
          <w:sz w:val="20"/>
          <w:szCs w:val="20"/>
          <w:color w:val="auto"/>
        </w:rPr>
      </w:pPr>
    </w:p>
    <w:p>
      <w:pPr>
        <w:spacing w:after="0"/>
        <w:tabs>
          <w:tab w:leader="none" w:pos="1720" w:val="left"/>
          <w:tab w:leader="none" w:pos="6180" w:val="left"/>
          <w:tab w:leader="none" w:pos="70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6,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James J. Twarozynski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14605</wp:posOffset>
            </wp:positionV>
            <wp:extent cx="675513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755130" cy="17145"/>
                    </a:xfrm>
                    <a:prstGeom prst="rect">
                      <a:avLst/>
                    </a:prstGeom>
                    <a:noFill/>
                  </pic:spPr>
                </pic:pic>
              </a:graphicData>
            </a:graphic>
          </wp:anchor>
        </w:drawing>
      </w:r>
    </w:p>
    <w:p>
      <w:pPr>
        <w:spacing w:after="0" w:line="16" w:lineRule="exact"/>
        <w:rPr>
          <w:sz w:val="20"/>
          <w:szCs w:val="20"/>
          <w:color w:val="auto"/>
        </w:rPr>
      </w:pPr>
    </w:p>
    <w:p>
      <w:pPr>
        <w:ind w:left="7020"/>
        <w:spacing w:after="0"/>
        <w:rPr>
          <w:sz w:val="20"/>
          <w:szCs w:val="20"/>
          <w:color w:val="auto"/>
        </w:rPr>
      </w:pPr>
      <w:r>
        <w:rPr>
          <w:rFonts w:ascii="Arial" w:cs="Arial" w:eastAsia="Arial" w:hAnsi="Arial"/>
          <w:sz w:val="18"/>
          <w:szCs w:val="18"/>
          <w:color w:val="auto"/>
        </w:rPr>
        <w:t>James J. Twarozynski,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537845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240"/>
          </w:cols>
          <w:pgMar w:left="320" w:top="121" w:right="339" w:bottom="1440" w:gutter="0" w:footer="0" w:header="0"/>
        </w:sectPr>
      </w:pPr>
    </w:p>
    <w:bookmarkStart w:id="103" w:name="page104"/>
    <w:bookmarkEnd w:id="103"/>
    <w:p>
      <w:pPr>
        <w:jc w:val="right"/>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CERTIFICATION</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I, William B. Kessel, certify that:</w:t>
      </w:r>
    </w:p>
    <w:p>
      <w:pPr>
        <w:spacing w:after="0" w:line="240" w:lineRule="exact"/>
        <w:rPr>
          <w:sz w:val="20"/>
          <w:szCs w:val="20"/>
          <w:color w:val="auto"/>
        </w:rPr>
      </w:pPr>
    </w:p>
    <w:p>
      <w:pPr>
        <w:ind w:left="660" w:hanging="652"/>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Independent Bank Corporation;</w:t>
      </w:r>
    </w:p>
    <w:p>
      <w:pPr>
        <w:spacing w:after="0" w:line="23" w:lineRule="exact"/>
        <w:rPr>
          <w:rFonts w:ascii="Arial" w:cs="Arial" w:eastAsia="Arial" w:hAnsi="Arial"/>
          <w:sz w:val="18"/>
          <w:szCs w:val="18"/>
          <w:color w:val="auto"/>
        </w:rPr>
      </w:pPr>
    </w:p>
    <w:p>
      <w:pPr>
        <w:jc w:val="both"/>
        <w:ind w:left="660" w:hanging="652"/>
        <w:spacing w:after="0" w:line="250" w:lineRule="auto"/>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 w:lineRule="exact"/>
        <w:rPr>
          <w:rFonts w:ascii="Arial" w:cs="Arial" w:eastAsia="Arial" w:hAnsi="Arial"/>
          <w:sz w:val="18"/>
          <w:szCs w:val="18"/>
          <w:color w:val="auto"/>
        </w:rPr>
      </w:pPr>
    </w:p>
    <w:p>
      <w:pPr>
        <w:ind w:left="660" w:hanging="652"/>
        <w:spacing w:after="0" w:line="281" w:lineRule="auto"/>
        <w:tabs>
          <w:tab w:leader="none" w:pos="6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 w:lineRule="exact"/>
        <w:rPr>
          <w:rFonts w:ascii="Arial" w:cs="Arial" w:eastAsia="Arial" w:hAnsi="Arial"/>
          <w:sz w:val="16"/>
          <w:szCs w:val="16"/>
          <w:color w:val="auto"/>
        </w:rPr>
      </w:pPr>
    </w:p>
    <w:p>
      <w:pPr>
        <w:jc w:val="both"/>
        <w:ind w:left="660" w:hanging="652"/>
        <w:spacing w:after="0" w:line="250" w:lineRule="auto"/>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 w:lineRule="exact"/>
        <w:rPr>
          <w:rFonts w:ascii="Arial" w:cs="Arial" w:eastAsia="Arial" w:hAnsi="Arial"/>
          <w:sz w:val="18"/>
          <w:szCs w:val="18"/>
          <w:color w:val="auto"/>
        </w:rPr>
      </w:pPr>
    </w:p>
    <w:p>
      <w:pPr>
        <w:jc w:val="both"/>
        <w:ind w:left="1300" w:hanging="644"/>
        <w:spacing w:after="0" w:line="250" w:lineRule="auto"/>
        <w:tabs>
          <w:tab w:leader="none" w:pos="1300" w:val="left"/>
        </w:tabs>
        <w:numPr>
          <w:ilvl w:val="1"/>
          <w:numId w:val="6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 w:lineRule="exact"/>
        <w:rPr>
          <w:rFonts w:ascii="Arial" w:cs="Arial" w:eastAsia="Arial" w:hAnsi="Arial"/>
          <w:sz w:val="18"/>
          <w:szCs w:val="18"/>
          <w:color w:val="auto"/>
        </w:rPr>
      </w:pPr>
    </w:p>
    <w:p>
      <w:pPr>
        <w:jc w:val="both"/>
        <w:ind w:left="1300" w:hanging="644"/>
        <w:spacing w:after="0" w:line="250" w:lineRule="auto"/>
        <w:tabs>
          <w:tab w:leader="none" w:pos="1300" w:val="left"/>
        </w:tabs>
        <w:numPr>
          <w:ilvl w:val="1"/>
          <w:numId w:val="6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ind w:left="1300" w:hanging="644"/>
        <w:spacing w:after="0" w:line="281" w:lineRule="auto"/>
        <w:tabs>
          <w:tab w:leader="none" w:pos="1300" w:val="left"/>
        </w:tabs>
        <w:numPr>
          <w:ilvl w:val="1"/>
          <w:numId w:val="6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1300" w:hanging="644"/>
        <w:spacing w:after="0" w:line="250" w:lineRule="auto"/>
        <w:tabs>
          <w:tab w:leader="none" w:pos="1300" w:val="left"/>
        </w:tabs>
        <w:numPr>
          <w:ilvl w:val="1"/>
          <w:numId w:val="65"/>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 w:lineRule="exact"/>
        <w:rPr>
          <w:rFonts w:ascii="Arial" w:cs="Arial" w:eastAsia="Arial" w:hAnsi="Arial"/>
          <w:sz w:val="18"/>
          <w:szCs w:val="18"/>
          <w:color w:val="auto"/>
        </w:rPr>
      </w:pPr>
    </w:p>
    <w:p>
      <w:pPr>
        <w:ind w:left="660" w:hanging="652"/>
        <w:spacing w:after="0" w:line="265" w:lineRule="auto"/>
        <w:tabs>
          <w:tab w:leader="none" w:pos="660"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300" w:hanging="644"/>
        <w:spacing w:after="0" w:line="265" w:lineRule="auto"/>
        <w:tabs>
          <w:tab w:leader="none" w:pos="1300" w:val="left"/>
        </w:tabs>
        <w:numPr>
          <w:ilvl w:val="1"/>
          <w:numId w:val="6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right="220" w:hanging="644"/>
        <w:spacing w:after="0" w:line="260" w:lineRule="auto"/>
        <w:tabs>
          <w:tab w:leader="none" w:pos="1300" w:val="left"/>
        </w:tabs>
        <w:numPr>
          <w:ilvl w:val="1"/>
          <w:numId w:val="6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spacing w:after="0"/>
              <w:rPr>
                <w:sz w:val="20"/>
                <w:szCs w:val="20"/>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INDEPENDENT BANK CORPORATION</w:t>
            </w:r>
          </w:p>
        </w:tc>
      </w:tr>
      <w:tr>
        <w:trPr>
          <w:trHeight w:val="391"/>
        </w:trPr>
        <w:tc>
          <w:tcPr>
            <w:tcW w:w="5620" w:type="dxa"/>
            <w:vAlign w:val="bottom"/>
          </w:tcPr>
          <w:p>
            <w:pPr>
              <w:spacing w:after="0"/>
              <w:rPr>
                <w:sz w:val="20"/>
                <w:szCs w:val="20"/>
                <w:color w:val="auto"/>
              </w:rPr>
            </w:pPr>
            <w:r>
              <w:rPr>
                <w:rFonts w:ascii="Arial" w:cs="Arial" w:eastAsia="Arial" w:hAnsi="Arial"/>
                <w:sz w:val="18"/>
                <w:szCs w:val="18"/>
                <w:color w:val="auto"/>
              </w:rPr>
              <w:t>Date: August 6, 2021</w:t>
            </w:r>
          </w:p>
        </w:tc>
        <w:tc>
          <w:tcPr>
            <w:tcW w:w="5620" w:type="dxa"/>
            <w:vAlign w:val="bottom"/>
            <w:gridSpan w:val="2"/>
          </w:tcPr>
          <w:p>
            <w:pPr>
              <w:spacing w:after="0"/>
              <w:rPr>
                <w:sz w:val="20"/>
                <w:szCs w:val="20"/>
                <w:color w:val="auto"/>
              </w:rPr>
            </w:pPr>
            <w:r>
              <w:rPr>
                <w:rFonts w:ascii="Arial" w:cs="Arial" w:eastAsia="Arial" w:hAnsi="Arial"/>
                <w:sz w:val="18"/>
                <w:szCs w:val="18"/>
                <w:color w:val="auto"/>
              </w:rPr>
              <w:t>/s/  William B. Kessel</w:t>
            </w:r>
          </w:p>
        </w:tc>
      </w:tr>
      <w:tr>
        <w:trPr>
          <w:trHeight w:val="20"/>
        </w:trPr>
        <w:tc>
          <w:tcPr>
            <w:tcW w:w="562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r>
      <w:tr>
        <w:trPr>
          <w:trHeight w:val="222"/>
        </w:trPr>
        <w:tc>
          <w:tcPr>
            <w:tcW w:w="5620" w:type="dxa"/>
            <w:vAlign w:val="bottom"/>
          </w:tcPr>
          <w:p>
            <w:pPr>
              <w:spacing w:after="0"/>
              <w:rPr>
                <w:sz w:val="19"/>
                <w:szCs w:val="19"/>
                <w:color w:val="auto"/>
              </w:rPr>
            </w:pPr>
          </w:p>
        </w:tc>
        <w:tc>
          <w:tcPr>
            <w:tcW w:w="5620" w:type="dxa"/>
            <w:vAlign w:val="bottom"/>
            <w:gridSpan w:val="2"/>
          </w:tcPr>
          <w:p>
            <w:pPr>
              <w:ind w:left="320"/>
              <w:spacing w:after="0"/>
              <w:rPr>
                <w:sz w:val="20"/>
                <w:szCs w:val="20"/>
                <w:color w:val="auto"/>
              </w:rPr>
            </w:pPr>
            <w:r>
              <w:rPr>
                <w:rFonts w:ascii="Arial" w:cs="Arial" w:eastAsia="Arial" w:hAnsi="Arial"/>
                <w:sz w:val="18"/>
                <w:szCs w:val="18"/>
                <w:color w:val="auto"/>
              </w:rPr>
              <w:t>William B. Kessel</w:t>
            </w:r>
          </w:p>
        </w:tc>
      </w:tr>
      <w:tr>
        <w:trPr>
          <w:trHeight w:val="230"/>
        </w:trPr>
        <w:tc>
          <w:tcPr>
            <w:tcW w:w="5620" w:type="dxa"/>
            <w:vAlign w:val="bottom"/>
          </w:tcPr>
          <w:p>
            <w:pPr>
              <w:spacing w:after="0"/>
              <w:rPr>
                <w:sz w:val="20"/>
                <w:szCs w:val="20"/>
                <w:color w:val="auto"/>
              </w:rPr>
            </w:pPr>
          </w:p>
        </w:tc>
        <w:tc>
          <w:tcPr>
            <w:tcW w:w="5620" w:type="dxa"/>
            <w:vAlign w:val="bottom"/>
            <w:gridSpan w:val="2"/>
          </w:tcPr>
          <w:p>
            <w:pPr>
              <w:ind w:left="320"/>
              <w:spacing w:after="0"/>
              <w:rPr>
                <w:sz w:val="20"/>
                <w:szCs w:val="20"/>
                <w:color w:val="auto"/>
              </w:rPr>
            </w:pPr>
            <w:r>
              <w:rPr>
                <w:rFonts w:ascii="Arial" w:cs="Arial" w:eastAsia="Arial" w:hAnsi="Arial"/>
                <w:sz w:val="18"/>
                <w:szCs w:val="18"/>
                <w:color w:val="auto"/>
              </w:rPr>
              <w:t>President and Chief Executive Officer</w:t>
            </w:r>
          </w:p>
        </w:tc>
      </w:tr>
      <w:tr>
        <w:trPr>
          <w:trHeight w:val="601"/>
        </w:trPr>
        <w:tc>
          <w:tcPr>
            <w:tcW w:w="56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80" w:right="339" w:bottom="1440" w:gutter="0" w:footer="0" w:header="0"/>
        </w:sectPr>
      </w:pPr>
    </w:p>
    <w:bookmarkStart w:id="104" w:name="page105"/>
    <w:bookmarkEnd w:id="104"/>
    <w:p>
      <w:pPr>
        <w:jc w:val="right"/>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31.2</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CERTIFICATION</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I, Gavin A. Mohr, certify that:</w:t>
      </w:r>
    </w:p>
    <w:p>
      <w:pPr>
        <w:spacing w:after="0" w:line="240" w:lineRule="exact"/>
        <w:rPr>
          <w:sz w:val="20"/>
          <w:szCs w:val="20"/>
          <w:color w:val="auto"/>
        </w:rPr>
      </w:pPr>
    </w:p>
    <w:p>
      <w:pPr>
        <w:ind w:left="660" w:hanging="652"/>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Independent Bank Corporation;</w:t>
      </w:r>
    </w:p>
    <w:p>
      <w:pPr>
        <w:spacing w:after="0" w:line="23" w:lineRule="exact"/>
        <w:rPr>
          <w:rFonts w:ascii="Arial" w:cs="Arial" w:eastAsia="Arial" w:hAnsi="Arial"/>
          <w:sz w:val="18"/>
          <w:szCs w:val="18"/>
          <w:color w:val="auto"/>
        </w:rPr>
      </w:pPr>
    </w:p>
    <w:p>
      <w:pPr>
        <w:jc w:val="both"/>
        <w:ind w:left="660" w:hanging="652"/>
        <w:spacing w:after="0" w:line="250"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 w:lineRule="exact"/>
        <w:rPr>
          <w:rFonts w:ascii="Arial" w:cs="Arial" w:eastAsia="Arial" w:hAnsi="Arial"/>
          <w:sz w:val="18"/>
          <w:szCs w:val="18"/>
          <w:color w:val="auto"/>
        </w:rPr>
      </w:pPr>
    </w:p>
    <w:p>
      <w:pPr>
        <w:ind w:left="660" w:hanging="652"/>
        <w:spacing w:after="0" w:line="281" w:lineRule="auto"/>
        <w:tabs>
          <w:tab w:leader="none" w:pos="6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 w:lineRule="exact"/>
        <w:rPr>
          <w:rFonts w:ascii="Arial" w:cs="Arial" w:eastAsia="Arial" w:hAnsi="Arial"/>
          <w:sz w:val="16"/>
          <w:szCs w:val="16"/>
          <w:color w:val="auto"/>
        </w:rPr>
      </w:pPr>
    </w:p>
    <w:p>
      <w:pPr>
        <w:jc w:val="both"/>
        <w:ind w:left="660" w:hanging="652"/>
        <w:spacing w:after="0" w:line="250"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 w:lineRule="exact"/>
        <w:rPr>
          <w:rFonts w:ascii="Arial" w:cs="Arial" w:eastAsia="Arial" w:hAnsi="Arial"/>
          <w:sz w:val="18"/>
          <w:szCs w:val="18"/>
          <w:color w:val="auto"/>
        </w:rPr>
      </w:pPr>
    </w:p>
    <w:p>
      <w:pPr>
        <w:jc w:val="both"/>
        <w:ind w:left="1300" w:hanging="644"/>
        <w:spacing w:after="0" w:line="250" w:lineRule="auto"/>
        <w:tabs>
          <w:tab w:leader="none" w:pos="1300" w:val="left"/>
        </w:tabs>
        <w:numPr>
          <w:ilvl w:val="1"/>
          <w:numId w:val="6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 w:lineRule="exact"/>
        <w:rPr>
          <w:rFonts w:ascii="Arial" w:cs="Arial" w:eastAsia="Arial" w:hAnsi="Arial"/>
          <w:sz w:val="18"/>
          <w:szCs w:val="18"/>
          <w:color w:val="auto"/>
        </w:rPr>
      </w:pPr>
    </w:p>
    <w:p>
      <w:pPr>
        <w:jc w:val="both"/>
        <w:ind w:left="1300" w:hanging="644"/>
        <w:spacing w:after="0" w:line="250" w:lineRule="auto"/>
        <w:tabs>
          <w:tab w:leader="none" w:pos="1300" w:val="left"/>
        </w:tabs>
        <w:numPr>
          <w:ilvl w:val="1"/>
          <w:numId w:val="6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ind w:left="1300" w:hanging="644"/>
        <w:spacing w:after="0" w:line="281" w:lineRule="auto"/>
        <w:tabs>
          <w:tab w:leader="none" w:pos="1300" w:val="left"/>
        </w:tabs>
        <w:numPr>
          <w:ilvl w:val="1"/>
          <w:numId w:val="6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1300" w:hanging="644"/>
        <w:spacing w:after="0" w:line="250" w:lineRule="auto"/>
        <w:tabs>
          <w:tab w:leader="none" w:pos="1300" w:val="left"/>
        </w:tabs>
        <w:numPr>
          <w:ilvl w:val="1"/>
          <w:numId w:val="66"/>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 w:lineRule="exact"/>
        <w:rPr>
          <w:rFonts w:ascii="Arial" w:cs="Arial" w:eastAsia="Arial" w:hAnsi="Arial"/>
          <w:sz w:val="18"/>
          <w:szCs w:val="18"/>
          <w:color w:val="auto"/>
        </w:rPr>
      </w:pPr>
    </w:p>
    <w:p>
      <w:pPr>
        <w:ind w:left="660" w:hanging="652"/>
        <w:spacing w:after="0" w:line="265" w:lineRule="auto"/>
        <w:tabs>
          <w:tab w:leader="none" w:pos="6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300" w:hanging="644"/>
        <w:spacing w:after="0" w:line="265" w:lineRule="auto"/>
        <w:tabs>
          <w:tab w:leader="none" w:pos="1300" w:val="left"/>
        </w:tabs>
        <w:numPr>
          <w:ilvl w:val="1"/>
          <w:numId w:val="6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right="220" w:hanging="644"/>
        <w:spacing w:after="0" w:line="260" w:lineRule="auto"/>
        <w:tabs>
          <w:tab w:leader="none" w:pos="1300" w:val="left"/>
        </w:tabs>
        <w:numPr>
          <w:ilvl w:val="1"/>
          <w:numId w:val="6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spacing w:after="0"/>
              <w:rPr>
                <w:sz w:val="20"/>
                <w:szCs w:val="20"/>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INDEPENDENT BANK CORPORATION</w:t>
            </w:r>
          </w:p>
        </w:tc>
      </w:tr>
      <w:tr>
        <w:trPr>
          <w:trHeight w:val="391"/>
        </w:trPr>
        <w:tc>
          <w:tcPr>
            <w:tcW w:w="5620" w:type="dxa"/>
            <w:vAlign w:val="bottom"/>
          </w:tcPr>
          <w:p>
            <w:pPr>
              <w:spacing w:after="0"/>
              <w:rPr>
                <w:sz w:val="20"/>
                <w:szCs w:val="20"/>
                <w:color w:val="auto"/>
              </w:rPr>
            </w:pPr>
            <w:r>
              <w:rPr>
                <w:rFonts w:ascii="Arial" w:cs="Arial" w:eastAsia="Arial" w:hAnsi="Arial"/>
                <w:sz w:val="18"/>
                <w:szCs w:val="18"/>
                <w:color w:val="auto"/>
              </w:rPr>
              <w:t>Date: August 6, 2021</w:t>
            </w:r>
          </w:p>
        </w:tc>
        <w:tc>
          <w:tcPr>
            <w:tcW w:w="1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7"/>
              </w:rPr>
              <w:t>/s/  Gavin A. Mohr</w:t>
            </w:r>
          </w:p>
        </w:tc>
        <w:tc>
          <w:tcPr>
            <w:tcW w:w="4200" w:type="dxa"/>
            <w:vAlign w:val="bottom"/>
          </w:tcPr>
          <w:p>
            <w:pPr>
              <w:spacing w:after="0"/>
              <w:rPr>
                <w:sz w:val="24"/>
                <w:szCs w:val="24"/>
                <w:color w:val="auto"/>
              </w:rPr>
            </w:pPr>
          </w:p>
        </w:tc>
      </w:tr>
      <w:tr>
        <w:trPr>
          <w:trHeight w:val="222"/>
        </w:trPr>
        <w:tc>
          <w:tcPr>
            <w:tcW w:w="5620" w:type="dxa"/>
            <w:vAlign w:val="bottom"/>
          </w:tcPr>
          <w:p>
            <w:pPr>
              <w:spacing w:after="0"/>
              <w:rPr>
                <w:sz w:val="19"/>
                <w:szCs w:val="19"/>
                <w:color w:val="auto"/>
              </w:rPr>
            </w:pPr>
          </w:p>
        </w:tc>
        <w:tc>
          <w:tcPr>
            <w:tcW w:w="5620" w:type="dxa"/>
            <w:vAlign w:val="bottom"/>
            <w:gridSpan w:val="2"/>
          </w:tcPr>
          <w:p>
            <w:pPr>
              <w:ind w:left="320"/>
              <w:spacing w:after="0"/>
              <w:rPr>
                <w:sz w:val="20"/>
                <w:szCs w:val="20"/>
                <w:color w:val="auto"/>
              </w:rPr>
            </w:pPr>
            <w:r>
              <w:rPr>
                <w:rFonts w:ascii="Arial" w:cs="Arial" w:eastAsia="Arial" w:hAnsi="Arial"/>
                <w:sz w:val="18"/>
                <w:szCs w:val="18"/>
                <w:color w:val="auto"/>
              </w:rPr>
              <w:t>Gavin A. Mohr</w:t>
            </w:r>
          </w:p>
        </w:tc>
      </w:tr>
      <w:tr>
        <w:trPr>
          <w:trHeight w:val="230"/>
        </w:trPr>
        <w:tc>
          <w:tcPr>
            <w:tcW w:w="5620" w:type="dxa"/>
            <w:vAlign w:val="bottom"/>
          </w:tcPr>
          <w:p>
            <w:pPr>
              <w:spacing w:after="0"/>
              <w:rPr>
                <w:sz w:val="20"/>
                <w:szCs w:val="20"/>
                <w:color w:val="auto"/>
              </w:rPr>
            </w:pPr>
          </w:p>
        </w:tc>
        <w:tc>
          <w:tcPr>
            <w:tcW w:w="5620" w:type="dxa"/>
            <w:vAlign w:val="bottom"/>
            <w:gridSpan w:val="2"/>
          </w:tcPr>
          <w:p>
            <w:pPr>
              <w:ind w:left="320"/>
              <w:spacing w:after="0"/>
              <w:rPr>
                <w:sz w:val="20"/>
                <w:szCs w:val="20"/>
                <w:color w:val="auto"/>
              </w:rPr>
            </w:pPr>
            <w:r>
              <w:rPr>
                <w:rFonts w:ascii="Arial" w:cs="Arial" w:eastAsia="Arial" w:hAnsi="Arial"/>
                <w:sz w:val="18"/>
                <w:szCs w:val="18"/>
                <w:color w:val="auto"/>
              </w:rPr>
              <w:t>Chief Financial Officer</w:t>
            </w:r>
          </w:p>
        </w:tc>
      </w:tr>
      <w:tr>
        <w:trPr>
          <w:trHeight w:val="601"/>
        </w:trPr>
        <w:tc>
          <w:tcPr>
            <w:tcW w:w="56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42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23" w:right="339" w:bottom="1440" w:gutter="0" w:footer="0" w:header="0"/>
        </w:sectPr>
      </w:pPr>
    </w:p>
    <w:bookmarkStart w:id="105" w:name="page106"/>
    <w:bookmarkEnd w:id="105"/>
    <w:p>
      <w:pPr>
        <w:jc w:val="right"/>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CERTIFICATE OF THE</w:t>
      </w:r>
    </w:p>
    <w:p>
      <w:pPr>
        <w:jc w:val="center"/>
        <w:spacing w:after="0" w:line="238" w:lineRule="auto"/>
        <w:rPr>
          <w:sz w:val="20"/>
          <w:szCs w:val="20"/>
          <w:color w:val="auto"/>
        </w:rPr>
      </w:pPr>
      <w:r>
        <w:rPr>
          <w:rFonts w:ascii="Arial" w:cs="Arial" w:eastAsia="Arial" w:hAnsi="Arial"/>
          <w:sz w:val="22"/>
          <w:szCs w:val="22"/>
          <w:color w:val="auto"/>
        </w:rPr>
        <w:t>CHIEF EXECUTIVE OFFICER OF</w:t>
      </w:r>
    </w:p>
    <w:p>
      <w:pPr>
        <w:jc w:val="center"/>
        <w:spacing w:after="0"/>
        <w:rPr>
          <w:sz w:val="20"/>
          <w:szCs w:val="20"/>
          <w:color w:val="auto"/>
        </w:rPr>
      </w:pPr>
      <w:r>
        <w:rPr>
          <w:rFonts w:ascii="Arial" w:cs="Arial" w:eastAsia="Arial" w:hAnsi="Arial"/>
          <w:sz w:val="22"/>
          <w:szCs w:val="22"/>
          <w:color w:val="auto"/>
        </w:rPr>
        <w:t>INDEPENDENT BANK CORPORATION</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Pursuant to Section 906 of the Sarbanes-Oxley Act of 2002 (18 U.S.C. 1350):</w:t>
      </w:r>
    </w:p>
    <w:p>
      <w:pPr>
        <w:spacing w:after="0" w:line="233"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I, William B. Kessel, President and Chief Executive Officer of Independent Bank Corporation, certify, to the best of my knowledge and belief, pursuant to Section 906 of the Sarbanes-Oxley Act of 2002 (18 U.S.C. 1350) that:</w:t>
      </w:r>
    </w:p>
    <w:p>
      <w:pPr>
        <w:spacing w:after="0" w:line="202" w:lineRule="exact"/>
        <w:rPr>
          <w:sz w:val="20"/>
          <w:szCs w:val="20"/>
          <w:color w:val="auto"/>
        </w:rPr>
      </w:pPr>
    </w:p>
    <w:p>
      <w:pPr>
        <w:ind w:firstLine="656"/>
        <w:spacing w:after="0" w:line="328" w:lineRule="auto"/>
        <w:tabs>
          <w:tab w:leader="none" w:pos="1818" w:val="left"/>
        </w:tabs>
        <w:numPr>
          <w:ilvl w:val="0"/>
          <w:numId w:val="67"/>
        </w:numPr>
        <w:rPr>
          <w:rFonts w:ascii="Arial" w:cs="Arial" w:eastAsia="Arial" w:hAnsi="Arial"/>
          <w:sz w:val="19"/>
          <w:szCs w:val="19"/>
          <w:color w:val="auto"/>
        </w:rPr>
      </w:pPr>
      <w:r>
        <w:rPr>
          <w:rFonts w:ascii="Arial" w:cs="Arial" w:eastAsia="Arial" w:hAnsi="Arial"/>
          <w:sz w:val="19"/>
          <w:szCs w:val="19"/>
          <w:color w:val="auto"/>
        </w:rPr>
        <w:t>The quarterly report on Form 10-Q for the quarterly period ended June 30, 2021, which this statement accompanies, fully complies with requirements of Section 13(a) or 15(d) of the Securities Exchange Act of 1934 and;</w:t>
      </w:r>
    </w:p>
    <w:p>
      <w:pPr>
        <w:spacing w:after="0" w:line="131" w:lineRule="exact"/>
        <w:rPr>
          <w:rFonts w:ascii="Arial" w:cs="Arial" w:eastAsia="Arial" w:hAnsi="Arial"/>
          <w:sz w:val="19"/>
          <w:szCs w:val="19"/>
          <w:color w:val="auto"/>
        </w:rPr>
      </w:pPr>
    </w:p>
    <w:p>
      <w:pPr>
        <w:ind w:right="260" w:firstLine="656"/>
        <w:spacing w:after="0" w:line="328" w:lineRule="auto"/>
        <w:tabs>
          <w:tab w:leader="none" w:pos="1440" w:val="left"/>
        </w:tabs>
        <w:numPr>
          <w:ilvl w:val="0"/>
          <w:numId w:val="67"/>
        </w:numPr>
        <w:rPr>
          <w:rFonts w:ascii="Arial" w:cs="Arial" w:eastAsia="Arial" w:hAnsi="Arial"/>
          <w:sz w:val="19"/>
          <w:szCs w:val="19"/>
          <w:color w:val="auto"/>
        </w:rPr>
      </w:pPr>
      <w:r>
        <w:rPr>
          <w:rFonts w:ascii="Arial" w:cs="Arial" w:eastAsia="Arial" w:hAnsi="Arial"/>
          <w:sz w:val="19"/>
          <w:szCs w:val="19"/>
          <w:color w:val="auto"/>
        </w:rPr>
        <w:t>The information contained in this quarterly report on Form 10-Q for the quarterly period ended June 30, 2021, fairly presents, in all material respects, the financial condition and results of operations of Independent Bank Corporation.</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spacing w:after="0"/>
              <w:rPr>
                <w:sz w:val="20"/>
                <w:szCs w:val="20"/>
                <w:color w:val="auto"/>
              </w:rPr>
            </w:pPr>
          </w:p>
        </w:tc>
        <w:tc>
          <w:tcPr>
            <w:tcW w:w="3120" w:type="dxa"/>
            <w:vAlign w:val="bottom"/>
            <w:gridSpan w:val="2"/>
          </w:tcPr>
          <w:p>
            <w:pPr>
              <w:spacing w:after="0"/>
              <w:rPr>
                <w:sz w:val="20"/>
                <w:szCs w:val="20"/>
                <w:color w:val="auto"/>
              </w:rPr>
            </w:pPr>
            <w:r>
              <w:rPr>
                <w:rFonts w:ascii="Arial" w:cs="Arial" w:eastAsia="Arial" w:hAnsi="Arial"/>
                <w:sz w:val="18"/>
                <w:szCs w:val="18"/>
                <w:color w:val="auto"/>
                <w:w w:val="96"/>
              </w:rPr>
              <w:t>INDEPENDENT BANK CORPORATION</w:t>
            </w:r>
          </w:p>
        </w:tc>
      </w:tr>
      <w:tr>
        <w:trPr>
          <w:trHeight w:val="392"/>
        </w:trPr>
        <w:tc>
          <w:tcPr>
            <w:tcW w:w="5620" w:type="dxa"/>
            <w:vAlign w:val="bottom"/>
          </w:tcPr>
          <w:p>
            <w:pPr>
              <w:spacing w:after="0"/>
              <w:rPr>
                <w:sz w:val="20"/>
                <w:szCs w:val="20"/>
                <w:color w:val="auto"/>
              </w:rPr>
            </w:pPr>
            <w:r>
              <w:rPr>
                <w:rFonts w:ascii="Arial" w:cs="Arial" w:eastAsia="Arial" w:hAnsi="Arial"/>
                <w:sz w:val="18"/>
                <w:szCs w:val="18"/>
                <w:color w:val="auto"/>
              </w:rPr>
              <w:t>Date: August 6, 2021</w:t>
            </w:r>
          </w:p>
        </w:tc>
        <w:tc>
          <w:tcPr>
            <w:tcW w:w="3120" w:type="dxa"/>
            <w:vAlign w:val="bottom"/>
            <w:gridSpan w:val="2"/>
          </w:tcPr>
          <w:p>
            <w:pPr>
              <w:spacing w:after="0"/>
              <w:rPr>
                <w:sz w:val="20"/>
                <w:szCs w:val="20"/>
                <w:color w:val="auto"/>
              </w:rPr>
            </w:pPr>
            <w:r>
              <w:rPr>
                <w:rFonts w:ascii="Arial" w:cs="Arial" w:eastAsia="Arial" w:hAnsi="Arial"/>
                <w:sz w:val="18"/>
                <w:szCs w:val="18"/>
                <w:color w:val="auto"/>
              </w:rPr>
              <w:t>/s/  William B. Kessel</w:t>
            </w:r>
          </w:p>
        </w:tc>
      </w:tr>
      <w:tr>
        <w:trPr>
          <w:trHeight w:val="20"/>
        </w:trPr>
        <w:tc>
          <w:tcPr>
            <w:tcW w:w="562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222"/>
        </w:trPr>
        <w:tc>
          <w:tcPr>
            <w:tcW w:w="5620" w:type="dxa"/>
            <w:vAlign w:val="bottom"/>
          </w:tcPr>
          <w:p>
            <w:pPr>
              <w:spacing w:after="0"/>
              <w:rPr>
                <w:sz w:val="19"/>
                <w:szCs w:val="19"/>
                <w:color w:val="auto"/>
              </w:rPr>
            </w:pPr>
          </w:p>
        </w:tc>
        <w:tc>
          <w:tcPr>
            <w:tcW w:w="3120" w:type="dxa"/>
            <w:vAlign w:val="bottom"/>
            <w:gridSpan w:val="2"/>
          </w:tcPr>
          <w:p>
            <w:pPr>
              <w:ind w:left="320"/>
              <w:spacing w:after="0"/>
              <w:rPr>
                <w:sz w:val="20"/>
                <w:szCs w:val="20"/>
                <w:color w:val="auto"/>
              </w:rPr>
            </w:pPr>
            <w:r>
              <w:rPr>
                <w:rFonts w:ascii="Arial" w:cs="Arial" w:eastAsia="Arial" w:hAnsi="Arial"/>
                <w:sz w:val="18"/>
                <w:szCs w:val="18"/>
                <w:color w:val="auto"/>
              </w:rPr>
              <w:t>William B. Kessel</w:t>
            </w:r>
          </w:p>
        </w:tc>
      </w:tr>
      <w:tr>
        <w:trPr>
          <w:trHeight w:val="230"/>
        </w:trPr>
        <w:tc>
          <w:tcPr>
            <w:tcW w:w="5620" w:type="dxa"/>
            <w:vAlign w:val="bottom"/>
          </w:tcPr>
          <w:p>
            <w:pPr>
              <w:spacing w:after="0"/>
              <w:rPr>
                <w:sz w:val="20"/>
                <w:szCs w:val="20"/>
                <w:color w:val="auto"/>
              </w:rPr>
            </w:pPr>
          </w:p>
        </w:tc>
        <w:tc>
          <w:tcPr>
            <w:tcW w:w="3120" w:type="dxa"/>
            <w:vAlign w:val="bottom"/>
            <w:gridSpan w:val="2"/>
          </w:tcPr>
          <w:p>
            <w:pPr>
              <w:ind w:left="320"/>
              <w:spacing w:after="0"/>
              <w:rPr>
                <w:sz w:val="20"/>
                <w:szCs w:val="20"/>
                <w:color w:val="auto"/>
              </w:rPr>
            </w:pPr>
            <w:r>
              <w:rPr>
                <w:rFonts w:ascii="Arial" w:cs="Arial" w:eastAsia="Arial" w:hAnsi="Arial"/>
                <w:sz w:val="18"/>
                <w:szCs w:val="18"/>
                <w:color w:val="auto"/>
                <w:w w:val="92"/>
              </w:rPr>
              <w:t>President and Chief Executive Officer</w:t>
            </w:r>
          </w:p>
        </w:tc>
      </w:tr>
    </w:tbl>
    <w:p>
      <w:pPr>
        <w:spacing w:after="0" w:line="222"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The signed original of this written statement required by Section 906, or other document authenticating, acknowledging, or otherwise adopting the signature that appears in typed form within the electronic version of this written statement required by Section 906, has been provided to Independent Bank Corporation and will be retained by Independent Bank Corporation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363855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106" w:name="page107"/>
    <w:bookmarkEnd w:id="106"/>
    <w:p>
      <w:pPr>
        <w:jc w:val="right"/>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32.2</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CERTIFICATE OF THE</w:t>
      </w:r>
    </w:p>
    <w:p>
      <w:pPr>
        <w:jc w:val="center"/>
        <w:spacing w:after="0" w:line="238" w:lineRule="auto"/>
        <w:rPr>
          <w:sz w:val="20"/>
          <w:szCs w:val="20"/>
          <w:color w:val="auto"/>
        </w:rPr>
      </w:pPr>
      <w:r>
        <w:rPr>
          <w:rFonts w:ascii="Arial" w:cs="Arial" w:eastAsia="Arial" w:hAnsi="Arial"/>
          <w:sz w:val="22"/>
          <w:szCs w:val="22"/>
          <w:color w:val="auto"/>
        </w:rPr>
        <w:t>CHIEF FINANCIAL OFFICER OF</w:t>
      </w:r>
    </w:p>
    <w:p>
      <w:pPr>
        <w:jc w:val="center"/>
        <w:spacing w:after="0"/>
        <w:rPr>
          <w:sz w:val="20"/>
          <w:szCs w:val="20"/>
          <w:color w:val="auto"/>
        </w:rPr>
      </w:pPr>
      <w:r>
        <w:rPr>
          <w:rFonts w:ascii="Arial" w:cs="Arial" w:eastAsia="Arial" w:hAnsi="Arial"/>
          <w:sz w:val="22"/>
          <w:szCs w:val="22"/>
          <w:color w:val="auto"/>
        </w:rPr>
        <w:t>INDEPENDENT BANK CORPORATION</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Pursuant to Section 906 of the Sarbanes-Oxley Act of 2002 (18 U.S.C. 1350):</w:t>
      </w:r>
    </w:p>
    <w:p>
      <w:pPr>
        <w:spacing w:after="0" w:line="233"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I, Gavin A. Mohr, Chief Financial Officer of Independent Bank Corporation, certify, to the best of my knowledge and belief, pursuant to Section 906 of the Sarbanes-Oxley Act of 2002 (18 U.S.C. 1350) that:</w:t>
      </w:r>
    </w:p>
    <w:p>
      <w:pPr>
        <w:spacing w:after="0" w:line="202" w:lineRule="exact"/>
        <w:rPr>
          <w:sz w:val="20"/>
          <w:szCs w:val="20"/>
          <w:color w:val="auto"/>
        </w:rPr>
      </w:pPr>
    </w:p>
    <w:p>
      <w:pPr>
        <w:ind w:firstLine="656"/>
        <w:spacing w:after="0" w:line="328" w:lineRule="auto"/>
        <w:tabs>
          <w:tab w:leader="none" w:pos="1816" w:val="left"/>
        </w:tabs>
        <w:numPr>
          <w:ilvl w:val="0"/>
          <w:numId w:val="68"/>
        </w:numPr>
        <w:rPr>
          <w:rFonts w:ascii="Arial" w:cs="Arial" w:eastAsia="Arial" w:hAnsi="Arial"/>
          <w:sz w:val="19"/>
          <w:szCs w:val="19"/>
          <w:color w:val="auto"/>
        </w:rPr>
      </w:pPr>
      <w:r>
        <w:rPr>
          <w:rFonts w:ascii="Arial" w:cs="Arial" w:eastAsia="Arial" w:hAnsi="Arial"/>
          <w:sz w:val="19"/>
          <w:szCs w:val="19"/>
          <w:color w:val="auto"/>
        </w:rPr>
        <w:t>The quarterly report on Form 10-Q for the quarterly period ended June 30, 2021, which this statement accompanies, fully complies with requirements of Section 13(a) or 15(d) of the Securities Exchange Act of 1934 and;</w:t>
      </w:r>
    </w:p>
    <w:p>
      <w:pPr>
        <w:spacing w:after="0" w:line="131" w:lineRule="exact"/>
        <w:rPr>
          <w:rFonts w:ascii="Arial" w:cs="Arial" w:eastAsia="Arial" w:hAnsi="Arial"/>
          <w:sz w:val="19"/>
          <w:szCs w:val="19"/>
          <w:color w:val="auto"/>
        </w:rPr>
      </w:pPr>
    </w:p>
    <w:p>
      <w:pPr>
        <w:ind w:firstLine="656"/>
        <w:spacing w:after="0" w:line="328" w:lineRule="auto"/>
        <w:tabs>
          <w:tab w:leader="none" w:pos="1526" w:val="left"/>
        </w:tabs>
        <w:numPr>
          <w:ilvl w:val="0"/>
          <w:numId w:val="68"/>
        </w:numPr>
        <w:rPr>
          <w:rFonts w:ascii="Arial" w:cs="Arial" w:eastAsia="Arial" w:hAnsi="Arial"/>
          <w:sz w:val="19"/>
          <w:szCs w:val="19"/>
          <w:color w:val="auto"/>
        </w:rPr>
      </w:pPr>
      <w:r>
        <w:rPr>
          <w:rFonts w:ascii="Arial" w:cs="Arial" w:eastAsia="Arial" w:hAnsi="Arial"/>
          <w:sz w:val="19"/>
          <w:szCs w:val="19"/>
          <w:color w:val="auto"/>
        </w:rPr>
        <w:t>The information contained in this quarterly report on Form 10-Q for the quarterly period ended June 30, 2021, fairly presents, in all material respects, the financial condition and results of operations of Independent Bank Corporation.</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spacing w:after="0"/>
              <w:rPr>
                <w:sz w:val="20"/>
                <w:szCs w:val="20"/>
                <w:color w:val="auto"/>
              </w:rPr>
            </w:pPr>
          </w:p>
        </w:tc>
        <w:tc>
          <w:tcPr>
            <w:tcW w:w="3120" w:type="dxa"/>
            <w:vAlign w:val="bottom"/>
            <w:gridSpan w:val="2"/>
          </w:tcPr>
          <w:p>
            <w:pPr>
              <w:spacing w:after="0"/>
              <w:rPr>
                <w:sz w:val="20"/>
                <w:szCs w:val="20"/>
                <w:color w:val="auto"/>
              </w:rPr>
            </w:pPr>
            <w:r>
              <w:rPr>
                <w:rFonts w:ascii="Arial" w:cs="Arial" w:eastAsia="Arial" w:hAnsi="Arial"/>
                <w:sz w:val="18"/>
                <w:szCs w:val="18"/>
                <w:color w:val="auto"/>
                <w:w w:val="96"/>
              </w:rPr>
              <w:t>INDEPENDENT BANK CORPORATION</w:t>
            </w:r>
          </w:p>
        </w:tc>
      </w:tr>
      <w:tr>
        <w:trPr>
          <w:trHeight w:val="392"/>
        </w:trPr>
        <w:tc>
          <w:tcPr>
            <w:tcW w:w="5620" w:type="dxa"/>
            <w:vAlign w:val="bottom"/>
          </w:tcPr>
          <w:p>
            <w:pPr>
              <w:spacing w:after="0"/>
              <w:rPr>
                <w:sz w:val="20"/>
                <w:szCs w:val="20"/>
                <w:color w:val="auto"/>
              </w:rPr>
            </w:pPr>
            <w:r>
              <w:rPr>
                <w:rFonts w:ascii="Arial" w:cs="Arial" w:eastAsia="Arial" w:hAnsi="Arial"/>
                <w:sz w:val="18"/>
                <w:szCs w:val="18"/>
                <w:color w:val="auto"/>
              </w:rPr>
              <w:t>Date: August 6, 2021</w:t>
            </w:r>
          </w:p>
        </w:tc>
        <w:tc>
          <w:tcPr>
            <w:tcW w:w="1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7"/>
              </w:rPr>
              <w:t>/s/  Gavin A. Mohr</w:t>
            </w:r>
          </w:p>
        </w:tc>
        <w:tc>
          <w:tcPr>
            <w:tcW w:w="1700" w:type="dxa"/>
            <w:vAlign w:val="bottom"/>
          </w:tcPr>
          <w:p>
            <w:pPr>
              <w:spacing w:after="0"/>
              <w:rPr>
                <w:sz w:val="24"/>
                <w:szCs w:val="24"/>
                <w:color w:val="auto"/>
              </w:rPr>
            </w:pPr>
          </w:p>
        </w:tc>
      </w:tr>
      <w:tr>
        <w:trPr>
          <w:trHeight w:val="222"/>
        </w:trPr>
        <w:tc>
          <w:tcPr>
            <w:tcW w:w="5620" w:type="dxa"/>
            <w:vAlign w:val="bottom"/>
          </w:tcPr>
          <w:p>
            <w:pPr>
              <w:spacing w:after="0"/>
              <w:rPr>
                <w:sz w:val="19"/>
                <w:szCs w:val="19"/>
                <w:color w:val="auto"/>
              </w:rPr>
            </w:pPr>
          </w:p>
        </w:tc>
        <w:tc>
          <w:tcPr>
            <w:tcW w:w="3120" w:type="dxa"/>
            <w:vAlign w:val="bottom"/>
            <w:gridSpan w:val="2"/>
          </w:tcPr>
          <w:p>
            <w:pPr>
              <w:ind w:left="320"/>
              <w:spacing w:after="0"/>
              <w:rPr>
                <w:sz w:val="20"/>
                <w:szCs w:val="20"/>
                <w:color w:val="auto"/>
              </w:rPr>
            </w:pPr>
            <w:r>
              <w:rPr>
                <w:rFonts w:ascii="Arial" w:cs="Arial" w:eastAsia="Arial" w:hAnsi="Arial"/>
                <w:sz w:val="18"/>
                <w:szCs w:val="18"/>
                <w:color w:val="auto"/>
              </w:rPr>
              <w:t>Gavin A. Mohr</w:t>
            </w:r>
          </w:p>
        </w:tc>
      </w:tr>
      <w:tr>
        <w:trPr>
          <w:trHeight w:val="230"/>
        </w:trPr>
        <w:tc>
          <w:tcPr>
            <w:tcW w:w="5620" w:type="dxa"/>
            <w:vAlign w:val="bottom"/>
          </w:tcPr>
          <w:p>
            <w:pPr>
              <w:spacing w:after="0"/>
              <w:rPr>
                <w:sz w:val="20"/>
                <w:szCs w:val="20"/>
                <w:color w:val="auto"/>
              </w:rPr>
            </w:pPr>
          </w:p>
        </w:tc>
        <w:tc>
          <w:tcPr>
            <w:tcW w:w="3120" w:type="dxa"/>
            <w:vAlign w:val="bottom"/>
            <w:gridSpan w:val="2"/>
          </w:tcPr>
          <w:p>
            <w:pPr>
              <w:ind w:left="320"/>
              <w:spacing w:after="0"/>
              <w:rPr>
                <w:sz w:val="20"/>
                <w:szCs w:val="20"/>
                <w:color w:val="auto"/>
              </w:rPr>
            </w:pPr>
            <w:r>
              <w:rPr>
                <w:rFonts w:ascii="Arial" w:cs="Arial" w:eastAsia="Arial" w:hAnsi="Arial"/>
                <w:sz w:val="18"/>
                <w:szCs w:val="18"/>
                <w:color w:val="auto"/>
              </w:rPr>
              <w:t>Chief Financial Officer</w:t>
            </w:r>
          </w:p>
        </w:tc>
      </w:tr>
    </w:tbl>
    <w:p>
      <w:pPr>
        <w:spacing w:after="0" w:line="222"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The signed original of this written statement required by Section 906, or other document authenticating, acknowledging, or otherwise adopting the signature that appears in typed form within the electronic version of this written statement required by Section 906, has been provided to Independent Bank Corporation and will be retained by Independent Bank Corporation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363855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8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9AC241"/>
    <w:multiLevelType w:val="hybridMultilevel"/>
    <w:lvl w:ilvl="0">
      <w:lvlJc w:val="left"/>
      <w:lvlText w:val="•"/>
      <w:numFmt w:val="bullet"/>
      <w:start w:val="1"/>
    </w:lvl>
  </w:abstractNum>
  <w:abstractNum w:abstractNumId="1">
    <w:nsid w:val="5577F8E1"/>
    <w:multiLevelType w:val="hybridMultilevel"/>
    <w:lvl w:ilvl="0">
      <w:lvlJc w:val="left"/>
      <w:lvlText w:val="(%1)"/>
      <w:numFmt w:val="decimal"/>
      <w:start w:val="1"/>
    </w:lvl>
  </w:abstractNum>
  <w:abstractNum w:abstractNumId="2">
    <w:nsid w:val="440BADFC"/>
    <w:multiLevelType w:val="hybridMultilevel"/>
    <w:lvl w:ilvl="0">
      <w:lvlJc w:val="left"/>
      <w:lvlText w:val="(%1)"/>
      <w:numFmt w:val="decimal"/>
      <w:start w:val="1"/>
    </w:lvl>
  </w:abstractNum>
  <w:abstractNum w:abstractNumId="3">
    <w:nsid w:val="5072367"/>
    <w:multiLevelType w:val="hybridMultilevel"/>
    <w:lvl w:ilvl="0">
      <w:lvlJc w:val="left"/>
      <w:lvlText w:val="(%1)"/>
      <w:numFmt w:val="decimal"/>
      <w:start w:val="1"/>
    </w:lvl>
  </w:abstractNum>
  <w:abstractNum w:abstractNumId="4">
    <w:nsid w:val="3804823E"/>
    <w:multiLevelType w:val="hybridMultilevel"/>
    <w:lvl w:ilvl="0">
      <w:lvlJc w:val="left"/>
      <w:lvlText w:val="%1."/>
      <w:numFmt w:val="decimal"/>
      <w:start w:val="1"/>
    </w:lvl>
  </w:abstractNum>
  <w:abstractNum w:abstractNumId="5">
    <w:nsid w:val="77465F01"/>
    <w:multiLevelType w:val="hybridMultilevel"/>
    <w:lvl w:ilvl="0">
      <w:lvlJc w:val="left"/>
      <w:lvlText w:val="%1."/>
      <w:numFmt w:val="decimal"/>
      <w:start w:val="2"/>
    </w:lvl>
  </w:abstractNum>
  <w:abstractNum w:abstractNumId="6">
    <w:nsid w:val="7724C67E"/>
    <w:multiLevelType w:val="hybridMultilevel"/>
    <w:lvl w:ilvl="0">
      <w:lvlJc w:val="left"/>
      <w:lvlText w:val="•"/>
      <w:numFmt w:val="bullet"/>
      <w:start w:val="1"/>
    </w:lvl>
  </w:abstractNum>
  <w:abstractNum w:abstractNumId="7">
    <w:nsid w:val="5C482A97"/>
    <w:multiLevelType w:val="hybridMultilevel"/>
    <w:lvl w:ilvl="0">
      <w:lvlJc w:val="left"/>
      <w:lvlText w:val="(%1)"/>
      <w:numFmt w:val="decimal"/>
      <w:start w:val="1"/>
    </w:lvl>
  </w:abstractNum>
  <w:abstractNum w:abstractNumId="8">
    <w:nsid w:val="2463B9EA"/>
    <w:multiLevelType w:val="hybridMultilevel"/>
    <w:lvl w:ilvl="0">
      <w:lvlJc w:val="left"/>
      <w:lvlText w:val="%1."/>
      <w:numFmt w:val="decimal"/>
      <w:start w:val="4"/>
    </w:lvl>
  </w:abstractNum>
  <w:abstractNum w:abstractNumId="9">
    <w:nsid w:val="5E884ADC"/>
    <w:multiLevelType w:val="hybridMultilevel"/>
    <w:lvl w:ilvl="0">
      <w:lvlJc w:val="left"/>
      <w:lvlText w:val="(%1)"/>
      <w:numFmt w:val="decimal"/>
      <w:start w:val="1"/>
    </w:lvl>
  </w:abstractNum>
  <w:abstractNum w:abstractNumId="10">
    <w:nsid w:val="51EAD36B"/>
    <w:multiLevelType w:val="hybridMultilevel"/>
    <w:lvl w:ilvl="0">
      <w:lvlJc w:val="left"/>
      <w:lvlText w:val="(%1)"/>
      <w:numFmt w:val="decimal"/>
      <w:start w:val="1"/>
    </w:lvl>
  </w:abstractNum>
  <w:abstractNum w:abstractNumId="11">
    <w:nsid w:val="2D517796"/>
    <w:multiLevelType w:val="hybridMultilevel"/>
    <w:lvl w:ilvl="0">
      <w:lvlJc w:val="left"/>
      <w:lvlText w:val="(%1)"/>
      <w:numFmt w:val="decimal"/>
      <w:start w:val="1"/>
    </w:lvl>
  </w:abstractNum>
  <w:abstractNum w:abstractNumId="12">
    <w:nsid w:val="580BD78F"/>
    <w:multiLevelType w:val="hybridMultilevel"/>
    <w:lvl w:ilvl="0">
      <w:lvlJc w:val="left"/>
      <w:lvlText w:val="(%1)"/>
      <w:numFmt w:val="decimal"/>
      <w:start w:val="1"/>
    </w:lvl>
  </w:abstractNum>
  <w:abstractNum w:abstractNumId="13">
    <w:nsid w:val="153EA438"/>
    <w:multiLevelType w:val="hybridMultilevel"/>
    <w:lvl w:ilvl="0">
      <w:lvlJc w:val="left"/>
      <w:lvlText w:val="(%1)"/>
      <w:numFmt w:val="decimal"/>
      <w:start w:val="1"/>
    </w:lvl>
  </w:abstractNum>
  <w:abstractNum w:abstractNumId="14">
    <w:nsid w:val="3855585C"/>
    <w:multiLevelType w:val="hybridMultilevel"/>
    <w:lvl w:ilvl="0">
      <w:lvlJc w:val="left"/>
      <w:lvlText w:val="(%1)"/>
      <w:numFmt w:val="decimal"/>
      <w:start w:val="1"/>
    </w:lvl>
  </w:abstractNum>
  <w:abstractNum w:abstractNumId="15">
    <w:nsid w:val="70A64E2A"/>
    <w:multiLevelType w:val="hybridMultilevel"/>
    <w:lvl w:ilvl="0">
      <w:lvlJc w:val="left"/>
      <w:lvlText w:val="(%1)"/>
      <w:numFmt w:val="decimal"/>
      <w:start w:val="1"/>
    </w:lvl>
  </w:abstractNum>
  <w:abstractNum w:abstractNumId="16">
    <w:nsid w:val="6A2342EC"/>
    <w:multiLevelType w:val="hybridMultilevel"/>
    <w:lvl w:ilvl="0">
      <w:lvlJc w:val="left"/>
      <w:lvlText w:val="(%1)"/>
      <w:numFmt w:val="decimal"/>
      <w:start w:val="1"/>
    </w:lvl>
  </w:abstractNum>
  <w:abstractNum w:abstractNumId="17">
    <w:nsid w:val="2A487CB0"/>
    <w:multiLevelType w:val="hybridMultilevel"/>
    <w:lvl w:ilvl="0">
      <w:lvlJc w:val="left"/>
      <w:lvlText w:val="%1)"/>
      <w:numFmt w:val="decimal"/>
      <w:start w:val="1"/>
    </w:lvl>
  </w:abstractNum>
  <w:abstractNum w:abstractNumId="18">
    <w:nsid w:val="1D4ED43B"/>
    <w:multiLevelType w:val="hybridMultilevel"/>
    <w:lvl w:ilvl="0">
      <w:lvlJc w:val="left"/>
      <w:lvlText w:val="%1"/>
      <w:numFmt w:val="upperLetter"/>
      <w:start w:val="68"/>
    </w:lvl>
  </w:abstractNum>
  <w:abstractNum w:abstractNumId="19">
    <w:nsid w:val="725A06FB"/>
    <w:multiLevelType w:val="hybridMultilevel"/>
    <w:lvl w:ilvl="0">
      <w:lvlJc w:val="left"/>
      <w:lvlText w:val="%1."/>
      <w:numFmt w:val="decimal"/>
      <w:start w:val="5"/>
    </w:lvl>
  </w:abstractNum>
  <w:abstractNum w:abstractNumId="20">
    <w:nsid w:val="2CD89A32"/>
    <w:multiLevelType w:val="hybridMultilevel"/>
    <w:lvl w:ilvl="0">
      <w:lvlJc w:val="left"/>
      <w:lvlText w:val="%1."/>
      <w:numFmt w:val="decimal"/>
      <w:start w:val="6"/>
    </w:lvl>
  </w:abstractNum>
  <w:abstractNum w:abstractNumId="21">
    <w:nsid w:val="57E4CCAF"/>
    <w:multiLevelType w:val="hybridMultilevel"/>
    <w:lvl w:ilvl="0">
      <w:lvlJc w:val="left"/>
      <w:lvlText w:val="%1."/>
      <w:numFmt w:val="decimal"/>
      <w:start w:val="10"/>
    </w:lvl>
  </w:abstractNum>
  <w:abstractNum w:abstractNumId="22">
    <w:nsid w:val="7A6D8D3C"/>
    <w:multiLevelType w:val="hybridMultilevel"/>
    <w:lvl w:ilvl="0">
      <w:lvlJc w:val="left"/>
      <w:lvlText w:val="(%1)"/>
      <w:numFmt w:val="decimal"/>
      <w:start w:val="1"/>
    </w:lvl>
  </w:abstractNum>
  <w:abstractNum w:abstractNumId="23">
    <w:nsid w:val="4B588F54"/>
    <w:multiLevelType w:val="hybridMultilevel"/>
    <w:lvl w:ilvl="0">
      <w:lvlJc w:val="left"/>
      <w:lvlText w:val="(%1)"/>
      <w:numFmt w:val="decimal"/>
      <w:start w:val="1"/>
    </w:lvl>
  </w:abstractNum>
  <w:abstractNum w:abstractNumId="24">
    <w:nsid w:val="542289EC"/>
    <w:multiLevelType w:val="hybridMultilevel"/>
    <w:lvl w:ilvl="0">
      <w:lvlJc w:val="left"/>
      <w:lvlText w:val="%1."/>
      <w:numFmt w:val="decimal"/>
      <w:start w:val="11"/>
    </w:lvl>
  </w:abstractNum>
  <w:abstractNum w:abstractNumId="25">
    <w:nsid w:val="6DE91B18"/>
    <w:multiLevelType w:val="hybridMultilevel"/>
    <w:lvl w:ilvl="0">
      <w:lvlJc w:val="left"/>
      <w:lvlText w:val="(%1)"/>
      <w:numFmt w:val="decimal"/>
      <w:start w:val="1"/>
    </w:lvl>
  </w:abstractNum>
  <w:abstractNum w:abstractNumId="26">
    <w:nsid w:val="38437FDB"/>
    <w:multiLevelType w:val="hybridMultilevel"/>
    <w:lvl w:ilvl="0">
      <w:lvlJc w:val="left"/>
      <w:lvlText w:val="(%1)"/>
      <w:numFmt w:val="decimal"/>
      <w:start w:val="1"/>
    </w:lvl>
  </w:abstractNum>
  <w:abstractNum w:abstractNumId="27">
    <w:nsid w:val="7644A45C"/>
    <w:multiLevelType w:val="hybridMultilevel"/>
    <w:lvl w:ilvl="0">
      <w:lvlJc w:val="left"/>
      <w:lvlText w:val="•"/>
      <w:numFmt w:val="bullet"/>
      <w:start w:val="1"/>
    </w:lvl>
  </w:abstractNum>
  <w:abstractNum w:abstractNumId="28">
    <w:nsid w:val="32FFF902"/>
    <w:multiLevelType w:val="hybridMultilevel"/>
    <w:lvl w:ilvl="0">
      <w:lvlJc w:val="left"/>
      <w:lvlText w:val="(%1)"/>
      <w:numFmt w:val="decimal"/>
      <w:start w:val="1"/>
    </w:lvl>
  </w:abstractNum>
  <w:abstractNum w:abstractNumId="29">
    <w:nsid w:val="684A481A"/>
    <w:multiLevelType w:val="hybridMultilevel"/>
    <w:lvl w:ilvl="0">
      <w:lvlJc w:val="left"/>
      <w:lvlText w:val="%1."/>
      <w:numFmt w:val="decimal"/>
      <w:start w:val="12"/>
    </w:lvl>
  </w:abstractNum>
  <w:abstractNum w:abstractNumId="30">
    <w:nsid w:val="579478FE"/>
    <w:multiLevelType w:val="hybridMultilevel"/>
    <w:lvl w:ilvl="0">
      <w:lvlJc w:val="left"/>
      <w:lvlText w:val="(%1)"/>
      <w:numFmt w:val="decimal"/>
      <w:start w:val="1"/>
    </w:lvl>
  </w:abstractNum>
  <w:abstractNum w:abstractNumId="31">
    <w:nsid w:val="749ABB43"/>
    <w:multiLevelType w:val="hybridMultilevel"/>
    <w:lvl w:ilvl="0">
      <w:lvlJc w:val="left"/>
      <w:lvlText w:val="%1."/>
      <w:numFmt w:val="decimal"/>
      <w:start w:val="13"/>
    </w:lvl>
  </w:abstractNum>
  <w:abstractNum w:abstractNumId="32">
    <w:nsid w:val="3DC240FB"/>
    <w:multiLevelType w:val="hybridMultilevel"/>
    <w:lvl w:ilvl="0">
      <w:lvlJc w:val="left"/>
      <w:lvlText w:val="·"/>
      <w:numFmt w:val="bullet"/>
      <w:start w:val="1"/>
    </w:lvl>
  </w:abstractNum>
  <w:abstractNum w:abstractNumId="33">
    <w:nsid w:val="1BA026FA"/>
    <w:multiLevelType w:val="hybridMultilevel"/>
    <w:lvl w:ilvl="0">
      <w:lvlJc w:val="left"/>
      <w:lvlText w:val="•"/>
      <w:numFmt w:val="bullet"/>
      <w:start w:val="1"/>
    </w:lvl>
  </w:abstractNum>
  <w:abstractNum w:abstractNumId="34">
    <w:nsid w:val="79A1DEAA"/>
    <w:multiLevelType w:val="hybridMultilevel"/>
    <w:lvl w:ilvl="0">
      <w:lvlJc w:val="left"/>
      <w:lvlText w:val="•"/>
      <w:numFmt w:val="bullet"/>
      <w:start w:val="1"/>
    </w:lvl>
  </w:abstractNum>
  <w:abstractNum w:abstractNumId="35">
    <w:nsid w:val="75C6C33A"/>
    <w:multiLevelType w:val="hybridMultilevel"/>
    <w:lvl w:ilvl="0">
      <w:lvlJc w:val="left"/>
      <w:lvlText w:val="%1."/>
      <w:numFmt w:val="decimal"/>
      <w:start w:val="14"/>
    </w:lvl>
  </w:abstractNum>
  <w:abstractNum w:abstractNumId="36">
    <w:nsid w:val="12E685FB"/>
    <w:multiLevelType w:val="hybridMultilevel"/>
    <w:lvl w:ilvl="0">
      <w:lvlJc w:val="left"/>
      <w:lvlText w:val="$"/>
      <w:numFmt w:val="bullet"/>
      <w:start w:val="1"/>
    </w:lvl>
  </w:abstractNum>
  <w:abstractNum w:abstractNumId="37">
    <w:nsid w:val="70C6A529"/>
    <w:multiLevelType w:val="hybridMultilevel"/>
    <w:lvl w:ilvl="0">
      <w:lvlJc w:val="left"/>
      <w:lvlText w:val="$"/>
      <w:numFmt w:val="bullet"/>
      <w:start w:val="1"/>
    </w:lvl>
  </w:abstractNum>
  <w:abstractNum w:abstractNumId="38">
    <w:nsid w:val="520EEDD1"/>
    <w:multiLevelType w:val="hybridMultilevel"/>
    <w:lvl w:ilvl="0">
      <w:lvlJc w:val="left"/>
      <w:lvlText w:val="$"/>
      <w:numFmt w:val="bullet"/>
      <w:start w:val="1"/>
    </w:lvl>
    <w:lvl w:ilvl="1">
      <w:lvlJc w:val="left"/>
      <w:lvlText w:val="-"/>
      <w:numFmt w:val="bullet"/>
      <w:start w:val="1"/>
    </w:lvl>
  </w:abstractNum>
  <w:abstractNum w:abstractNumId="39">
    <w:nsid w:val="374A3FE6"/>
    <w:multiLevelType w:val="hybridMultilevel"/>
    <w:lvl w:ilvl="0">
      <w:lvlJc w:val="left"/>
      <w:lvlText w:val="$"/>
      <w:numFmt w:val="bullet"/>
      <w:start w:val="1"/>
    </w:lvl>
  </w:abstractNum>
  <w:abstractNum w:abstractNumId="40">
    <w:nsid w:val="4F4EF005"/>
    <w:multiLevelType w:val="hybridMultilevel"/>
    <w:lvl w:ilvl="0">
      <w:lvlJc w:val="left"/>
      <w:lvlText w:val="$"/>
      <w:numFmt w:val="bullet"/>
      <w:start w:val="1"/>
    </w:lvl>
  </w:abstractNum>
  <w:abstractNum w:abstractNumId="41">
    <w:nsid w:val="23F9C13C"/>
    <w:multiLevelType w:val="hybridMultilevel"/>
    <w:lvl w:ilvl="0">
      <w:lvlJc w:val="left"/>
      <w:lvlText w:val="$"/>
      <w:numFmt w:val="bullet"/>
      <w:start w:val="1"/>
    </w:lvl>
  </w:abstractNum>
  <w:abstractNum w:abstractNumId="42">
    <w:nsid w:val="649BB77C"/>
    <w:multiLevelType w:val="hybridMultilevel"/>
    <w:lvl w:ilvl="0">
      <w:lvlJc w:val="left"/>
      <w:lvlText w:val="%1."/>
      <w:numFmt w:val="decimal"/>
      <w:start w:val="15"/>
    </w:lvl>
  </w:abstractNum>
  <w:abstractNum w:abstractNumId="43">
    <w:nsid w:val="275AC794"/>
    <w:multiLevelType w:val="hybridMultilevel"/>
    <w:lvl w:ilvl="0">
      <w:lvlJc w:val="left"/>
      <w:lvlText w:val="(%1)"/>
      <w:numFmt w:val="decimal"/>
      <w:start w:val="1"/>
    </w:lvl>
  </w:abstractNum>
  <w:abstractNum w:abstractNumId="44">
    <w:nsid w:val="39386575"/>
    <w:multiLevelType w:val="hybridMultilevel"/>
    <w:lvl w:ilvl="0">
      <w:lvlJc w:val="left"/>
      <w:lvlText w:val="·"/>
      <w:numFmt w:val="bullet"/>
      <w:start w:val="1"/>
    </w:lvl>
  </w:abstractNum>
  <w:abstractNum w:abstractNumId="45">
    <w:nsid w:val="1CF10FD8"/>
    <w:multiLevelType w:val="hybridMultilevel"/>
    <w:lvl w:ilvl="0">
      <w:lvlJc w:val="left"/>
      <w:lvlText w:val="(%1)"/>
      <w:numFmt w:val="decimal"/>
      <w:start w:val="1"/>
    </w:lvl>
  </w:abstractNum>
  <w:abstractNum w:abstractNumId="46">
    <w:nsid w:val="180115BE"/>
    <w:multiLevelType w:val="hybridMultilevel"/>
    <w:lvl w:ilvl="0">
      <w:lvlJc w:val="left"/>
      <w:lvlText w:val="(%1)"/>
      <w:numFmt w:val="decimal"/>
      <w:start w:val="1"/>
    </w:lvl>
  </w:abstractNum>
  <w:abstractNum w:abstractNumId="47">
    <w:nsid w:val="235BA861"/>
    <w:multiLevelType w:val="hybridMultilevel"/>
    <w:lvl w:ilvl="0">
      <w:lvlJc w:val="left"/>
      <w:lvlText w:val="•"/>
      <w:numFmt w:val="bullet"/>
      <w:start w:val="1"/>
    </w:lvl>
  </w:abstractNum>
  <w:abstractNum w:abstractNumId="48">
    <w:nsid w:val="47398C89"/>
    <w:multiLevelType w:val="hybridMultilevel"/>
    <w:lvl w:ilvl="0">
      <w:lvlJc w:val="left"/>
      <w:lvlText w:val="%1)"/>
      <w:numFmt w:val="decimal"/>
      <w:start w:val="1"/>
    </w:lvl>
  </w:abstractNum>
  <w:abstractNum w:abstractNumId="49">
    <w:nsid w:val="354FE9F9"/>
    <w:multiLevelType w:val="hybridMultilevel"/>
    <w:lvl w:ilvl="0">
      <w:lvlJc w:val="left"/>
      <w:lvlText w:val="(%1)"/>
      <w:numFmt w:val="decimal"/>
      <w:start w:val="1"/>
    </w:lvl>
  </w:abstractNum>
  <w:abstractNum w:abstractNumId="50">
    <w:nsid w:val="15B5AF5C"/>
    <w:multiLevelType w:val="hybridMultilevel"/>
    <w:lvl w:ilvl="0">
      <w:lvlJc w:val="left"/>
      <w:lvlText w:val="(%1)"/>
      <w:numFmt w:val="decimal"/>
      <w:start w:val="1"/>
    </w:lvl>
  </w:abstractNum>
  <w:abstractNum w:abstractNumId="51">
    <w:nsid w:val="741226BB"/>
    <w:multiLevelType w:val="hybridMultilevel"/>
    <w:lvl w:ilvl="0">
      <w:lvlJc w:val="left"/>
      <w:lvlText w:val="(%1)"/>
      <w:numFmt w:val="decimal"/>
      <w:start w:val="1"/>
    </w:lvl>
  </w:abstractNum>
  <w:abstractNum w:abstractNumId="52">
    <w:nsid w:val="D34B6A8"/>
    <w:multiLevelType w:val="hybridMultilevel"/>
    <w:lvl w:ilvl="0">
      <w:lvlJc w:val="left"/>
      <w:lvlText w:val="(%1)"/>
      <w:numFmt w:val="decimal"/>
      <w:start w:val="1"/>
    </w:lvl>
  </w:abstractNum>
  <w:abstractNum w:abstractNumId="53">
    <w:nsid w:val="10233C99"/>
    <w:multiLevelType w:val="hybridMultilevel"/>
    <w:lvl w:ilvl="0">
      <w:lvlJc w:val="left"/>
      <w:lvlText w:val="(%1)"/>
      <w:numFmt w:val="lowerLetter"/>
      <w:start w:val="1"/>
    </w:lvl>
  </w:abstractNum>
  <w:abstractNum w:abstractNumId="54">
    <w:nsid w:val="3F6AB60F"/>
    <w:multiLevelType w:val="hybridMultilevel"/>
    <w:lvl w:ilvl="0">
      <w:lvlJc w:val="left"/>
      <w:lvlText w:val="·"/>
      <w:numFmt w:val="bullet"/>
      <w:start w:val="1"/>
    </w:lvl>
  </w:abstractNum>
  <w:abstractNum w:abstractNumId="55">
    <w:nsid w:val="61574095"/>
    <w:multiLevelType w:val="hybridMultilevel"/>
    <w:lvl w:ilvl="0">
      <w:lvlJc w:val="left"/>
      <w:lvlText w:val="%1"/>
      <w:numFmt w:val="upperLetter"/>
      <w:start w:val="68"/>
    </w:lvl>
  </w:abstractNum>
  <w:abstractNum w:abstractNumId="56">
    <w:nsid w:val="7E0C57B1"/>
    <w:multiLevelType w:val="hybridMultilevel"/>
    <w:lvl w:ilvl="0">
      <w:lvlJc w:val="left"/>
      <w:lvlText w:val="(%1)"/>
      <w:numFmt w:val="decimal"/>
      <w:start w:val="1"/>
    </w:lvl>
  </w:abstractNum>
  <w:abstractNum w:abstractNumId="57">
    <w:nsid w:val="77AE35EB"/>
    <w:multiLevelType w:val="hybridMultilevel"/>
    <w:lvl w:ilvl="0">
      <w:lvlJc w:val="left"/>
      <w:lvlText w:val="%1."/>
      <w:numFmt w:val="decimal"/>
      <w:start w:val="101"/>
    </w:lvl>
  </w:abstractNum>
  <w:abstractNum w:abstractNumId="58">
    <w:nsid w:val="579BE4F1"/>
    <w:multiLevelType w:val="hybridMultilevel"/>
    <w:lvl w:ilvl="0">
      <w:lvlJc w:val="left"/>
      <w:lvlText w:val="%1."/>
      <w:numFmt w:val="decimal"/>
      <w:start w:val="101"/>
    </w:lvl>
  </w:abstractNum>
  <w:abstractNum w:abstractNumId="59">
    <w:nsid w:val="310C50B3"/>
    <w:multiLevelType w:val="hybridMultilevel"/>
    <w:lvl w:ilvl="0">
      <w:lvlJc w:val="left"/>
      <w:lvlText w:val="%1."/>
      <w:numFmt w:val="decimal"/>
      <w:start w:val="101"/>
    </w:lvl>
  </w:abstractNum>
  <w:abstractNum w:abstractNumId="60">
    <w:nsid w:val="5FF87E05"/>
    <w:multiLevelType w:val="hybridMultilevel"/>
    <w:lvl w:ilvl="0">
      <w:lvlJc w:val="left"/>
      <w:lvlText w:val="%1."/>
      <w:numFmt w:val="decimal"/>
      <w:start w:val="101"/>
    </w:lvl>
  </w:abstractNum>
  <w:abstractNum w:abstractNumId="61">
    <w:nsid w:val="2F305DEF"/>
    <w:multiLevelType w:val="hybridMultilevel"/>
    <w:lvl w:ilvl="0">
      <w:lvlJc w:val="left"/>
      <w:lvlText w:val="%1."/>
      <w:numFmt w:val="decimal"/>
      <w:start w:val="101"/>
    </w:lvl>
  </w:abstractNum>
  <w:abstractNum w:abstractNumId="62">
    <w:nsid w:val="25A70BF7"/>
    <w:multiLevelType w:val="hybridMultilevel"/>
    <w:lvl w:ilvl="0">
      <w:lvlJc w:val="left"/>
      <w:lvlText w:val="%1."/>
      <w:numFmt w:val="decimal"/>
      <w:start w:val="101"/>
    </w:lvl>
  </w:abstractNum>
  <w:abstractNum w:abstractNumId="63">
    <w:nsid w:val="1DBABF00"/>
    <w:multiLevelType w:val="hybridMultilevel"/>
    <w:lvl w:ilvl="0">
      <w:lvlJc w:val="left"/>
      <w:lvlText w:val="%1"/>
      <w:numFmt w:val="decimal"/>
      <w:start w:val="104"/>
    </w:lvl>
  </w:abstractNum>
  <w:abstractNum w:abstractNumId="64">
    <w:nsid w:val="4AD084E9"/>
    <w:multiLevelType w:val="hybridMultilevel"/>
    <w:lvl w:ilvl="0">
      <w:lvlJc w:val="left"/>
      <w:lvlText w:val="%1."/>
      <w:numFmt w:val="decimal"/>
      <w:start w:val="1"/>
    </w:lvl>
    <w:lvl w:ilvl="1">
      <w:lvlJc w:val="left"/>
      <w:lvlText w:val="%2)"/>
      <w:numFmt w:val="lowerLetter"/>
      <w:start w:val="1"/>
    </w:lvl>
  </w:abstractNum>
  <w:abstractNum w:abstractNumId="65">
    <w:nsid w:val="1F48EAA1"/>
    <w:multiLevelType w:val="hybridMultilevel"/>
    <w:lvl w:ilvl="0">
      <w:lvlJc w:val="left"/>
      <w:lvlText w:val="%1."/>
      <w:numFmt w:val="decimal"/>
      <w:start w:val="1"/>
    </w:lvl>
    <w:lvl w:ilvl="1">
      <w:lvlJc w:val="left"/>
      <w:lvlText w:val="%2)"/>
      <w:numFmt w:val="lowerLetter"/>
      <w:start w:val="1"/>
    </w:lvl>
  </w:abstractNum>
  <w:abstractNum w:abstractNumId="66">
    <w:nsid w:val="1381823A"/>
    <w:multiLevelType w:val="hybridMultilevel"/>
    <w:lvl w:ilvl="0">
      <w:lvlJc w:val="left"/>
      <w:lvlText w:val="(%1)"/>
      <w:numFmt w:val="decimal"/>
      <w:start w:val="1"/>
    </w:lvl>
  </w:abstractNum>
  <w:abstractNum w:abstractNumId="67">
    <w:nsid w:val="5DB70AE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2021-08-06T14:11:31Z</dcterms:created>
  <dcterms:modified xsi:type="dcterms:W3CDTF">2021-08-06T14:11:31Z</dcterms:modified>
</cp:coreProperties>
</file>