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2017</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1141730</wp:posOffset>
            </wp:positionH>
            <wp:positionV relativeFrom="paragraph">
              <wp:posOffset>-10160</wp:posOffset>
            </wp:positionV>
            <wp:extent cx="409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Michigan</w:t>
            </w:r>
          </w:p>
        </w:tc>
        <w:tc>
          <w:tcPr>
            <w:tcW w:w="5600" w:type="dxa"/>
            <w:vAlign w:val="bottom"/>
          </w:tcPr>
          <w:p>
            <w:pPr>
              <w:jc w:val="right"/>
              <w:ind w:right="2270"/>
              <w:spacing w:after="0"/>
              <w:rPr>
                <w:sz w:val="20"/>
                <w:szCs w:val="20"/>
                <w:color w:val="auto"/>
              </w:rPr>
            </w:pPr>
            <w:r>
              <w:rPr>
                <w:rFonts w:ascii="Arial" w:cs="Arial" w:eastAsia="Arial" w:hAnsi="Arial"/>
                <w:sz w:val="18"/>
                <w:szCs w:val="18"/>
                <w:color w:val="auto"/>
              </w:rPr>
              <w:t>38-2032782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(I.R.S. Employer Identification Number)</w:t>
            </w:r>
          </w:p>
        </w:tc>
      </w:tr>
    </w:tbl>
    <w:p>
      <w:pPr>
        <w:spacing w:after="0" w:line="214"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45" w:lineRule="exact"/>
        <w:rPr>
          <w:sz w:val="24"/>
          <w:szCs w:val="24"/>
          <w:color w:val="auto"/>
        </w:rPr>
      </w:pPr>
    </w:p>
    <w:p>
      <w:pPr>
        <w:ind w:right="60"/>
        <w:spacing w:after="0" w:line="279" w:lineRule="auto"/>
        <w:rPr>
          <w:sz w:val="20"/>
          <w:szCs w:val="20"/>
          <w:color w:val="auto"/>
        </w:rPr>
      </w:pPr>
      <w:r>
        <w:rPr>
          <w:rFonts w:ascii="Arial" w:cs="Arial" w:eastAsia="Arial" w:hAnsi="Arial"/>
          <w:sz w:val="19"/>
          <w:szCs w:val="19"/>
          <w:color w:val="auto"/>
        </w:rPr>
        <w:t>Indicate by check mark whether the registrant (1) has filed all documents and reports required to be filed by Sections 13 or 15(d) of the Securities Exchange Act of 1934 during the preceding 12 months (or for such shorter period that the registrant was required to</w:t>
      </w:r>
    </w:p>
    <w:p>
      <w:pPr>
        <w:spacing w:after="0" w:line="2" w:lineRule="exact"/>
        <w:rPr>
          <w:sz w:val="24"/>
          <w:szCs w:val="24"/>
          <w:color w:val="auto"/>
        </w:rPr>
      </w:pPr>
    </w:p>
    <w:p>
      <w:pPr>
        <w:spacing w:after="0" w:line="253" w:lineRule="exact"/>
        <w:tabs>
          <w:tab w:leader="none" w:pos="8360" w:val="left"/>
          <w:tab w:leader="none" w:pos="9400" w:val="left"/>
        </w:tabs>
        <w:rPr>
          <w:sz w:val="20"/>
          <w:szCs w:val="20"/>
          <w:color w:val="auto"/>
        </w:rPr>
      </w:pPr>
      <w:r>
        <w:rPr>
          <w:rFonts w:ascii="Arial" w:cs="Arial" w:eastAsia="Arial" w:hAnsi="Arial"/>
          <w:sz w:val="22"/>
          <w:szCs w:val="22"/>
          <w:color w:val="auto"/>
        </w:rPr>
        <w:t>file such reports), and (2) has been subject to such filing requirements for the past 90 days.</w:t>
      </w:r>
      <w:r>
        <w:rPr>
          <w:sz w:val="20"/>
          <w:szCs w:val="20"/>
          <w:color w:val="auto"/>
        </w:rPr>
        <w:tab/>
      </w: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30"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4"/>
          <w:szCs w:val="24"/>
          <w:color w:val="auto"/>
        </w:rPr>
      </w:pPr>
    </w:p>
    <w:p>
      <w:pPr>
        <w:ind w:right="7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9"/>
              </w:rPr>
              <w:t>Common stock, no par value</w:t>
            </w:r>
          </w:p>
        </w:tc>
        <w:tc>
          <w:tcPr>
            <w:tcW w:w="5800" w:type="dxa"/>
            <w:vAlign w:val="bottom"/>
            <w:gridSpan w:val="2"/>
          </w:tcPr>
          <w:p>
            <w:pPr>
              <w:jc w:val="right"/>
              <w:ind w:right="2310"/>
              <w:spacing w:after="0"/>
              <w:rPr>
                <w:sz w:val="20"/>
                <w:szCs w:val="20"/>
                <w:color w:val="auto"/>
              </w:rPr>
            </w:pPr>
            <w:r>
              <w:rPr>
                <w:rFonts w:ascii="Arial" w:cs="Arial" w:eastAsia="Arial" w:hAnsi="Arial"/>
                <w:sz w:val="18"/>
                <w:szCs w:val="18"/>
                <w:color w:val="auto"/>
              </w:rPr>
              <w:t>21,331,967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Outstanding at November 2, 2017</w:t>
            </w:r>
          </w:p>
        </w:tc>
      </w:tr>
      <w:tr>
        <w:trPr>
          <w:trHeight w:val="337"/>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63"/>
        </w:trPr>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41" w:right="239" w:bottom="1440" w:gutter="0" w:footer="0" w:header="0"/>
        </w:sectPr>
      </w:pPr>
    </w:p>
    <w:bookmarkStart w:id="1" w:name="page2"/>
    <w:bookmarkEnd w:id="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PART I -</w:t>
            </w:r>
          </w:p>
        </w:tc>
        <w:tc>
          <w:tcPr>
            <w:tcW w:w="9180" w:type="dxa"/>
            <w:vAlign w:val="bottom"/>
            <w:gridSpan w:val="16"/>
            <w:vMerge w:val="restart"/>
          </w:tcPr>
          <w:p>
            <w:pPr>
              <w:spacing w:after="0"/>
              <w:rPr>
                <w:sz w:val="20"/>
                <w:szCs w:val="20"/>
                <w:color w:val="auto"/>
              </w:rPr>
            </w:pPr>
            <w:r>
              <w:rPr>
                <w:rFonts w:ascii="Arial" w:cs="Arial" w:eastAsia="Arial" w:hAnsi="Arial"/>
                <w:sz w:val="18"/>
                <w:szCs w:val="18"/>
                <w:color w:val="auto"/>
              </w:rPr>
              <w:t>Financial Information</w:t>
            </w: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w w:val="91"/>
              </w:rPr>
              <w:t>Number(s)</w:t>
            </w:r>
          </w:p>
        </w:tc>
        <w:tc>
          <w:tcPr>
            <w:tcW w:w="0" w:type="dxa"/>
            <w:vAlign w:val="bottom"/>
          </w:tcPr>
          <w:p>
            <w:pPr>
              <w:spacing w:after="0"/>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180" w:type="dxa"/>
            <w:vAlign w:val="bottom"/>
            <w:gridSpan w:val="16"/>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75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September 30, 2017 and December 31, 2016</w:t>
              </w:r>
            </w:hyperlink>
          </w:p>
        </w:tc>
        <w:tc>
          <w:tcPr>
            <w:tcW w:w="1620" w:type="dxa"/>
            <w:vAlign w:val="bottom"/>
            <w:tcBorders>
              <w:bottom w:val="single" w:sz="8" w:color="CCEEFF"/>
            </w:tcBorders>
            <w:gridSpan w:val="5"/>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180" w:type="dxa"/>
            <w:vAlign w:val="bottom"/>
            <w:gridSpan w:val="16"/>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Operations Three- and Nine-month periods ended September 30, 2017 and 2016</w:t>
              </w:r>
            </w:hyperlink>
          </w:p>
        </w:tc>
        <w:tc>
          <w:tcPr>
            <w:tcW w:w="10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180" w:type="dxa"/>
            <w:vAlign w:val="bottom"/>
            <w:gridSpan w:val="16"/>
            <w:shd w:val="clear" w:color="auto" w:fill="CCEEFF"/>
          </w:tcPr>
          <w:p>
            <w:pPr>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 Three- and Nine-month periods ended September 30, 2017</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886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2016</w:t>
              </w:r>
            </w:hyperlink>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180" w:type="dxa"/>
            <w:vAlign w:val="bottom"/>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Nine-month periods ended September 30, 2017 and 2016</w:t>
              </w:r>
            </w:hyperlink>
          </w:p>
        </w:tc>
        <w:tc>
          <w:tcPr>
            <w:tcW w:w="10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80" w:type="dxa"/>
            <w:vAlign w:val="bottom"/>
            <w:gridSpan w:val="16"/>
            <w:shd w:val="clear" w:color="auto" w:fill="CCEEFF"/>
          </w:tcPr>
          <w:p>
            <w:pPr>
              <w:spacing w:after="0" w:line="17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Condensed Consolidated Statements of Shareholders' Equity Nine-month periods ended September 30, 2017 and 2016</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852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660" w:type="dxa"/>
            <w:vAlign w:val="bottom"/>
            <w:tcBorders>
              <w:top w:val="single" w:sz="8" w:color="CCEEFF"/>
            </w:tcBorders>
            <w:gridSpan w:val="3"/>
          </w:tcPr>
          <w:p>
            <w:pPr>
              <w:spacing w:after="0"/>
              <w:rPr>
                <w:sz w:val="15"/>
                <w:szCs w:val="15"/>
                <w:color w:val="auto"/>
              </w:rPr>
            </w:pPr>
          </w:p>
        </w:tc>
        <w:tc>
          <w:tcPr>
            <w:tcW w:w="10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tcBorders>
              <w:bottom w:val="single" w:sz="8" w:color="CCEEFF"/>
            </w:tcBorders>
            <w:gridSpan w:val="6"/>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180" w:type="dxa"/>
            <w:vAlign w:val="bottom"/>
            <w:gridSpan w:val="16"/>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Quantitative and Qualitative Disclosures about Market Risk</w:t>
              </w:r>
            </w:hyperlink>
          </w:p>
        </w:tc>
        <w:tc>
          <w:tcPr>
            <w:tcW w:w="10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80" w:type="dxa"/>
            <w:vAlign w:val="bottom"/>
            <w:gridSpan w:val="16"/>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13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2"/>
                <w:shd w:val="clear" w:color="auto" w:fill="CCEEFF"/>
              </w:rPr>
              <w:t>Other Information</w:t>
            </w:r>
          </w:p>
        </w:tc>
        <w:tc>
          <w:tcPr>
            <w:tcW w:w="3020" w:type="dxa"/>
            <w:vAlign w:val="bottom"/>
            <w:tcBorders>
              <w:bottom w:val="single" w:sz="8" w:color="CCEEFF"/>
            </w:tcBorders>
            <w:gridSpan w:val="4"/>
            <w:shd w:val="clear" w:color="auto" w:fill="CCEEFF"/>
          </w:tcPr>
          <w:p>
            <w:pPr>
              <w:spacing w:after="0"/>
              <w:rPr>
                <w:sz w:val="17"/>
                <w:szCs w:val="17"/>
                <w:color w:val="auto"/>
              </w:rPr>
            </w:pPr>
          </w:p>
        </w:tc>
        <w:tc>
          <w:tcPr>
            <w:tcW w:w="4840" w:type="dxa"/>
            <w:vAlign w:val="bottom"/>
            <w:tcBorders>
              <w:bottom w:val="single" w:sz="8" w:color="CCEEFF"/>
            </w:tcBorders>
            <w:gridSpan w:val="8"/>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1A</w:t>
            </w:r>
          </w:p>
        </w:tc>
        <w:tc>
          <w:tcPr>
            <w:tcW w:w="9180" w:type="dxa"/>
            <w:vAlign w:val="bottom"/>
            <w:tcBorders>
              <w:top w:val="single" w:sz="8" w:color="CCEEFF"/>
            </w:tcBorders>
            <w:gridSpan w:val="16"/>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Risk Factors</w:t>
              </w:r>
            </w:hyperlink>
          </w:p>
        </w:tc>
        <w:tc>
          <w:tcPr>
            <w:tcW w:w="10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80" w:type="dxa"/>
            <w:vAlign w:val="bottom"/>
            <w:gridSpan w:val="16"/>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Exhibits</w:t>
              </w:r>
            </w:hyperlink>
          </w:p>
        </w:tc>
        <w:tc>
          <w:tcPr>
            <w:tcW w:w="3740" w:type="dxa"/>
            <w:vAlign w:val="bottom"/>
            <w:tcBorders>
              <w:top w:val="single" w:sz="8" w:color="0000EE"/>
            </w:tcBorders>
            <w:gridSpan w:val="7"/>
          </w:tcPr>
          <w:p>
            <w:pPr>
              <w:spacing w:after="0"/>
              <w:rPr>
                <w:sz w:val="15"/>
                <w:szCs w:val="15"/>
                <w:color w:val="auto"/>
              </w:rPr>
            </w:pPr>
          </w:p>
        </w:tc>
        <w:tc>
          <w:tcPr>
            <w:tcW w:w="4840" w:type="dxa"/>
            <w:vAlign w:val="bottom"/>
            <w:tcBorders>
              <w:top w:val="single" w:sz="8" w:color="CCEEFF"/>
            </w:tcBorders>
            <w:gridSpan w:val="8"/>
          </w:tcPr>
          <w:p>
            <w:pPr>
              <w:spacing w:after="0"/>
              <w:rPr>
                <w:sz w:val="15"/>
                <w:szCs w:val="15"/>
                <w:color w:val="auto"/>
              </w:rPr>
            </w:pPr>
          </w:p>
        </w:tc>
        <w:tc>
          <w:tcPr>
            <w:tcW w:w="10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gridSpan w:val="10"/>
          </w:tcPr>
          <w:p>
            <w:pPr>
              <w:ind w:left="4520"/>
              <w:spacing w:after="0"/>
              <w:rPr>
                <w:sz w:val="20"/>
                <w:szCs w:val="20"/>
                <w:color w:val="auto"/>
              </w:rPr>
            </w:pPr>
            <w:r>
              <w:rPr>
                <w:rFonts w:ascii="Arial" w:cs="Arial" w:eastAsia="Arial" w:hAnsi="Arial"/>
                <w:sz w:val="14"/>
                <w:szCs w:val="14"/>
                <w:color w:val="auto"/>
              </w:rPr>
              <w:t>1</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79" w:lineRule="exact"/>
        <w:rPr>
          <w:sz w:val="20"/>
          <w:szCs w:val="20"/>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3" w:lineRule="exact"/>
        <w:rPr>
          <w:rFonts w:ascii="Arial" w:cs="Arial" w:eastAsia="Arial" w:hAnsi="Arial"/>
          <w:sz w:val="18"/>
          <w:szCs w:val="18"/>
          <w:color w:val="auto"/>
        </w:rPr>
      </w:pPr>
    </w:p>
    <w:p>
      <w:pPr>
        <w:ind w:left="760" w:right="80" w:hanging="333"/>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760" w:hanging="333"/>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2016,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4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480" w:type="dxa"/>
            <w:vAlign w:val="bottom"/>
            <w:gridSpan w:val="3"/>
          </w:tcPr>
          <w:p>
            <w:pPr>
              <w:spacing w:after="0"/>
              <w:rPr>
                <w:sz w:val="20"/>
                <w:szCs w:val="20"/>
                <w:color w:val="auto"/>
              </w:rPr>
            </w:pPr>
            <w:r>
              <w:rPr>
                <w:rFonts w:ascii="Arial" w:cs="Arial" w:eastAsia="Arial" w:hAnsi="Arial"/>
                <w:sz w:val="18"/>
                <w:szCs w:val="18"/>
                <w:color w:val="auto"/>
              </w:rPr>
              <w:t>Part I - Item 1.</w:t>
            </w:r>
          </w:p>
        </w:tc>
        <w:tc>
          <w:tcPr>
            <w:tcW w:w="5420" w:type="dxa"/>
            <w:vAlign w:val="bottom"/>
            <w:gridSpan w:val="5"/>
          </w:tcPr>
          <w:p>
            <w:pPr>
              <w:ind w:left="400"/>
              <w:spacing w:after="0"/>
              <w:rPr>
                <w:sz w:val="20"/>
                <w:szCs w:val="20"/>
                <w:color w:val="auto"/>
              </w:rPr>
            </w:pPr>
            <w:r>
              <w:rPr>
                <w:rFonts w:ascii="Arial" w:cs="Arial" w:eastAsia="Arial" w:hAnsi="Arial"/>
                <w:sz w:val="18"/>
                <w:szCs w:val="18"/>
                <w:color w:val="auto"/>
              </w:rPr>
              <w:t>INDEPENDENT BANK CORPORATION AND SUBSIDIARIES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40" w:type="dxa"/>
            <w:vAlign w:val="bottom"/>
            <w:gridSpan w:val="2"/>
          </w:tcPr>
          <w:p>
            <w:pPr>
              <w:jc w:val="right"/>
              <w:ind w:right="140"/>
              <w:spacing w:after="0" w:line="190" w:lineRule="exact"/>
              <w:rPr>
                <w:sz w:val="20"/>
                <w:szCs w:val="20"/>
                <w:color w:val="auto"/>
              </w:rPr>
            </w:pPr>
            <w:r>
              <w:rPr>
                <w:rFonts w:ascii="Arial" w:cs="Arial" w:eastAsia="Arial" w:hAnsi="Arial"/>
                <w:sz w:val="18"/>
                <w:szCs w:val="18"/>
                <w:color w:val="auto"/>
                <w:w w:val="89"/>
              </w:rPr>
              <w:t>Condensed Consolidated Statements of Financial Condition</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6"/>
          </w:tcPr>
          <w:p>
            <w:pPr>
              <w:jc w:val="right"/>
              <w:ind w:right="104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30"/>
        </w:trPr>
        <w:tc>
          <w:tcPr>
            <w:tcW w:w="34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6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88"/>
              </w:rPr>
              <w:t>(In thousands, except share 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8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Interest bearing deposits - time</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Loans held for sale, carried at fair value</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Payment plan receivables and other assets held for sale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Loans</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538,615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6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318,498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40" w:type="dxa"/>
            <w:vAlign w:val="bottom"/>
            <w:gridSpan w:val="2"/>
          </w:tcPr>
          <w:p>
            <w:pPr>
              <w:jc w:val="right"/>
              <w:ind w:right="40"/>
              <w:spacing w:after="0"/>
              <w:rPr>
                <w:sz w:val="20"/>
                <w:szCs w:val="20"/>
                <w:color w:val="auto"/>
              </w:rPr>
            </w:pPr>
            <w:r>
              <w:rPr>
                <w:rFonts w:ascii="Arial" w:cs="Arial" w:eastAsia="Arial" w:hAnsi="Arial"/>
                <w:sz w:val="18"/>
                <w:szCs w:val="18"/>
                <w:color w:val="auto"/>
              </w:rPr>
              <w:t>Total Loans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1,608,248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66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Net Loans</w:t>
            </w: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1,915,616</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1,588,014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and repossessed assets</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mortgage loan servicing rights</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6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40" w:type="dxa"/>
            <w:vAlign w:val="bottom"/>
            <w:gridSpan w:val="2"/>
          </w:tcPr>
          <w:p>
            <w:pPr>
              <w:jc w:val="right"/>
              <w:ind w:right="6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2,753,446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2,548,950</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Non-interest bearing</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753,555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Savings and interest-bearing checking</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Reciprocal</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Brokered time</w:t>
            </w:r>
          </w:p>
        </w:tc>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Total Deposits</w:t>
            </w: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held for sale</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2,485,736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2,299,970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16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no par value, 500,000,000 shares authorized; issued and outstanding: 21,332,317 shares at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60" w:type="dxa"/>
            <w:vAlign w:val="bottom"/>
            <w:gridSpan w:val="4"/>
            <w:shd w:val="clear" w:color="auto" w:fill="CCEEFF"/>
          </w:tcPr>
          <w:p>
            <w:pPr>
              <w:jc w:val="right"/>
              <w:ind w:right="3520"/>
              <w:spacing w:after="0"/>
              <w:rPr>
                <w:sz w:val="20"/>
                <w:szCs w:val="20"/>
                <w:color w:val="auto"/>
              </w:rPr>
            </w:pPr>
            <w:r>
              <w:rPr>
                <w:rFonts w:ascii="Arial" w:cs="Arial" w:eastAsia="Arial" w:hAnsi="Arial"/>
                <w:sz w:val="18"/>
                <w:szCs w:val="18"/>
                <w:color w:val="auto"/>
                <w:w w:val="88"/>
              </w:rPr>
              <w:t>September 30, 2017 and 21,258,092 shares at December 31, 2016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324,607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(65,657)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66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16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44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Total Shareholders’ Equity</w:t>
            </w: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267,710</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248,980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Total Liabilities and Shareholders’ Equity</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2,753,446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center"/>
              <w:ind w:right="46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2"/>
              </w:rPr>
              <w:t>(unaudited)</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0"/>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8"/>
          </w:tcPr>
          <w:p>
            <w:pPr>
              <w:jc w:val="right"/>
              <w:ind w:right="20"/>
              <w:spacing w:after="0"/>
              <w:rPr>
                <w:sz w:val="20"/>
                <w:szCs w:val="20"/>
                <w:color w:val="auto"/>
              </w:rPr>
            </w:pPr>
            <w:r>
              <w:rPr>
                <w:rFonts w:ascii="Arial" w:cs="Arial" w:eastAsia="Arial" w:hAnsi="Arial"/>
                <w:sz w:val="18"/>
                <w:szCs w:val="18"/>
                <w:color w:val="auto"/>
              </w:rPr>
              <w:t>(In thousands, except per share amounts)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1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21,831</w:t>
            </w:r>
          </w:p>
        </w:tc>
        <w:tc>
          <w:tcPr>
            <w:tcW w:w="6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61,638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Interest on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Tax-exempt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1,478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25,371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72,283</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4,754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borrowings and subordinated debentures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6,413</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22,912</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65,870</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65,064</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Interchange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5,869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 (losses) on assets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Mortgage loans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3,556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8,886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Mortgage loan servicing,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Non-interest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10,304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31,089</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Compensation and employee benefits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13,577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13,031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41,104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Occupancy, net</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Data processing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1,971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5,670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2,046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 and collection</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Legal and professional</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Interchange expense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FDIC deposit insurance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Credit card and bank service fees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Arial" w:cs="Arial" w:eastAsia="Arial" w:hAnsi="Arial"/>
                <w:sz w:val="18"/>
                <w:szCs w:val="18"/>
                <w:color w:val="auto"/>
              </w:rPr>
              <w:t>Total Non-interest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22,616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68,946</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Income Before Income Tax</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27,207</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2,979</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8,443</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0.87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Declared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Paid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(unaudited)</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18,764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Unrealized gains arising during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Change in unrealized gains for which a portion of other than temporary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impairment has been recognized in earnings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Reclassification adjustments for gains included in earnings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480"/>
              <w:spacing w:after="0" w:line="201" w:lineRule="exact"/>
              <w:rPr>
                <w:sz w:val="20"/>
                <w:szCs w:val="20"/>
                <w:color w:val="auto"/>
              </w:rPr>
            </w:pPr>
            <w:r>
              <w:rPr>
                <w:rFonts w:ascii="Arial" w:cs="Arial" w:eastAsia="Arial" w:hAnsi="Arial"/>
                <w:sz w:val="18"/>
                <w:szCs w:val="18"/>
                <w:color w:val="auto"/>
                <w:w w:val="94"/>
              </w:rPr>
              <w:t>Unrealized gains recognized in other comprehensive income on securities</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available for sale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480"/>
              <w:spacing w:after="0" w:line="201" w:lineRule="exact"/>
              <w:rPr>
                <w:sz w:val="20"/>
                <w:szCs w:val="20"/>
                <w:color w:val="auto"/>
              </w:rPr>
            </w:pPr>
            <w:r>
              <w:rPr>
                <w:rFonts w:ascii="Arial" w:cs="Arial" w:eastAsia="Arial" w:hAnsi="Arial"/>
                <w:sz w:val="18"/>
                <w:szCs w:val="18"/>
                <w:color w:val="auto"/>
                <w:w w:val="94"/>
              </w:rPr>
              <w:t>Unrealized gains recognized in other comprehensive income on securities</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available for sale, net of tax</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 arising during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Reclassification adjustment for expense recognized in earnings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Unrealized gains recognized in other comprehensive income on derivative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480"/>
              <w:spacing w:after="0" w:line="201" w:lineRule="exact"/>
              <w:rPr>
                <w:sz w:val="20"/>
                <w:szCs w:val="20"/>
                <w:color w:val="auto"/>
              </w:rPr>
            </w:pPr>
            <w:r>
              <w:rPr>
                <w:rFonts w:ascii="Arial" w:cs="Arial" w:eastAsia="Arial" w:hAnsi="Arial"/>
                <w:sz w:val="18"/>
                <w:szCs w:val="18"/>
                <w:color w:val="auto"/>
                <w:w w:val="94"/>
              </w:rPr>
              <w:t>Unrealized gains recognized in other comprehensive income on derivative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instruments, net of tax</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gridSpan w:val="3"/>
          </w:tcPr>
          <w:p>
            <w:pPr>
              <w:jc w:val="right"/>
              <w:ind w:right="700"/>
              <w:spacing w:after="0"/>
              <w:rPr>
                <w:sz w:val="20"/>
                <w:szCs w:val="20"/>
                <w:color w:val="auto"/>
              </w:rPr>
            </w:pPr>
            <w:r>
              <w:rPr>
                <w:rFonts w:ascii="Arial" w:cs="Arial" w:eastAsia="Arial" w:hAnsi="Arial"/>
                <w:sz w:val="18"/>
                <w:szCs w:val="18"/>
                <w:color w:val="auto"/>
              </w:rPr>
              <w:t>INDEPENDENT BANK CORPORATION AND SUBSIDIARIES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00" w:type="dxa"/>
            <w:vAlign w:val="bottom"/>
            <w:gridSpan w:val="3"/>
          </w:tcPr>
          <w:p>
            <w:pPr>
              <w:jc w:val="right"/>
              <w:ind w:right="1240"/>
              <w:spacing w:after="0" w:line="190" w:lineRule="exact"/>
              <w:rPr>
                <w:sz w:val="20"/>
                <w:szCs w:val="20"/>
                <w:color w:val="auto"/>
              </w:rPr>
            </w:pPr>
            <w:r>
              <w:rPr>
                <w:rFonts w:ascii="Arial" w:cs="Arial" w:eastAsia="Arial" w:hAnsi="Arial"/>
                <w:sz w:val="18"/>
                <w:szCs w:val="18"/>
                <w:color w:val="auto"/>
              </w:rPr>
              <w:t>Condensed Consolidated Statements of Cash Flows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600" w:type="dxa"/>
            <w:vAlign w:val="bottom"/>
            <w:gridSpan w:val="7"/>
          </w:tcPr>
          <w:p>
            <w:pPr>
              <w:spacing w:after="0"/>
              <w:rPr>
                <w:sz w:val="20"/>
                <w:szCs w:val="20"/>
                <w:color w:val="auto"/>
              </w:rPr>
            </w:pPr>
            <w:r>
              <w:rPr>
                <w:rFonts w:ascii="Arial" w:cs="Arial" w:eastAsia="Arial" w:hAnsi="Arial"/>
                <w:sz w:val="18"/>
                <w:szCs w:val="18"/>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color w:val="auto"/>
                <w:w w:val="95"/>
              </w:rPr>
              <w:t>(unaudited - 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w w:val="92"/>
              </w:rPr>
              <w:t>Adjustments to Reconcile Net Income to Net Cash From Operating Activities Proceeds from sales of loans held for sale</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313,559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222,610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Disbursements for loans held for sale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(316,338)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Deferred loan fees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Net depreciation, amortization of intangible assets and premiums and accretion of discounts on securities, loans and</w:t>
            </w: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500" w:type="dxa"/>
            <w:vAlign w:val="bottom"/>
            <w:tcBorders>
              <w:right w:val="single" w:sz="8" w:color="CCEEFF"/>
            </w:tcBorders>
            <w:gridSpan w:val="3"/>
            <w:shd w:val="clear" w:color="auto" w:fill="CCEEFF"/>
          </w:tcPr>
          <w:p>
            <w:pPr>
              <w:jc w:val="right"/>
              <w:ind w:right="6260"/>
              <w:spacing w:after="0"/>
              <w:rPr>
                <w:sz w:val="20"/>
                <w:szCs w:val="20"/>
                <w:color w:val="auto"/>
              </w:rPr>
            </w:pPr>
            <w:r>
              <w:rPr>
                <w:rFonts w:ascii="Arial" w:cs="Arial" w:eastAsia="Arial" w:hAnsi="Arial"/>
                <w:sz w:val="18"/>
                <w:szCs w:val="18"/>
                <w:color w:val="auto"/>
                <w:w w:val="90"/>
              </w:rPr>
              <w:t>interest bearing deposits - time</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gains on mortgage loans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gains on securities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Increase in accrued income and other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Increase in accrued expenses and other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Net Cash From Operating Activities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Flow Used in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sale of securities available for sale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(84,080)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maturity of interest bearing deposits - time</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Purchase of Federal Reserve Bank stock</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Redemption of Federal Reserve Bank stock</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(326,089)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Purchase of portfolio loans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Cash received from the sale of Mepco Finance Corporation assets, net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bank-owned life insurance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the collection of vehicle service contract counterparty receivables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Net increase in total deposits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Net increase in other borrowings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Payments of Federal Home Loan Bank Advances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(397,587)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Net Cash From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177,579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(35,591)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960" w:type="dxa"/>
            <w:vAlign w:val="bottom"/>
            <w:gridSpan w:val="2"/>
          </w:tcPr>
          <w:p>
            <w:pPr>
              <w:jc w:val="right"/>
              <w:ind w:right="1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47,603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114,316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6,240</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Sale of securities available for sale not yet settled</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40" w:type="dxa"/>
            <w:vAlign w:val="bottom"/>
            <w:gridSpan w:val="3"/>
          </w:tcPr>
          <w:p>
            <w:pPr>
              <w:jc w:val="center"/>
              <w:ind w:left="2550"/>
              <w:spacing w:after="0"/>
              <w:rPr>
                <w:sz w:val="20"/>
                <w:szCs w:val="20"/>
                <w:color w:val="auto"/>
              </w:rPr>
            </w:pPr>
            <w:r>
              <w:rPr>
                <w:rFonts w:ascii="Arial" w:cs="Arial" w:eastAsia="Arial" w:hAnsi="Arial"/>
                <w:sz w:val="18"/>
                <w:szCs w:val="18"/>
                <w:color w:val="auto"/>
                <w:w w:val="97"/>
              </w:rPr>
              <w:t>INDEPENDENT BANK CORPORATION AND SUBSIDIARIES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920" w:type="dxa"/>
            <w:vAlign w:val="bottom"/>
            <w:gridSpan w:val="2"/>
          </w:tcPr>
          <w:p>
            <w:pPr>
              <w:jc w:val="center"/>
              <w:ind w:right="560"/>
              <w:spacing w:after="0" w:line="190" w:lineRule="exact"/>
              <w:rPr>
                <w:sz w:val="20"/>
                <w:szCs w:val="20"/>
                <w:color w:val="auto"/>
              </w:rPr>
            </w:pPr>
            <w:r>
              <w:rPr>
                <w:rFonts w:ascii="Arial" w:cs="Arial" w:eastAsia="Arial" w:hAnsi="Arial"/>
                <w:sz w:val="18"/>
                <w:szCs w:val="18"/>
                <w:color w:val="auto"/>
                <w:w w:val="89"/>
              </w:rPr>
              <w:t>Condensed Consolidated Statements of Shareholders' Equity</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color w:val="auto"/>
                <w:w w:val="92"/>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18,764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 dividends declared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Share based compensation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Arial" w:cs="Arial" w:eastAsia="Arial" w:hAnsi="Arial"/>
                <w:sz w:val="18"/>
                <w:szCs w:val="18"/>
                <w:color w:val="auto"/>
              </w:rPr>
              <w:t>Net change in accumulated other comprehensive loss, net of related tax effect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267,710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2016 included in our Annual Report on Form 10-K.</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our opinion, the accompanying unaudited condensed consolidated financial statements contain all the adjustments necessary to present fairly our consolidated financial condition as of September 30, 2017 and December 31, 2016, and the results of operations for the three and nine-month periods ended September 30, 2017 and 2016. The results of operations for the three and nine-month periods ended September 30, 2017,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valuation of originated mortgage loan servicing rights and the valuation of deferred tax assets. Refer to our 2016 Annual Report on Form 10-K for a disclosure of our accounting policies.</w:t>
      </w:r>
    </w:p>
    <w:p>
      <w:pPr>
        <w:spacing w:after="0" w:line="19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w:t>
      </w:r>
      <w:r>
        <w:rPr>
          <w:rFonts w:ascii="Arial" w:cs="Arial" w:eastAsia="Arial" w:hAnsi="Arial"/>
          <w:sz w:val="16"/>
          <w:szCs w:val="16"/>
          <w:i w:val="1"/>
          <w:iCs w:val="1"/>
          <w:color w:val="auto"/>
        </w:rPr>
        <w:t>”.</w:t>
      </w:r>
      <w:r>
        <w:rPr>
          <w:rFonts w:ascii="Arial" w:cs="Arial" w:eastAsia="Arial" w:hAnsi="Arial"/>
          <w:sz w:val="16"/>
          <w:szCs w:val="16"/>
          <w:color w:val="auto"/>
        </w:rPr>
        <w:t xml:space="preserve">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This amended guidance is effective for us on January 1, 2018, and is not expected to have a material impact on our consolidated operating results or financial condition. We expect to adopt this ASU using the modified retrospective approach. Financial instruments for the most part and related contractual rights and obligations which are the sources of the majority of our operating revenue are excluded from the scope of this amended guidance. In addition, for those operating revenue streams that are included in the scope of this amended guidance, based upon our review of these sources of income we do not believe they will be materially impacted by this amended guidance.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 equity investments (except those accounted for under the equity method of accounting, or those that result in consolidation of the investee) to be measured at fair value with changes in fair value recognized in net income, require public business entities to use the exit price notion when measuring the fair value of financial instruments for disclosure purposes, require separate presentation of financial assets and financial liabilities by measurement category and form of financial asset and eliminate the requirement for public business entities to disclose the method(s) and significant assumptions used to estimate the fair value that is required to be disclosed for financial instruments measured at amortized cost. This amended guidance is effective for us on January 1, 2018. We have reviewed the types of financial instruments impacted by this amended guidance, including certain equity investments and liabilities measured under the fair value election, and have determined that we do not currently own any such instruments. The balance of this amended guidance is expected to impact certain disclosure items but is not expected to have any impact on our consolidated operating results or financial condition.</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 Based on a review of our operating leases that we currently have in place we do not expect a material change in the recognition, measurement and presentation of lease expense or impact on cash flow. While the primary impact will be the recognition of certain operating leases on our Condensed Consolidated Statements of Financial Condition this impact is not expected to be material.</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the Bank that meets regularly to discuss the implementation of the ASU. We are currently in the process of gathering data and reviewing loss methodologies and have engaged third party resources that will assist us in the implementation of this ASU. While we have not yet determined what the impact will be on our consolidated operating results or financial condition by the nature of the implementation of an expected loss model compared to an incurred loss approach, we would expect our allowance for loan losses (“AFLL”) to increase under this ASU.</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is effective for us on January 1, 2019, and given our current level of derivatives designated as hedges is not expected to have a material impact on our consolidated operating results or financial condition.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2017, the FASB issued ASU 2017-08, “Receivables-Nonrefundable Fees and Other Costs (Subtopic 310-20) Premium Amortization on Purchased Callable Debt Securities” (“ASU 2017-08”). This ASU shortens the amortization period for certain callable debt securities held at a premium. Specifically, the amendments require the premium to be amortized to the earliest call date. The amendments do not require an accounting change for securities held at a discount; the discount continues to be accreted to maturity. This amended guidance is effective for us on January 1, 2019, with early adoption permitted. We adopted this amended guidance during the first quarter of 2017 using a modified retrospective approach. The impact of this adoption was to adjust our January 1, 2017 Condensed Consolidated Statement of Financial Position to reflect cumulative effect adjustments as summarized in the table below. The adjustments below reflect the recording of $0.46 million ($0.30 million, net of tax) of additional premium amortization on securities available for sale and a $0.30 million decrease in accumulated other comprehensive loss to reflect the decrease in after tax unrealized losses on securities available for sale as of January 1, 2017 as a result of adopting this amended guidance. After January 1, 2017, premium amortization on certain callable debt securities is now amortized to the first call date. During the first quarter of 2017 the impact on the Condensed Consolidated Statements of Operations was an increase to premium amortization of $0.03 million.</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2017, we adopted the fair value method of accounting for our capitalized mortgage loan servicing rights pursuant to FASB Accounting Standards Codification topic 860 – “Transfers and Servicing”. Prior to January 1, 2017, we were accounting for our capitalized mortgage loan servicing rights under the amortization method. We adopted the fair value method using a modified retrospective adjustment to beginning accumulated deficit. The impact of the adoption of the fair value method is summarized in the table below. The adjustments below reflect the recording of a $0.54 million increase in the fair value of our capitalized mortgage loan servicing rights with a $0.19 million reduction in deferred tax assets, net for a net impact on accumulated deficit and total equity of $0.35 million.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January 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Cumulative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January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Originally</w:t>
            </w: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Retrospective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Presented</w:t>
            </w: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Adjustments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Adjusted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1"/>
              </w:rPr>
              <w:t>(In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Capitalized mortgage loan servicing rights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13,671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2,548,950</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2,549,302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(65,657)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2,548,950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2,549,302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adjustment to capitalized mortgage loan servicing rights, deferred tax assets, net, and accumulated deficit to reflect the adoption of the fair value method of accounting for our capitalized mortgage loan servicing rights.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adjustment to accumulated deficit and accumulated other comprehensive loss to reflect the adoption of ASU 2017-08.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4"/>
          </w:tcPr>
          <w:p>
            <w:pPr>
              <w:spacing w:after="0"/>
              <w:rPr>
                <w:sz w:val="20"/>
                <w:szCs w:val="20"/>
                <w:color w:val="auto"/>
              </w:rPr>
            </w:pPr>
            <w:r>
              <w:rPr>
                <w:rFonts w:ascii="Arial" w:cs="Arial" w:eastAsia="Arial" w:hAnsi="Arial"/>
                <w:sz w:val="18"/>
                <w:szCs w:val="18"/>
                <w:color w:val="auto"/>
              </w:rPr>
              <w:t>3.  Securities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20" w:type="dxa"/>
            <w:vAlign w:val="bottom"/>
            <w:gridSpan w:val="4"/>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September 30, 2017</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135,293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1,331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26,703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518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176,087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1,708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853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545,672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5,023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548,865</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December 31, 2016</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156,053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1,173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35,035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146,829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175,180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478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Trust preferred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government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615,709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2,548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610,616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vMerge w:val="restart"/>
          </w:tcPr>
          <w:p>
            <w:pPr>
              <w:jc w:val="right"/>
              <w:ind w:right="214"/>
              <w:spacing w:after="0"/>
              <w:rPr>
                <w:sz w:val="20"/>
                <w:szCs w:val="20"/>
                <w:color w:val="auto"/>
              </w:rPr>
            </w:pPr>
            <w:r>
              <w:rPr>
                <w:rFonts w:ascii="Arial" w:cs="Arial" w:eastAsia="Arial" w:hAnsi="Arial"/>
                <w:sz w:val="14"/>
                <w:szCs w:val="14"/>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the amortized cost of securities as of January 1, 2017 was adjusted lower by $0.46 million (see note #2).</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180"/>
              <w:spacing w:after="0"/>
              <w:rPr>
                <w:sz w:val="20"/>
                <w:szCs w:val="20"/>
                <w:color w:val="auto"/>
              </w:rPr>
            </w:pPr>
            <w:r>
              <w:rPr>
                <w:rFonts w:ascii="Arial" w:cs="Arial" w:eastAsia="Arial" w:hAnsi="Arial"/>
                <w:sz w:val="18"/>
                <w:szCs w:val="18"/>
                <w:color w:val="auto"/>
              </w:rPr>
              <w:t>Less Than Twelve Months</w:t>
            </w:r>
          </w:p>
        </w:tc>
        <w:tc>
          <w:tcPr>
            <w:tcW w:w="14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September 30, 2017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Private label mortgage- 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55,973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99,858</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75,203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175,061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w w:val="95"/>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62,524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113,078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4,014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127,701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286,522</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68,405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354,927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agency, U.S. agency residential mortgage-backed securities and U.S. agency commercial mortgage backed securities — at September 30, 2017, we had 33 U.S. agency, 109 U.S. agency residential mortgage-backed and 10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label mortgage backed securities — at September 30, 2017, we had 11 of this type of security whose fair value is less than amortized cost. The majority of unrealized losses are attributed to three securities purchased prior to 2016. Two of these three securities has an impairment in excess of 10% and all three of these holdings have been impaired for more than 12 months. The unrealized losses are largely attributable to credit spread widening on these three securities since their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three securities are receiving principal and interest payments. These transactions are pass-through structures, receiving pro rata principal and interest payments from a dedicated collateral pool. The nonreceipt of interest cash flows is not expected and thus not presently considered in our discounted cash flow methodology discussed below.</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three private label mortgage-backed securities are periodically reviewed for other than temporary impairment (“OTTI”) utilizing a cash flow projection. The cash flow analysis forecasts cash flow from the underlying loans in each transaction and then applies these cash flows to the bonds in the securitization. Our cash flow analysis forecasts complete recovery of our cost basis for all three of these securities whose fair value is less than amortized cost.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 backed — at September 30, 2017, we had 51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of states and political subdivisions — at September 30, 2017, we had 182 municipal securities whose fair value is less than amortized cost. The unrealized losses are primarily due to wider benchmark pricing spreads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 at September 30, 2017, we had 11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Trust preferred securities — at September 30, 2017,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the three securities is rated by two major rating agencies as investment grade, while one (a Bank of America issuance) is rated below investment grade by two major rating agencies and the other one is non-rated. The non-rated issue is a relatively small bank and was never rated. The issuer of this non-rated trust preferred security, which had a total amortized cost of $1.0 million and total fair value of $0.9 million as of September 30, 2017, continues to have satisfactory credit metrics and make interest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out our trust preferred securities in further detail as of September 30, 2017 and December 31,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70"/>
              <w:spacing w:after="0"/>
              <w:rPr>
                <w:sz w:val="20"/>
                <w:szCs w:val="20"/>
                <w:color w:val="auto"/>
              </w:rPr>
            </w:pPr>
            <w:r>
              <w:rPr>
                <w:rFonts w:ascii="Arial" w:cs="Arial" w:eastAsia="Arial" w:hAnsi="Arial"/>
                <w:sz w:val="18"/>
                <w:szCs w:val="18"/>
                <w:color w:val="auto"/>
              </w:rPr>
              <w:t>September 30, 2017</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31, 2016</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16"/>
        </w:trPr>
        <w:tc>
          <w:tcPr>
            <w:tcW w:w="3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r>
      <w:tr>
        <w:trPr>
          <w:trHeight w:val="237"/>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00" w:type="dxa"/>
            <w:vAlign w:val="bottom"/>
          </w:tcPr>
          <w:p>
            <w:pPr>
              <w:spacing w:after="0"/>
              <w:rPr>
                <w:sz w:val="20"/>
                <w:szCs w:val="20"/>
                <w:color w:val="auto"/>
              </w:rPr>
            </w:pPr>
          </w:p>
        </w:tc>
      </w:tr>
      <w:tr>
        <w:trPr>
          <w:trHeight w:val="230"/>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Rated issues</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Unrated issues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19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Foreign government — at September 30, 2017, we had two foreign government securities whose fair value is less than amortized cost. The unrealized loss is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no credit related OTTI charges in our Condensed Consolidated Statements of Operations related to securities available for sale during the three and nine month periods ended September 30,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three private label mortgage-backed securities had credit related OTTI and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Super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Senior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Senior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8"/>
                <w:szCs w:val="18"/>
                <w:color w:val="auto"/>
                <w:w w:val="92"/>
              </w:rPr>
              <w:t>Senior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Support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Security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Security</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Security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30"/>
        </w:trPr>
        <w:tc>
          <w:tcPr>
            <w:tcW w:w="4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040" w:type="dxa"/>
            <w:vAlign w:val="bottom"/>
          </w:tcPr>
          <w:p>
            <w:pPr>
              <w:spacing w:after="0"/>
              <w:rPr>
                <w:sz w:val="20"/>
                <w:szCs w:val="20"/>
                <w:color w:val="auto"/>
              </w:rPr>
            </w:pPr>
            <w:r>
              <w:rPr>
                <w:rFonts w:ascii="Arial" w:cs="Arial" w:eastAsia="Arial" w:hAnsi="Arial"/>
                <w:sz w:val="18"/>
                <w:szCs w:val="18"/>
                <w:color w:val="auto"/>
              </w:rPr>
              <w:t>As of September 30, 2017</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Amortized cost</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Non-credit unrealized loss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Unrealized gain</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credit related OTTI</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r>
      <w:tr>
        <w:trPr>
          <w:trHeight w:val="596"/>
        </w:trPr>
        <w:tc>
          <w:tcPr>
            <w:tcW w:w="4040" w:type="dxa"/>
            <w:vAlign w:val="bottom"/>
          </w:tcPr>
          <w:p>
            <w:pPr>
              <w:spacing w:after="0"/>
              <w:rPr>
                <w:sz w:val="24"/>
                <w:szCs w:val="24"/>
                <w:color w:val="auto"/>
              </w:rPr>
            </w:pPr>
          </w:p>
        </w:tc>
        <w:tc>
          <w:tcPr>
            <w:tcW w:w="2040" w:type="dxa"/>
            <w:vAlign w:val="bottom"/>
          </w:tcPr>
          <w:p>
            <w:pPr>
              <w:jc w:val="right"/>
              <w:ind w:right="219"/>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securities is receiving principal and interest payments similar to principal reductions in the underlying collateral. All three of these securities have unrealized gains at September 30, 2017. The original amortized cost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credit losses recognized in earnings on securities available for sale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2460" w:type="dxa"/>
            <w:vAlign w:val="bottom"/>
            <w:gridSpan w:val="7"/>
          </w:tcPr>
          <w:p>
            <w:pPr>
              <w:ind w:left="400"/>
              <w:spacing w:after="0"/>
              <w:rPr>
                <w:sz w:val="20"/>
                <w:szCs w:val="20"/>
                <w:color w:val="auto"/>
              </w:rPr>
            </w:pPr>
            <w:r>
              <w:rPr>
                <w:rFonts w:ascii="Arial" w:cs="Arial" w:eastAsia="Arial" w:hAnsi="Arial"/>
                <w:sz w:val="18"/>
                <w:szCs w:val="18"/>
                <w:color w:val="auto"/>
              </w:rPr>
              <w:t>Nine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7"/>
          </w:tcPr>
          <w:p>
            <w:pPr>
              <w:ind w:left="580"/>
              <w:spacing w:after="0"/>
              <w:rPr>
                <w:sz w:val="20"/>
                <w:szCs w:val="20"/>
                <w:color w:val="auto"/>
              </w:rPr>
            </w:pPr>
            <w:r>
              <w:rPr>
                <w:rFonts w:ascii="Arial" w:cs="Arial" w:eastAsia="Arial" w:hAnsi="Arial"/>
                <w:sz w:val="18"/>
                <w:szCs w:val="18"/>
                <w:color w:val="auto"/>
              </w:rPr>
              <w:t>September 30,</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70"/>
              <w:spacing w:after="0"/>
              <w:rPr>
                <w:sz w:val="20"/>
                <w:szCs w:val="20"/>
                <w:color w:val="auto"/>
              </w:rPr>
            </w:pPr>
            <w:r>
              <w:rPr>
                <w:rFonts w:ascii="Arial" w:cs="Arial" w:eastAsia="Arial" w:hAnsi="Arial"/>
                <w:sz w:val="16"/>
                <w:szCs w:val="16"/>
                <w:color w:val="auto"/>
                <w:w w:val="70"/>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1,844</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Additions to credit losses on securities for which no previous OTTI was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recognized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Increases to credit losses on securities for which OTTI was previously</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recognized</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1,844</w:t>
            </w:r>
          </w:p>
        </w:tc>
        <w:tc>
          <w:tcPr>
            <w:tcW w:w="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r>
      <w:tr>
        <w:trPr>
          <w:trHeight w:val="21"/>
        </w:trPr>
        <w:tc>
          <w:tcPr>
            <w:tcW w:w="60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820" w:type="dxa"/>
            <w:vAlign w:val="bottom"/>
            <w:gridSpan w:val="10"/>
          </w:tcPr>
          <w:p>
            <w:pPr>
              <w:spacing w:after="0"/>
              <w:rPr>
                <w:sz w:val="20"/>
                <w:szCs w:val="20"/>
                <w:color w:val="auto"/>
              </w:rPr>
            </w:pPr>
            <w:r>
              <w:rPr>
                <w:rFonts w:ascii="Arial" w:cs="Arial" w:eastAsia="Arial" w:hAnsi="Arial"/>
                <w:sz w:val="18"/>
                <w:szCs w:val="18"/>
                <w:color w:val="auto"/>
                <w:w w:val="92"/>
              </w:rPr>
              <w:t>The amortized cost and fair value of securities available for sale at September 30, 2017, by contractual maturity, follow: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Cost</w:t>
            </w: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rPr>
              <w:t>(In</w:t>
            </w:r>
          </w:p>
        </w:tc>
        <w:tc>
          <w:tcPr>
            <w:tcW w:w="1360" w:type="dxa"/>
            <w:vAlign w:val="bottom"/>
            <w:gridSpan w:val="5"/>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27,811</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27,865</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98,784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99,533</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82,590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83,671</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55,596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55,622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264,781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136,109</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10,736</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26,703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26,990</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108,128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545,672</w:t>
            </w:r>
          </w:p>
        </w:tc>
        <w:tc>
          <w:tcPr>
            <w:tcW w:w="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548,865</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nine month periods ending September 30,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Realized</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Proceeds (1)</w:t>
            </w:r>
          </w:p>
        </w:tc>
        <w:tc>
          <w:tcPr>
            <w:tcW w:w="24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jc w:val="right"/>
              <w:ind w:right="6990"/>
              <w:spacing w:after="0"/>
              <w:rPr>
                <w:sz w:val="20"/>
                <w:szCs w:val="20"/>
                <w:color w:val="auto"/>
              </w:rPr>
            </w:pPr>
            <w:r>
              <w:rPr>
                <w:rFonts w:ascii="Arial" w:cs="Arial" w:eastAsia="Arial" w:hAnsi="Arial"/>
                <w:sz w:val="18"/>
                <w:szCs w:val="18"/>
                <w:color w:val="auto"/>
                <w:w w:val="84"/>
              </w:rPr>
              <w:t>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jc w:val="right"/>
              <w:ind w:right="6990"/>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56,451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89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2017 includes $0.760 million for trades that did not settle until after September 30,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2017 and 2016, our trading securities consisted of various preferred stocks. During the nine months ended September 30, 2017 and 2016, we recognized gains (losses) on trading securities of $(0.063) million and $0.004 million, respectively, that are included in net gains (losses) on securities in the Condensed Consolidated Statements of Operations. These amounts relate to trading securities still held at each respective period end.</w:t>
      </w:r>
    </w:p>
    <w:p>
      <w:pPr>
        <w:spacing w:after="0" w:line="19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assessment of the allowance for loan losses is based on an evaluation of the loan portfolio, recent loss experience, current economic conditions and other pertinent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three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4"/>
              <w:spacing w:after="0"/>
              <w:rPr>
                <w:sz w:val="20"/>
                <w:szCs w:val="20"/>
                <w:color w:val="auto"/>
              </w:rPr>
            </w:pPr>
            <w:r>
              <w:rPr>
                <w:rFonts w:ascii="Arial" w:cs="Arial" w:eastAsia="Arial" w:hAnsi="Arial"/>
                <w:sz w:val="18"/>
                <w:szCs w:val="18"/>
                <w:color w:val="auto"/>
                <w:w w:val="90"/>
              </w:rPr>
              <w:t>Payment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4"/>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Receivables(1)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4"/>
          </w:tcPr>
          <w:p>
            <w:pPr>
              <w:jc w:val="right"/>
              <w:ind w:right="474"/>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1000" w:type="dxa"/>
            <w:vAlign w:val="bottom"/>
            <w:gridSpan w:val="2"/>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7"/>
              </w:rPr>
              <w:t>Additions (deductions) Provision for loan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jc w:val="right"/>
              <w:ind w:right="2890"/>
              <w:spacing w:after="0"/>
              <w:rPr>
                <w:sz w:val="20"/>
                <w:szCs w:val="20"/>
                <w:color w:val="auto"/>
              </w:rPr>
            </w:pPr>
            <w:r>
              <w:rPr>
                <w:rFonts w:ascii="Arial" w:cs="Arial" w:eastAsia="Arial" w:hAnsi="Arial"/>
                <w:sz w:val="18"/>
                <w:szCs w:val="18"/>
                <w:color w:val="auto"/>
                <w:w w:val="79"/>
              </w:rPr>
              <w:t>2016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6,039</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1,139</w:t>
            </w:r>
          </w:p>
        </w:tc>
        <w:tc>
          <w:tcPr>
            <w:tcW w:w="100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5,526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Additions (deductions) Provision for</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loan losses</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5,995</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c>
          <w:tcPr>
            <w:tcW w:w="100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5,543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Payment plan receivables were reclassified to held for sale at December 31, 2016. See note #15.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loan losses by portfolio segment for the nine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4"/>
              <w:spacing w:after="0"/>
              <w:rPr>
                <w:sz w:val="20"/>
                <w:szCs w:val="20"/>
                <w:color w:val="auto"/>
              </w:rPr>
            </w:pPr>
            <w:r>
              <w:rPr>
                <w:rFonts w:ascii="Arial" w:cs="Arial" w:eastAsia="Arial" w:hAnsi="Arial"/>
                <w:sz w:val="18"/>
                <w:szCs w:val="18"/>
                <w:color w:val="auto"/>
                <w:w w:val="90"/>
              </w:rPr>
              <w:t>Payment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4"/>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Commercial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Mortgage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Receivables(1)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Allocation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jc w:val="right"/>
              <w:ind w:right="289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4"/>
          </w:tcPr>
          <w:p>
            <w:pPr>
              <w:jc w:val="right"/>
              <w:ind w:right="474"/>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1000" w:type="dxa"/>
            <w:vAlign w:val="bottom"/>
            <w:gridSpan w:val="2"/>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Additions (deductions) Provision for</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loan losses</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(1,159)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5,670</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1,181</w:t>
            </w:r>
          </w:p>
        </w:tc>
        <w:tc>
          <w:tcPr>
            <w:tcW w:w="100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Additions (deductions) Provision for</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loan losses</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5,995</w:t>
            </w:r>
          </w:p>
        </w:tc>
        <w:tc>
          <w:tcPr>
            <w:tcW w:w="14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c>
          <w:tcPr>
            <w:tcW w:w="100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5,543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Payment plan receivables were reclassified to held for sale at December 31, 2016. See note #15.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3"/>
              </w:rPr>
              <w:t>Commercial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ending allowance balance</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10,257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54,322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4,215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315,146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839,330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784,372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319,361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837,250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781,346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318,498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1,937,094</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December 31, 2016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6,579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Total ending allowance balance</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8,681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5,662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Loans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59,151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790,228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481,828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261,474</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805,995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804,017</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265,616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1,608,248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w w:val="96"/>
              </w:rPr>
              <w:t>Loans on non-accrual status and past due more than 90 days (“Non-performing Loans”) follow:</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w w:val="88"/>
              </w:rPr>
              <w:t>90+ and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Total Non-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rPr>
              <w:t>Still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Performing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jc w:val="center"/>
              <w:ind w:left="57"/>
              <w:spacing w:after="0"/>
              <w:rPr>
                <w:sz w:val="20"/>
                <w:szCs w:val="20"/>
                <w:color w:val="auto"/>
              </w:rPr>
            </w:pPr>
            <w:r>
              <w:rPr>
                <w:rFonts w:ascii="Arial" w:cs="Arial" w:eastAsia="Arial" w:hAnsi="Arial"/>
                <w:sz w:val="18"/>
                <w:szCs w:val="18"/>
                <w:color w:val="auto"/>
                <w:w w:val="94"/>
              </w:rPr>
              <w:t>Accruing</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Loans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14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2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2360" w:type="dxa"/>
            <w:vAlign w:val="bottom"/>
            <w:gridSpan w:val="2"/>
            <w:shd w:val="clear" w:color="auto" w:fill="CCEEFF"/>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loans</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40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Total recorded investment</w:t>
            </w:r>
          </w:p>
        </w:tc>
        <w:tc>
          <w:tcPr>
            <w:tcW w:w="1400" w:type="dxa"/>
            <w:vAlign w:val="bottom"/>
          </w:tcPr>
          <w:p>
            <w:pPr>
              <w:spacing w:after="0"/>
              <w:rPr>
                <w:sz w:val="18"/>
                <w:szCs w:val="18"/>
                <w:color w:val="auto"/>
              </w:rPr>
            </w:pP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8,410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140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December 31, 2016</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236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and construction - real estate</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Purchased loans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4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236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0" w:type="dxa"/>
            <w:vAlign w:val="bottom"/>
            <w:vMerge w:val="restart"/>
          </w:tcPr>
          <w:p>
            <w:pPr>
              <w:jc w:val="right"/>
              <w:ind w:right="454"/>
              <w:spacing w:after="0"/>
              <w:rPr>
                <w:sz w:val="20"/>
                <w:szCs w:val="20"/>
                <w:color w:val="auto"/>
              </w:rPr>
            </w:pPr>
            <w:r>
              <w:rPr>
                <w:rFonts w:ascii="Arial" w:cs="Arial" w:eastAsia="Arial" w:hAnsi="Arial"/>
                <w:sz w:val="14"/>
                <w:szCs w:val="14"/>
                <w:color w:val="auto"/>
              </w:rPr>
              <w:t>19</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6"/>
              </w:rPr>
              <w:t>An aging analysis of loans by class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color w:val="auto"/>
              </w:rPr>
              <w:t>Loans Past Due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Loans not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30-59 days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60-89 days</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90+ days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Past Due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271,747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5"/>
              </w:rPr>
              <w:t>Land, land development and construction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 real estate</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67,793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1,909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91,370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56,677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93,687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7,717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13,803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1,929,260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1,943,063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334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5"/>
              </w:rPr>
              <w:t>Land, land development and construction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 real estate</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51,670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465,031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54,232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74,413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recorded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8,681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15,597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1,597,764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1,613,361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20</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Impaired loans are as follows:</w:t>
            </w: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89"/>
              </w:rPr>
              <w:t>September 30,</w:t>
            </w:r>
          </w:p>
        </w:tc>
        <w:tc>
          <w:tcPr>
            <w:tcW w:w="20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Impaired loans with no allocated allowance</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w:t>
            </w:r>
          </w:p>
        </w:tc>
        <w:tc>
          <w:tcPr>
            <w:tcW w:w="4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39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68,506</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4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present value cash flow</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amount of allowance for loan losses allocated</w:t>
            </w:r>
          </w:p>
        </w:tc>
        <w:tc>
          <w:tcPr>
            <w:tcW w:w="3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980" w:type="dxa"/>
            <w:vAlign w:val="bottom"/>
          </w:tcPr>
          <w:p>
            <w:pPr>
              <w:jc w:val="right"/>
              <w:ind w:right="2956"/>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w w:val="99"/>
              </w:rPr>
              <w:t>Impaired loans by class are as follows (1):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September 30,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4"/>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9"/>
              </w:rPr>
              <w:t>Recorded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7"/>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Principal</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Related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5"/>
              </w:rPr>
              <w:t>Investment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Allowance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3"/>
              </w:rPr>
              <w:t>Investment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Allowance</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7,121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construction-real estate</w:t>
            </w: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2,612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39,393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43,479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1,994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79,520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39,865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16,169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1,992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68,794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84,711</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 interest included in recorded</w:t>
            </w: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impaired purchased mortgage loans at September 30, 2017 or December 31, 2016.</w:t>
      </w:r>
    </w:p>
    <w:p>
      <w:pPr>
        <w:sectPr>
          <w:pgSz w:w="11900" w:h="16838" w:orient="portrait"/>
          <w:cols w:equalWidth="0" w:num="1">
            <w:col w:w="11420"/>
          </w:cols>
          <w:pgMar w:left="240" w:top="121" w:right="239" w:bottom="268"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268"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2080"/>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Average recorded investment in and interest income earned on impaired loans by class for the three month periods ending September 30, follows (1):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260" w:type="dxa"/>
            <w:vAlign w:val="bottom"/>
            <w:gridSpan w:val="2"/>
          </w:tcPr>
          <w:p>
            <w:pPr>
              <w:jc w:val="center"/>
              <w:ind w:right="235"/>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120" w:type="dxa"/>
            <w:vAlign w:val="bottom"/>
          </w:tcPr>
          <w:p>
            <w:pPr>
              <w:spacing w:after="0"/>
              <w:rPr>
                <w:sz w:val="20"/>
                <w:szCs w:val="20"/>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44,256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69,775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83,676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There were no impaired purchased mortgage loans during the three month periods ended September 30, 2017 and 2016, respectively.</w:t>
      </w:r>
    </w:p>
    <w:p>
      <w:pPr>
        <w:sectPr>
          <w:pgSz w:w="11900" w:h="16838" w:orient="portrait"/>
          <w:cols w:equalWidth="0" w:num="1">
            <w:col w:w="10740"/>
          </w:cols>
          <w:pgMar w:left="240" w:top="121" w:right="91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240" w:top="121" w:right="91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recorded investment in and interest income earned on impaired loans by class for the nine month periods ending September 30, follows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260" w:type="dxa"/>
            <w:vAlign w:val="bottom"/>
            <w:gridSpan w:val="2"/>
          </w:tcPr>
          <w:p>
            <w:pPr>
              <w:jc w:val="center"/>
              <w:ind w:right="235"/>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120" w:type="dxa"/>
            <w:vAlign w:val="bottom"/>
          </w:tcPr>
          <w:p>
            <w:pPr>
              <w:spacing w:after="0"/>
              <w:rPr>
                <w:sz w:val="20"/>
                <w:szCs w:val="20"/>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With no related allowance recorded: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With an allowance recorded: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84,839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2,710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Mortgage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17,705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There were no impaired purchased mortgage loans during the nine month periods ended September 30, 2017 and 2016, respectively.</w:t>
      </w:r>
    </w:p>
    <w:p>
      <w:pPr>
        <w:sectPr>
          <w:pgSz w:w="11900" w:h="16838" w:orient="portrait"/>
          <w:cols w:equalWidth="0" w:num="1">
            <w:col w:w="10740"/>
          </w:cols>
          <w:pgMar w:left="240" w:top="121" w:right="91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240" w:top="121" w:right="91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Cash receipts on impaired loans on non-accrual status are generally applied to the principal balance.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Troubled debt restructurings follow:</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6"/>
        </w:trPr>
        <w:tc>
          <w:tcPr>
            <w:tcW w:w="3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9"/>
              </w:rPr>
              <w:t>September 30, 2017</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3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Retail (1)</w:t>
            </w: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r>
      <w:tr>
        <w:trPr>
          <w:trHeight w:val="216"/>
        </w:trPr>
        <w:tc>
          <w:tcPr>
            <w:tcW w:w="3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left="12"/>
              <w:spacing w:after="0"/>
              <w:rPr>
                <w:sz w:val="20"/>
                <w:szCs w:val="20"/>
                <w:color w:val="auto"/>
              </w:rPr>
            </w:pPr>
            <w:r>
              <w:rPr>
                <w:rFonts w:ascii="Arial" w:cs="Arial" w:eastAsia="Arial" w:hAnsi="Arial"/>
                <w:sz w:val="18"/>
                <w:szCs w:val="18"/>
                <w:color w:val="auto"/>
                <w:w w:val="86"/>
              </w:rPr>
              <w:t>(In thousands)</w:t>
            </w:r>
          </w:p>
        </w:tc>
        <w:tc>
          <w:tcPr>
            <w:tcW w:w="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53,755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63,186</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Non-performing TDRs(2)</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80"/>
              <w:spacing w:after="0" w:line="216" w:lineRule="exact"/>
              <w:rPr>
                <w:sz w:val="20"/>
                <w:szCs w:val="20"/>
                <w:color w:val="auto"/>
              </w:rPr>
            </w:pPr>
            <w:r>
              <w:rPr>
                <w:rFonts w:ascii="Arial" w:cs="Arial" w:eastAsia="Arial" w:hAnsi="Arial"/>
                <w:sz w:val="16"/>
                <w:szCs w:val="16"/>
                <w:color w:val="auto"/>
              </w:rPr>
              <w:t>4,531</w:t>
            </w:r>
            <w:r>
              <w:rPr>
                <w:rFonts w:ascii="Arial" w:cs="Arial" w:eastAsia="Arial" w:hAnsi="Arial"/>
                <w:sz w:val="25"/>
                <w:szCs w:val="25"/>
                <w:color w:val="auto"/>
                <w:vertAlign w:val="superscript"/>
              </w:rPr>
              <w:t>(3)</w:t>
            </w: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4,932</w:t>
            </w:r>
          </w:p>
        </w:tc>
      </w:tr>
      <w:tr>
        <w:trPr>
          <w:trHeight w:val="257"/>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58,286</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433"/>
        </w:trPr>
        <w:tc>
          <w:tcPr>
            <w:tcW w:w="3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9"/>
              </w:rPr>
              <w:t>December 31, 2016</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3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Retail (1)</w:t>
            </w: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r>
      <w:tr>
        <w:trPr>
          <w:trHeight w:val="216"/>
        </w:trPr>
        <w:tc>
          <w:tcPr>
            <w:tcW w:w="3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left="12"/>
              <w:spacing w:after="0"/>
              <w:rPr>
                <w:sz w:val="20"/>
                <w:szCs w:val="20"/>
                <w:color w:val="auto"/>
              </w:rPr>
            </w:pPr>
            <w:r>
              <w:rPr>
                <w:rFonts w:ascii="Arial" w:cs="Arial" w:eastAsia="Arial" w:hAnsi="Arial"/>
                <w:sz w:val="18"/>
                <w:szCs w:val="18"/>
                <w:color w:val="auto"/>
                <w:w w:val="86"/>
              </w:rPr>
              <w:t>(In thousands)</w:t>
            </w:r>
          </w:p>
        </w:tc>
        <w:tc>
          <w:tcPr>
            <w:tcW w:w="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59,726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70,286</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Non-performing TDRs(2)</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80"/>
              <w:spacing w:after="0" w:line="216" w:lineRule="exact"/>
              <w:rPr>
                <w:sz w:val="20"/>
                <w:szCs w:val="20"/>
                <w:color w:val="auto"/>
              </w:rPr>
            </w:pPr>
            <w:r>
              <w:rPr>
                <w:rFonts w:ascii="Arial" w:cs="Arial" w:eastAsia="Arial" w:hAnsi="Arial"/>
                <w:sz w:val="16"/>
                <w:szCs w:val="16"/>
                <w:color w:val="auto"/>
              </w:rPr>
              <w:t>4,071</w:t>
            </w:r>
            <w:r>
              <w:rPr>
                <w:rFonts w:ascii="Arial" w:cs="Arial" w:eastAsia="Arial" w:hAnsi="Arial"/>
                <w:sz w:val="25"/>
                <w:szCs w:val="25"/>
                <w:color w:val="auto"/>
                <w:vertAlign w:val="superscript"/>
              </w:rPr>
              <w:t>(3)</w:t>
            </w: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7,636</w:t>
            </w:r>
          </w:p>
        </w:tc>
      </w:tr>
      <w:tr>
        <w:trPr>
          <w:trHeight w:val="257"/>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63,797</w:t>
            </w:r>
          </w:p>
        </w:tc>
        <w:tc>
          <w:tcPr>
            <w:tcW w:w="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loans include mortgage and installment portfolio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allocated $7.0 million and $9.0 million of specific reserves to customers whose loan terms have been modified in troubled debt restructurings as of September 30, 2017 and December 31, 2016,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2017 and 2016,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three-month periods ended September 30 follow(1):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Pre-modification</w:t>
            </w: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Number of</w:t>
            </w:r>
          </w:p>
        </w:tc>
        <w:tc>
          <w:tcPr>
            <w:tcW w:w="2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gridSpan w:val="2"/>
            <w:vMerge w:val="restart"/>
          </w:tcPr>
          <w:p>
            <w:pPr>
              <w:jc w:val="right"/>
              <w:ind w:right="5570"/>
              <w:spacing w:after="0"/>
              <w:rPr>
                <w:sz w:val="20"/>
                <w:szCs w:val="20"/>
                <w:color w:val="auto"/>
              </w:rPr>
            </w:pPr>
            <w:r>
              <w:rPr>
                <w:rFonts w:ascii="Arial" w:cs="Arial" w:eastAsia="Arial" w:hAnsi="Arial"/>
                <w:sz w:val="18"/>
                <w:szCs w:val="18"/>
                <w:color w:val="auto"/>
                <w:w w:val="84"/>
              </w:rPr>
              <w:t>2017</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color w:val="auto"/>
                <w:w w:val="95"/>
              </w:rPr>
              <w:t>(Dollars in thousands)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Other</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purchased mortgage loans classified as troubled debt restructurings during the three month periods ended September 30, 2017 and 2016, respectively.</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Loans that have been classified as troubled debt restructurings during the nine-month periods ended September 30 follow(1):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400" w:type="dxa"/>
            <w:vAlign w:val="bottom"/>
            <w:gridSpan w:val="3"/>
          </w:tcPr>
          <w:p>
            <w:pPr>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Contracts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2"/>
            <w:vMerge w:val="restart"/>
          </w:tcPr>
          <w:p>
            <w:pPr>
              <w:jc w:val="right"/>
              <w:ind w:right="6790"/>
              <w:spacing w:after="0"/>
              <w:rPr>
                <w:sz w:val="20"/>
                <w:szCs w:val="20"/>
                <w:color w:val="auto"/>
              </w:rPr>
            </w:pPr>
            <w:r>
              <w:rPr>
                <w:rFonts w:ascii="Arial" w:cs="Arial" w:eastAsia="Arial" w:hAnsi="Arial"/>
                <w:sz w:val="18"/>
                <w:szCs w:val="18"/>
                <w:color w:val="auto"/>
                <w:w w:val="84"/>
              </w:rPr>
              <w:t>2017</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w w:val="91"/>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were no purchased mortgage loans classified as troubled debt restructurings during the nine month periods ended September 30, 2017 and 2016,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troubled debt restructurings described above for 2017 increased the allowance for loan losses by $0.02 million and resulted in zero charge offs during the three months ended September 30, 2017, and increased the allowance by $0.08 million and resulted in zero charge offs during the nine months ended September 30, 2017.</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troubled debt restructurings described above for 2016 increased the allowance for loan losses by $0.34 million and resulted in charge offs of $0.02 million during the three months ended September 30, 2016, and increased the allowance by $0.69 million and resulted in charge offs of $0.02 million during the nine months ended September 30, 2016.</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Six commercial and industrial loans with a recorded balance of $0.16 million that have been classified as troubled debt restructurings during the past twelve months subsequently defaulted during the three and nine month periods ended September 30, 2017. These subsequent defaults resulted in an increase in the allowance of $0.02 million and $0.04 million during the three and nine month periods ended September 30, 2017, respectively and resulted in charge-offs of $0.05 million during both the three and nine month periods ended September 30, 2017. There were no troubled debt restructurings that subsequently defaulted within twelve months following the modification during the three and nine months ended September 30, 2017 for any other loan class.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troubled debt restructurings that subsequently defaulted within twelve months following the modification during the three and nine months ended September 30,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Credit Quality Indicators </w:t>
      </w:r>
      <w:r>
        <w:rPr>
          <w:rFonts w:ascii="Arial" w:cs="Arial" w:eastAsia="Arial" w:hAnsi="Arial"/>
          <w:sz w:val="18"/>
          <w:szCs w:val="18"/>
          <w:color w:val="auto"/>
        </w:rPr>
        <w:t>– As part of our on-going monitoring of the credit quality of our loan portfolios, we track certain credit quality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weighted-average risk grade of commercial loans, (b) the level of classified commercial loans, (c) credit scores of mortgage and installment loan borrowers, and (d) delinquency history and non-performing loans.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 potential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respectively. These ratings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loans to borrowers with weaknesses that make collection of debt in full, on the basis of current facts, conditions and values at best questionable and at worst improbable. All of these loans are placed in non-accrual.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loan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1"/>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268,781</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810,533</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25,317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839,330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282,886</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land development andconstruction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449,365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2,998</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466,582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783,854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1,915</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segments: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Mortgage (1)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50"/>
              <w:spacing w:after="0" w:line="201" w:lineRule="exact"/>
              <w:rPr>
                <w:sz w:val="20"/>
                <w:szCs w:val="20"/>
                <w:color w:val="auto"/>
              </w:rPr>
            </w:pPr>
            <w:r>
              <w:rPr>
                <w:rFonts w:ascii="Arial" w:cs="Arial" w:eastAsia="Arial" w:hAnsi="Arial"/>
                <w:sz w:val="18"/>
                <w:szCs w:val="18"/>
                <w:color w:val="auto"/>
                <w:w w:val="91"/>
              </w:rPr>
              <w:t>Home</w:t>
            </w:r>
          </w:p>
        </w:tc>
        <w:tc>
          <w:tcPr>
            <w:tcW w:w="200" w:type="dxa"/>
            <w:vAlign w:val="bottom"/>
          </w:tcPr>
          <w:p>
            <w:pPr>
              <w:spacing w:after="0"/>
              <w:rPr>
                <w:sz w:val="17"/>
                <w:szCs w:val="17"/>
                <w:color w:val="auto"/>
              </w:rPr>
            </w:pPr>
          </w:p>
        </w:tc>
        <w:tc>
          <w:tcPr>
            <w:tcW w:w="11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Resort</w:t>
            </w:r>
          </w:p>
        </w:tc>
        <w:tc>
          <w:tcPr>
            <w:tcW w:w="220" w:type="dxa"/>
            <w:vAlign w:val="bottom"/>
          </w:tcPr>
          <w:p>
            <w:pPr>
              <w:spacing w:after="0"/>
              <w:rPr>
                <w:sz w:val="18"/>
                <w:szCs w:val="18"/>
                <w:color w:val="auto"/>
              </w:rPr>
            </w:pPr>
          </w:p>
        </w:tc>
        <w:tc>
          <w:tcPr>
            <w:tcW w:w="1240" w:type="dxa"/>
            <w:vAlign w:val="bottom"/>
            <w:gridSpan w:val="2"/>
          </w:tcPr>
          <w:p>
            <w:pPr>
              <w:jc w:val="center"/>
              <w:ind w:right="350"/>
              <w:spacing w:after="0"/>
              <w:rPr>
                <w:sz w:val="20"/>
                <w:szCs w:val="20"/>
                <w:color w:val="auto"/>
              </w:rPr>
            </w:pPr>
            <w:r>
              <w:rPr>
                <w:rFonts w:ascii="Arial" w:cs="Arial" w:eastAsia="Arial" w:hAnsi="Arial"/>
                <w:sz w:val="18"/>
                <w:szCs w:val="18"/>
                <w:color w:val="auto"/>
                <w:w w:val="95"/>
              </w:rPr>
              <w:t>Equity</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Purchased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1-4 Family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5"/>
              </w:rPr>
              <w:t>1st Lien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5"/>
              </w:rPr>
              <w:t>2nd Lien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1480" w:type="dxa"/>
            <w:vAlign w:val="bottom"/>
            <w:gridSpan w:val="3"/>
          </w:tcPr>
          <w:p>
            <w:pPr>
              <w:jc w:val="right"/>
              <w:ind w:right="690"/>
              <w:spacing w:after="0"/>
              <w:rPr>
                <w:sz w:val="20"/>
                <w:szCs w:val="20"/>
                <w:color w:val="auto"/>
              </w:rPr>
            </w:pPr>
            <w:r>
              <w:rPr>
                <w:rFonts w:ascii="Arial" w:cs="Arial" w:eastAsia="Arial" w:hAnsi="Arial"/>
                <w:sz w:val="18"/>
                <w:szCs w:val="18"/>
                <w:color w:val="auto"/>
                <w:w w:val="76"/>
              </w:rPr>
              <w:t>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8,491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33,287</w:t>
            </w:r>
          </w:p>
        </w:tc>
        <w:tc>
          <w:tcPr>
            <w:tcW w:w="2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15,619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21,092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18,559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25,629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6,583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77,357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12,441</w:t>
            </w:r>
          </w:p>
        </w:tc>
        <w:tc>
          <w:tcPr>
            <w:tcW w:w="2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3,304</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2,777</w:t>
            </w:r>
          </w:p>
        </w:tc>
        <w:tc>
          <w:tcPr>
            <w:tcW w:w="2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561,983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93,279</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36,544</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57,690</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34,876</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784,372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Accrued interest included in 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36,534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10,484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6,048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8,392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8,462</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41,999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10,006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20,984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24,727</w:t>
            </w:r>
          </w:p>
        </w:tc>
        <w:tc>
          <w:tcPr>
            <w:tcW w:w="2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5,706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12,360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9,115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4,106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5,769</w:t>
            </w:r>
          </w:p>
        </w:tc>
        <w:tc>
          <w:tcPr>
            <w:tcW w:w="2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1,674</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1,711</w:t>
            </w:r>
          </w:p>
        </w:tc>
        <w:tc>
          <w:tcPr>
            <w:tcW w:w="22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314,541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103,048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29,016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39,137</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540,979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20" w:type="dxa"/>
            <w:vAlign w:val="bottom"/>
            <w:gridSpan w:val="2"/>
          </w:tcPr>
          <w:p>
            <w:pPr>
              <w:spacing w:after="0" w:line="196" w:lineRule="exact"/>
              <w:rPr>
                <w:sz w:val="20"/>
                <w:szCs w:val="20"/>
                <w:color w:val="auto"/>
              </w:rPr>
            </w:pPr>
            <w:r>
              <w:rPr>
                <w:rFonts w:ascii="Arial" w:cs="Arial" w:eastAsia="Arial" w:hAnsi="Arial"/>
                <w:sz w:val="18"/>
                <w:szCs w:val="18"/>
                <w:color w:val="auto"/>
                <w:w w:val="99"/>
              </w:rPr>
              <w:t>Accrued interest included in 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1,466</w:t>
            </w:r>
          </w:p>
        </w:tc>
        <w:tc>
          <w:tcPr>
            <w:tcW w:w="80" w:type="dxa"/>
            <w:vAlign w:val="bottom"/>
          </w:tcPr>
          <w:p>
            <w:pPr>
              <w:spacing w:after="0"/>
              <w:rPr>
                <w:sz w:val="18"/>
                <w:szCs w:val="18"/>
                <w:color w:val="auto"/>
              </w:rPr>
            </w:pPr>
          </w:p>
        </w:tc>
        <w:tc>
          <w:tcPr>
            <w:tcW w:w="3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450</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111</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226</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8"/>
                <w:szCs w:val="18"/>
                <w:color w:val="auto"/>
              </w:rPr>
              <w:t>Installment(1)</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1"/>
              </w:rPr>
              <w:t>Home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1"/>
              </w:rPr>
              <w:t>Home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1"/>
              </w:rPr>
              <w:t>Recreational</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Vehicle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1st Lien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2nd Lien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Boat Lending</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Lending</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w:t>
            </w:r>
          </w:p>
        </w:tc>
        <w:tc>
          <w:tcPr>
            <w:tcW w:w="1500" w:type="dxa"/>
            <w:vAlign w:val="bottom"/>
            <w:gridSpan w:val="3"/>
          </w:tcPr>
          <w:p>
            <w:pPr>
              <w:jc w:val="right"/>
              <w:ind w:right="710"/>
              <w:spacing w:after="0"/>
              <w:rPr>
                <w:sz w:val="20"/>
                <w:szCs w:val="20"/>
                <w:color w:val="auto"/>
              </w:rPr>
            </w:pPr>
            <w:r>
              <w:rPr>
                <w:rFonts w:ascii="Arial" w:cs="Arial" w:eastAsia="Arial" w:hAnsi="Arial"/>
                <w:sz w:val="18"/>
                <w:szCs w:val="18"/>
                <w:color w:val="auto"/>
                <w:w w:val="76"/>
              </w:rPr>
              <w:t>thousands)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26,168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26,312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10,655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750-799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67,402</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48,183</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26,546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25,945</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14,261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16,433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650-699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3,627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1,730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550-599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45"/>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10,223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10,511</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131,403</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93,768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73,456</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319,361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Accrued interest included in total</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21,422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23,034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8,911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50,508</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35,827</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21,918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700-749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20,045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13,183</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7,559</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600-649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1,846</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821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500-549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Unknown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102,925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74,535</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62,319</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266,387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20" w:type="dxa"/>
            <w:vAlign w:val="bottom"/>
            <w:gridSpan w:val="2"/>
          </w:tcPr>
          <w:p>
            <w:pPr>
              <w:spacing w:after="0" w:line="196" w:lineRule="exact"/>
              <w:rPr>
                <w:sz w:val="20"/>
                <w:szCs w:val="20"/>
                <w:color w:val="auto"/>
              </w:rPr>
            </w:pPr>
            <w:r>
              <w:rPr>
                <w:rFonts w:ascii="Arial" w:cs="Arial" w:eastAsia="Arial" w:hAnsi="Arial"/>
                <w:sz w:val="18"/>
                <w:szCs w:val="18"/>
                <w:color w:val="auto"/>
                <w:w w:val="99"/>
              </w:rPr>
              <w:t>Accrued interest included in total</w:t>
            </w:r>
          </w:p>
        </w:tc>
        <w:tc>
          <w:tcPr>
            <w:tcW w:w="220" w:type="dxa"/>
            <w:vAlign w:val="bottom"/>
            <w:gridSpan w:val="2"/>
          </w:tcPr>
          <w:p>
            <w:pPr>
              <w:jc w:val="right"/>
              <w:ind w:right="45"/>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59</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264</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203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191</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$1.7 million and $1.9 million at September 30, 2017 and December 31, 2016, respectively. Retail mortgage loans secured by residential real estate properties for which formal foreclosure proceedings are in process according to local requirements totaled $1.2 million and $1.0 million at September 30, 2017 and December 31, 2016,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23, 2017, our Board of Directors authorized a share repurchase plan (the “Repurchase Plan”) to buy back up to 5% of our outstanding common stock through December 31, 2017.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We did not repurchase any shares of common stock during the nine months ended September 30,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A reconciliation of basic and diluted net income per common share follows: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75"/>
              </w:rPr>
              <w:t>(In</w:t>
            </w:r>
          </w:p>
        </w:tc>
        <w:tc>
          <w:tcPr>
            <w:tcW w:w="2700" w:type="dxa"/>
            <w:vAlign w:val="bottom"/>
            <w:gridSpan w:val="6"/>
          </w:tcPr>
          <w:p>
            <w:pPr>
              <w:spacing w:after="0"/>
              <w:rPr>
                <w:sz w:val="20"/>
                <w:szCs w:val="20"/>
                <w:color w:val="auto"/>
              </w:rPr>
            </w:pPr>
            <w:r>
              <w:rPr>
                <w:rFonts w:ascii="Arial" w:cs="Arial" w:eastAsia="Arial" w:hAnsi="Arial"/>
                <w:sz w:val="18"/>
                <w:szCs w:val="18"/>
                <w:color w:val="auto"/>
                <w:w w:val="87"/>
              </w:rPr>
              <w:t>thousands, except per share amounts)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18,764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21,232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Effect of stock options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top w:val="single" w:sz="8" w:color="CCEEFF"/>
            </w:tcBorders>
          </w:tcPr>
          <w:p>
            <w:pPr>
              <w:ind w:left="320"/>
              <w:spacing w:after="0" w:line="201" w:lineRule="exact"/>
              <w:rPr>
                <w:sz w:val="20"/>
                <w:szCs w:val="20"/>
                <w:color w:val="auto"/>
              </w:rPr>
            </w:pPr>
            <w:r>
              <w:rPr>
                <w:rFonts w:ascii="Arial" w:cs="Arial" w:eastAsia="Arial" w:hAnsi="Arial"/>
                <w:sz w:val="18"/>
                <w:szCs w:val="18"/>
                <w:color w:val="auto"/>
                <w:w w:val="94"/>
              </w:rPr>
              <w:t>Weighted average shares outstanding for calculation of diluted earnings per</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21,652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21,549</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21,646</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0.87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Basic net income per common share includes weighted average common shares outstanding during the period and participating share awards.</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share because they were anti-dilutive were zero for both the three and nine month periods ended September 30, 2017, and totaled 0.03 million for both the three and nine month periods ended September 30, 2016.</w:t>
      </w:r>
    </w:p>
    <w:p>
      <w:pPr>
        <w:spacing w:after="0" w:line="18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September 30,</w:t>
            </w: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6"/>
              </w:rPr>
              <w:t>Maturity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(years)</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5"/>
          </w:tcPr>
          <w:p>
            <w:pPr>
              <w:jc w:val="center"/>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 - pay-fixed interest rate swap agreement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Rate-lock mortgage loan commitments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36,580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74,750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52,586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Pay-variable interest rate swap agreements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52,586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222,740</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vMerge w:val="restart"/>
          </w:tcPr>
          <w:p>
            <w:pPr>
              <w:jc w:val="center"/>
              <w:ind w:right="60"/>
              <w:spacing w:after="0"/>
              <w:rPr>
                <w:sz w:val="20"/>
                <w:szCs w:val="20"/>
                <w:color w:val="auto"/>
              </w:rPr>
            </w:pPr>
            <w:r>
              <w:rPr>
                <w:rFonts w:ascii="Arial" w:cs="Arial" w:eastAsia="Arial" w:hAnsi="Arial"/>
                <w:sz w:val="18"/>
                <w:szCs w:val="18"/>
                <w:color w:val="auto"/>
                <w:w w:val="89"/>
              </w:rPr>
              <w:t>December 31, 2016</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6"/>
              </w:rPr>
              <w:t>Maturity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9"/>
              </w:rPr>
              <w:t>(years)</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No hedge designation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5"/>
          </w:tcPr>
          <w:p>
            <w:pPr>
              <w:jc w:val="center"/>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61,954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Pay-variable interest rate swap agreements</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46,121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3,119</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187,092</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variable-rate and short-term fixed-rate (less than 12 months) debt obligations to fund a portion of our balance sheet, which exposes us to variability in interest rates. To meet our asset/liability management objectives, we may periodically enter into derivative financial instruments to mitigate exposure to fluctuations in cash flows resulting from changes in interest rates (“Cash Flow Hedges”). The Cash Flow Hedge is a pay-fixed interest-rate swap that converts variable-rate cash flows on debt obligations to fixed-rates.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$0.03 million, of unrealized losses on Cash Flow Hedges at September 30, 2017 will be reclassified to earnings over the next twelve months. To the extent that the Cash Flow Hedges are not effective, the ineffective portion of the Cash Flow Hedges is immediately recognized in interest expense. The maximum term of the Cash Flow Hedge at September 30, 2017 is 3.9 years.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offer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in the table above with no hedge designation relate to this program.</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Fair Values of Derivative Instruments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left="410"/>
              <w:spacing w:after="0"/>
              <w:rPr>
                <w:sz w:val="20"/>
                <w:szCs w:val="20"/>
                <w:color w:val="auto"/>
              </w:rPr>
            </w:pPr>
            <w:r>
              <w:rPr>
                <w:rFonts w:ascii="Arial" w:cs="Arial" w:eastAsia="Arial" w:hAnsi="Arial"/>
                <w:sz w:val="18"/>
                <w:szCs w:val="18"/>
                <w:color w:val="auto"/>
                <w:w w:val="92"/>
              </w:rPr>
              <w:t>Asset Derivatives</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260"/>
              <w:spacing w:after="0"/>
              <w:rPr>
                <w:sz w:val="20"/>
                <w:szCs w:val="20"/>
                <w:color w:val="auto"/>
              </w:rPr>
            </w:pPr>
            <w:r>
              <w:rPr>
                <w:rFonts w:ascii="Arial" w:cs="Arial" w:eastAsia="Arial" w:hAnsi="Arial"/>
                <w:sz w:val="18"/>
                <w:szCs w:val="18"/>
                <w:color w:val="auto"/>
              </w:rPr>
              <w:t>Liability Derivatives</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5"/>
          </w:tcPr>
          <w:p>
            <w:pPr>
              <w:ind w:left="20"/>
              <w:spacing w:after="0" w:line="201" w:lineRule="exact"/>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6"/>
          </w:tcPr>
          <w:p>
            <w:pPr>
              <w:jc w:val="center"/>
              <w:ind w:right="210"/>
              <w:spacing w:after="0" w:line="201" w:lineRule="exact"/>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2017</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9"/>
              </w:rPr>
              <w:t>Balance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tcPr>
          <w:p>
            <w:pPr>
              <w:ind w:left="260"/>
              <w:spacing w:after="0" w:line="201" w:lineRule="exact"/>
              <w:rPr>
                <w:sz w:val="20"/>
                <w:szCs w:val="20"/>
                <w:color w:val="auto"/>
              </w:rPr>
            </w:pPr>
            <w:r>
              <w:rPr>
                <w:rFonts w:ascii="Arial" w:cs="Arial" w:eastAsia="Arial" w:hAnsi="Arial"/>
                <w:sz w:val="18"/>
                <w:szCs w:val="18"/>
                <w:color w:val="auto"/>
                <w:w w:val="98"/>
              </w:rPr>
              <w:t>Balance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560"/>
              <w:spacing w:after="0" w:line="201" w:lineRule="exact"/>
              <w:rPr>
                <w:sz w:val="20"/>
                <w:szCs w:val="20"/>
                <w:color w:val="auto"/>
              </w:rPr>
            </w:pPr>
            <w:r>
              <w:rPr>
                <w:rFonts w:ascii="Arial" w:cs="Arial" w:eastAsia="Arial" w:hAnsi="Arial"/>
                <w:sz w:val="18"/>
                <w:szCs w:val="18"/>
                <w:color w:val="auto"/>
                <w:w w:val="89"/>
              </w:rPr>
              <w:t>Balance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4"/>
              </w:rPr>
              <w:t>Sheet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Fair</w:t>
            </w:r>
          </w:p>
        </w:tc>
        <w:tc>
          <w:tcPr>
            <w:tcW w:w="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4"/>
              </w:rPr>
              <w:t>Sheet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Fair</w:t>
            </w:r>
          </w:p>
        </w:tc>
        <w:tc>
          <w:tcPr>
            <w:tcW w:w="60" w:type="dxa"/>
            <w:vAlign w:val="bottom"/>
          </w:tcPr>
          <w:p>
            <w:pPr>
              <w:spacing w:after="0"/>
              <w:rPr>
                <w:sz w:val="18"/>
                <w:szCs w:val="18"/>
                <w:color w:val="auto"/>
              </w:rPr>
            </w:pPr>
          </w:p>
        </w:tc>
        <w:tc>
          <w:tcPr>
            <w:tcW w:w="920" w:type="dxa"/>
            <w:vAlign w:val="bottom"/>
            <w:gridSpan w:val="3"/>
          </w:tcPr>
          <w:p>
            <w:pPr>
              <w:ind w:left="380"/>
              <w:spacing w:after="0"/>
              <w:rPr>
                <w:sz w:val="20"/>
                <w:szCs w:val="20"/>
                <w:color w:val="auto"/>
              </w:rPr>
            </w:pPr>
            <w:r>
              <w:rPr>
                <w:rFonts w:ascii="Arial" w:cs="Arial" w:eastAsia="Arial" w:hAnsi="Arial"/>
                <w:sz w:val="18"/>
                <w:szCs w:val="18"/>
                <w:color w:val="auto"/>
              </w:rPr>
              <w:t>Sheet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8"/>
                <w:szCs w:val="18"/>
                <w:color w:val="auto"/>
                <w:w w:val="84"/>
              </w:rPr>
              <w:t>Sheet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Location</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Value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w w:val="93"/>
              </w:rPr>
              <w:t>Location</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Derivatives designated as hedging</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6"/>
          </w:tcPr>
          <w:p>
            <w:pPr>
              <w:ind w:left="540"/>
              <w:spacing w:after="0"/>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instruments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Pay-fixed interest rate swap agreements</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liabilities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liabilities  $</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Derivatives not designated as hedging</w:t>
            </w: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Rate-lock mortgage loan commitments</w:t>
            </w:r>
          </w:p>
        </w:tc>
        <w:tc>
          <w:tcPr>
            <w:tcW w:w="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w:t>
            </w:r>
          </w:p>
        </w:tc>
        <w:tc>
          <w:tcPr>
            <w:tcW w:w="1480" w:type="dxa"/>
            <w:vAlign w:val="bottom"/>
            <w:gridSpan w:val="7"/>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160"/>
              <w:spacing w:after="0" w:line="201" w:lineRule="exact"/>
              <w:rPr>
                <w:sz w:val="20"/>
                <w:szCs w:val="20"/>
                <w:color w:val="auto"/>
              </w:rPr>
            </w:pPr>
            <w:r>
              <w:rPr>
                <w:rFonts w:ascii="Arial" w:cs="Arial" w:eastAsia="Arial" w:hAnsi="Arial"/>
                <w:sz w:val="18"/>
                <w:szCs w:val="18"/>
                <w:color w:val="auto"/>
                <w:w w:val="92"/>
              </w:rPr>
              <w:t>Mandatory commitments to sell mortgage</w:t>
            </w:r>
          </w:p>
        </w:tc>
        <w:tc>
          <w:tcPr>
            <w:tcW w:w="7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loans</w:t>
            </w:r>
          </w:p>
        </w:tc>
        <w:tc>
          <w:tcPr>
            <w:tcW w:w="2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1480" w:type="dxa"/>
            <w:vAlign w:val="bottom"/>
            <w:gridSpan w:val="7"/>
          </w:tcPr>
          <w:p>
            <w:pPr>
              <w:ind w:left="60"/>
              <w:spacing w:after="0"/>
              <w:rPr>
                <w:sz w:val="20"/>
                <w:szCs w:val="20"/>
                <w:color w:val="auto"/>
              </w:rPr>
            </w:pPr>
            <w:r>
              <w:rPr>
                <w:rFonts w:ascii="Arial" w:cs="Arial" w:eastAsia="Arial" w:hAnsi="Arial"/>
                <w:sz w:val="18"/>
                <w:szCs w:val="18"/>
                <w:color w:val="auto"/>
              </w:rPr>
              <w:t>Other liabilities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Pay-fixed interest rate swap agreements</w:t>
            </w:r>
          </w:p>
        </w:tc>
        <w:tc>
          <w:tcPr>
            <w:tcW w:w="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1480" w:type="dxa"/>
            <w:vAlign w:val="bottom"/>
            <w:gridSpan w:val="7"/>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1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w w:val="88"/>
              </w:rPr>
              <w:t>Pay-variable interest rate swap agreements</w:t>
            </w:r>
          </w:p>
        </w:tc>
        <w:tc>
          <w:tcPr>
            <w:tcW w:w="2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0"/>
                <w:szCs w:val="20"/>
                <w:color w:val="auto"/>
              </w:rPr>
            </w:pPr>
          </w:p>
        </w:tc>
        <w:tc>
          <w:tcPr>
            <w:tcW w:w="780" w:type="dxa"/>
            <w:vAlign w:val="bottom"/>
            <w:gridSpan w:val="3"/>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1480" w:type="dxa"/>
            <w:vAlign w:val="bottom"/>
            <w:gridSpan w:val="7"/>
          </w:tcPr>
          <w:p>
            <w:pPr>
              <w:ind w:left="60"/>
              <w:spacing w:after="0"/>
              <w:rPr>
                <w:sz w:val="20"/>
                <w:szCs w:val="20"/>
                <w:color w:val="auto"/>
              </w:rPr>
            </w:pPr>
            <w:r>
              <w:rPr>
                <w:rFonts w:ascii="Arial" w:cs="Arial" w:eastAsia="Arial" w:hAnsi="Arial"/>
                <w:sz w:val="18"/>
                <w:szCs w:val="18"/>
                <w:color w:val="auto"/>
              </w:rPr>
              <w:t>Other liabilities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146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1480" w:type="dxa"/>
            <w:vAlign w:val="bottom"/>
            <w:gridSpan w:val="7"/>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2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80" w:type="dxa"/>
            <w:vAlign w:val="bottom"/>
            <w:gridSpan w:val="7"/>
          </w:tcPr>
          <w:p>
            <w:pPr>
              <w:ind w:left="60"/>
              <w:spacing w:after="0"/>
              <w:rPr>
                <w:sz w:val="20"/>
                <w:szCs w:val="20"/>
                <w:color w:val="auto"/>
              </w:rPr>
            </w:pPr>
            <w:r>
              <w:rPr>
                <w:rFonts w:ascii="Arial" w:cs="Arial" w:eastAsia="Arial" w:hAnsi="Arial"/>
                <w:sz w:val="18"/>
                <w:szCs w:val="18"/>
                <w:color w:val="auto"/>
              </w:rPr>
              <w:t>Other liabilities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146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80"/>
              <w:spacing w:after="0"/>
              <w:rPr>
                <w:sz w:val="20"/>
                <w:szCs w:val="20"/>
                <w:color w:val="auto"/>
              </w:rPr>
            </w:pPr>
            <w:r>
              <w:rPr>
                <w:rFonts w:ascii="Arial" w:cs="Arial" w:eastAsia="Arial" w:hAnsi="Arial"/>
                <w:sz w:val="18"/>
                <w:szCs w:val="18"/>
                <w:color w:val="auto"/>
              </w:rPr>
              <w:t>Total derivatives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c>
          <w:tcPr>
            <w:tcW w:w="1460" w:type="dxa"/>
            <w:vAlign w:val="bottom"/>
            <w:gridSpan w:val="5"/>
          </w:tcPr>
          <w:p>
            <w:pPr>
              <w:ind w:left="1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vMerge w:val="restart"/>
          </w:tcPr>
          <w:p>
            <w:pPr>
              <w:ind w:left="52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Three Month Periods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5"/>
              </w:rPr>
              <w:t>Location of</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Gain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Reclassified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from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Gain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center"/>
              <w:ind w:left="390"/>
              <w:spacing w:after="0"/>
              <w:rPr>
                <w:sz w:val="20"/>
                <w:szCs w:val="20"/>
                <w:color w:val="auto"/>
              </w:rPr>
            </w:pPr>
            <w:r>
              <w:rPr>
                <w:rFonts w:ascii="Arial" w:cs="Arial" w:eastAsia="Arial" w:hAnsi="Arial"/>
                <w:sz w:val="18"/>
                <w:szCs w:val="18"/>
                <w:color w:val="auto"/>
                <w:w w:val="89"/>
              </w:rPr>
              <w:t>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color w:val="auto"/>
                <w:w w:val="91"/>
              </w:rPr>
              <w:t>Recognized 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8"/>
                <w:szCs w:val="18"/>
                <w:color w:val="auto"/>
                <w:w w:val="92"/>
              </w:rPr>
              <w:t>Reclassified from</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3"/>
          </w:tcPr>
          <w:p>
            <w:pPr>
              <w:jc w:val="center"/>
              <w:ind w:right="37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jc w:val="center"/>
              <w:ind w:right="280"/>
              <w:spacing w:after="0"/>
              <w:rPr>
                <w:sz w:val="20"/>
                <w:szCs w:val="20"/>
                <w:color w:val="auto"/>
              </w:rPr>
            </w:pPr>
            <w:r>
              <w:rPr>
                <w:rFonts w:ascii="Arial" w:cs="Arial" w:eastAsia="Arial" w:hAnsi="Arial"/>
                <w:sz w:val="18"/>
                <w:szCs w:val="18"/>
                <w:color w:val="auto"/>
                <w:w w:val="92"/>
              </w:rPr>
              <w:t>Accumulated Other</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Loss into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8"/>
                <w:szCs w:val="18"/>
                <w:color w:val="auto"/>
                <w:w w:val="88"/>
              </w:rPr>
              <w:t>Comprehensive</w:t>
            </w:r>
          </w:p>
        </w:tc>
        <w:tc>
          <w:tcPr>
            <w:tcW w:w="1380" w:type="dxa"/>
            <w:vAlign w:val="bottom"/>
            <w:gridSpan w:val="3"/>
          </w:tcPr>
          <w:p>
            <w:pPr>
              <w:jc w:val="center"/>
              <w:ind w:right="105"/>
              <w:spacing w:after="0"/>
              <w:rPr>
                <w:sz w:val="20"/>
                <w:szCs w:val="20"/>
                <w:color w:val="auto"/>
              </w:rPr>
            </w:pPr>
            <w:r>
              <w:rPr>
                <w:rFonts w:ascii="Arial" w:cs="Arial" w:eastAsia="Arial" w:hAnsi="Arial"/>
                <w:sz w:val="18"/>
                <w:szCs w:val="18"/>
                <w:color w:val="auto"/>
                <w:w w:val="95"/>
              </w:rPr>
              <w:t>Location of</w:t>
            </w:r>
          </w:p>
        </w:tc>
        <w:tc>
          <w:tcPr>
            <w:tcW w:w="1460" w:type="dxa"/>
            <w:vAlign w:val="bottom"/>
            <w:gridSpan w:val="6"/>
          </w:tcPr>
          <w:p>
            <w:pPr>
              <w:jc w:val="center"/>
              <w:ind w:right="200"/>
              <w:spacing w:after="0"/>
              <w:rPr>
                <w:sz w:val="20"/>
                <w:szCs w:val="20"/>
                <w:color w:val="auto"/>
              </w:rPr>
            </w:pPr>
            <w:r>
              <w:rPr>
                <w:rFonts w:ascii="Arial" w:cs="Arial" w:eastAsia="Arial" w:hAnsi="Arial"/>
                <w:sz w:val="18"/>
                <w:szCs w:val="18"/>
                <w:color w:val="auto"/>
                <w:w w:val="92"/>
              </w:rPr>
              <w:t>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3"/>
          </w:tcPr>
          <w:p>
            <w:pPr>
              <w:jc w:val="center"/>
              <w:ind w:right="39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Loss into Income</w:t>
            </w:r>
          </w:p>
        </w:tc>
        <w:tc>
          <w:tcPr>
            <w:tcW w:w="1380" w:type="dxa"/>
            <w:vAlign w:val="bottom"/>
            <w:gridSpan w:val="3"/>
          </w:tcPr>
          <w:p>
            <w:pPr>
              <w:jc w:val="center"/>
              <w:ind w:right="85"/>
              <w:spacing w:after="0"/>
              <w:rPr>
                <w:sz w:val="20"/>
                <w:szCs w:val="20"/>
                <w:color w:val="auto"/>
              </w:rPr>
            </w:pPr>
            <w:r>
              <w:rPr>
                <w:rFonts w:ascii="Arial" w:cs="Arial" w:eastAsia="Arial" w:hAnsi="Arial"/>
                <w:sz w:val="18"/>
                <w:szCs w:val="18"/>
                <w:color w:val="auto"/>
                <w:w w:val="92"/>
              </w:rPr>
              <w:t>Gain (Loss)</w:t>
            </w:r>
          </w:p>
        </w:tc>
        <w:tc>
          <w:tcPr>
            <w:tcW w:w="146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(Effective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6"/>
          </w:tcPr>
          <w:p>
            <w:pPr>
              <w:jc w:val="center"/>
              <w:ind w:right="300"/>
              <w:spacing w:after="0"/>
              <w:rPr>
                <w:sz w:val="20"/>
                <w:szCs w:val="20"/>
                <w:color w:val="auto"/>
              </w:rPr>
            </w:pPr>
            <w:r>
              <w:rPr>
                <w:rFonts w:ascii="Arial" w:cs="Arial" w:eastAsia="Arial" w:hAnsi="Arial"/>
                <w:sz w:val="18"/>
                <w:szCs w:val="18"/>
                <w:color w:val="auto"/>
                <w:w w:val="95"/>
              </w:rPr>
              <w:t>(Effective Portion)</w:t>
            </w:r>
          </w:p>
        </w:tc>
        <w:tc>
          <w:tcPr>
            <w:tcW w:w="1380" w:type="dxa"/>
            <w:vAlign w:val="bottom"/>
            <w:gridSpan w:val="3"/>
          </w:tcPr>
          <w:p>
            <w:pPr>
              <w:jc w:val="center"/>
              <w:ind w:right="85"/>
              <w:spacing w:after="0"/>
              <w:rPr>
                <w:sz w:val="20"/>
                <w:szCs w:val="20"/>
                <w:color w:val="auto"/>
              </w:rPr>
            </w:pPr>
            <w:r>
              <w:rPr>
                <w:rFonts w:ascii="Arial" w:cs="Arial" w:eastAsia="Arial" w:hAnsi="Arial"/>
                <w:sz w:val="18"/>
                <w:szCs w:val="18"/>
                <w:color w:val="auto"/>
                <w:w w:val="90"/>
              </w:rPr>
              <w:t>Recognized</w:t>
            </w:r>
          </w:p>
        </w:tc>
        <w:tc>
          <w:tcPr>
            <w:tcW w:w="1460" w:type="dxa"/>
            <w:vAlign w:val="bottom"/>
            <w:gridSpan w:val="6"/>
          </w:tcPr>
          <w:p>
            <w:pPr>
              <w:jc w:val="center"/>
              <w:ind w:right="200"/>
              <w:spacing w:after="0"/>
              <w:rPr>
                <w:sz w:val="20"/>
                <w:szCs w:val="20"/>
                <w:color w:val="auto"/>
              </w:rPr>
            </w:pPr>
            <w:r>
              <w:rPr>
                <w:rFonts w:ascii="Arial" w:cs="Arial" w:eastAsia="Arial" w:hAnsi="Arial"/>
                <w:sz w:val="18"/>
                <w:szCs w:val="18"/>
                <w:color w:val="auto"/>
                <w:w w:val="93"/>
              </w:rPr>
              <w:t>in Income (1)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Portion)</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2017</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 Income (1)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2017</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Cash Flow Hedges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6"/>
          </w:tcPr>
          <w:p>
            <w:pPr>
              <w:jc w:val="center"/>
              <w:ind w:right="460"/>
              <w:spacing w:after="0"/>
              <w:rPr>
                <w:sz w:val="20"/>
                <w:szCs w:val="20"/>
                <w:color w:val="auto"/>
              </w:rPr>
            </w:pPr>
            <w:r>
              <w:rPr>
                <w:rFonts w:ascii="Arial" w:cs="Arial" w:eastAsia="Arial" w:hAnsi="Arial"/>
                <w:sz w:val="18"/>
                <w:szCs w:val="18"/>
                <w:color w:val="auto"/>
                <w:w w:val="90"/>
              </w:rPr>
              <w:t>(In thousands)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w:t>
            </w:r>
          </w:p>
        </w:tc>
        <w:tc>
          <w:tcPr>
            <w:tcW w:w="8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4"/>
              </w:rPr>
              <w:t>- Interest expense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9"/>
              </w:rPr>
              <w:t>(5)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95</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6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 hedge designation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gains on on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mortage loans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spacing w:after="0" w:line="201" w:lineRule="exact"/>
              <w:rPr>
                <w:sz w:val="20"/>
                <w:szCs w:val="20"/>
                <w:color w:val="auto"/>
              </w:rPr>
            </w:pPr>
            <w:r>
              <w:rPr>
                <w:rFonts w:ascii="Arial" w:cs="Arial" w:eastAsia="Arial" w:hAnsi="Arial"/>
                <w:sz w:val="18"/>
                <w:szCs w:val="18"/>
                <w:color w:val="auto"/>
              </w:rPr>
              <w:t>Net gains on on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w w:val="91"/>
              </w:rPr>
              <w:t>Mandatory commitments to sell mortgage loans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ind w:left="160"/>
              <w:spacing w:after="0"/>
              <w:rPr>
                <w:sz w:val="20"/>
                <w:szCs w:val="20"/>
                <w:color w:val="auto"/>
              </w:rPr>
            </w:pPr>
            <w:r>
              <w:rPr>
                <w:rFonts w:ascii="Arial" w:cs="Arial" w:eastAsia="Arial" w:hAnsi="Arial"/>
                <w:sz w:val="18"/>
                <w:szCs w:val="18"/>
                <w:color w:val="auto"/>
              </w:rPr>
              <w:t>mortage loans</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Pay-variable interest rate swap agreements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Purchased options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For cash flow hedges, this location and amount refers to the ineffective portion.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Nine Month Periods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5"/>
              </w:rPr>
              <w:t>Location of</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Gain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Reclassified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from</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3"/>
          </w:tcPr>
          <w:p>
            <w:pPr>
              <w:jc w:val="center"/>
              <w:ind w:right="370"/>
              <w:spacing w:after="0"/>
              <w:rPr>
                <w:sz w:val="20"/>
                <w:szCs w:val="20"/>
                <w:color w:val="auto"/>
              </w:rPr>
            </w:pPr>
            <w:r>
              <w:rPr>
                <w:rFonts w:ascii="Arial" w:cs="Arial" w:eastAsia="Arial" w:hAnsi="Arial"/>
                <w:sz w:val="18"/>
                <w:szCs w:val="18"/>
                <w:color w:val="auto"/>
                <w:w w:val="89"/>
              </w:rPr>
              <w:t>Gain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980" w:type="dxa"/>
            <w:vAlign w:val="bottom"/>
            <w:gridSpan w:val="3"/>
          </w:tcPr>
          <w:p>
            <w:pPr>
              <w:jc w:val="center"/>
              <w:ind w:left="430"/>
              <w:spacing w:after="0"/>
              <w:rPr>
                <w:sz w:val="20"/>
                <w:szCs w:val="20"/>
                <w:color w:val="auto"/>
              </w:rPr>
            </w:pPr>
            <w:r>
              <w:rPr>
                <w:rFonts w:ascii="Arial" w:cs="Arial" w:eastAsia="Arial" w:hAnsi="Arial"/>
                <w:sz w:val="18"/>
                <w:szCs w:val="18"/>
                <w:color w:val="auto"/>
                <w:w w:val="89"/>
              </w:rPr>
              <w:t>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80" w:type="dxa"/>
            <w:vAlign w:val="bottom"/>
            <w:gridSpan w:val="4"/>
          </w:tcPr>
          <w:p>
            <w:pPr>
              <w:jc w:val="center"/>
              <w:ind w:left="10"/>
              <w:spacing w:after="0"/>
              <w:rPr>
                <w:sz w:val="20"/>
                <w:szCs w:val="20"/>
                <w:color w:val="auto"/>
              </w:rPr>
            </w:pPr>
            <w:r>
              <w:rPr>
                <w:rFonts w:ascii="Arial" w:cs="Arial" w:eastAsia="Arial" w:hAnsi="Arial"/>
                <w:sz w:val="18"/>
                <w:szCs w:val="18"/>
                <w:color w:val="auto"/>
                <w:w w:val="91"/>
              </w:rPr>
              <w:t>Recognized 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1640" w:type="dxa"/>
            <w:vAlign w:val="bottom"/>
            <w:gridSpan w:val="4"/>
          </w:tcPr>
          <w:p>
            <w:pPr>
              <w:jc w:val="center"/>
              <w:ind w:right="70"/>
              <w:spacing w:after="0"/>
              <w:rPr>
                <w:sz w:val="20"/>
                <w:szCs w:val="20"/>
                <w:color w:val="auto"/>
              </w:rPr>
            </w:pPr>
            <w:r>
              <w:rPr>
                <w:rFonts w:ascii="Arial" w:cs="Arial" w:eastAsia="Arial" w:hAnsi="Arial"/>
                <w:sz w:val="18"/>
                <w:szCs w:val="18"/>
                <w:color w:val="auto"/>
                <w:w w:val="92"/>
              </w:rPr>
              <w:t>Reclassified from</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3"/>
          </w:tcPr>
          <w:p>
            <w:pPr>
              <w:jc w:val="center"/>
              <w:ind w:right="370"/>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Comprehensive</w:t>
            </w:r>
          </w:p>
        </w:tc>
        <w:tc>
          <w:tcPr>
            <w:tcW w:w="140" w:type="dxa"/>
            <w:vAlign w:val="bottom"/>
          </w:tcPr>
          <w:p>
            <w:pPr>
              <w:spacing w:after="0"/>
              <w:rPr>
                <w:sz w:val="18"/>
                <w:szCs w:val="18"/>
                <w:color w:val="auto"/>
              </w:rPr>
            </w:pPr>
          </w:p>
        </w:tc>
        <w:tc>
          <w:tcPr>
            <w:tcW w:w="1640" w:type="dxa"/>
            <w:vAlign w:val="bottom"/>
            <w:gridSpan w:val="4"/>
          </w:tcPr>
          <w:p>
            <w:pPr>
              <w:jc w:val="center"/>
              <w:ind w:right="50"/>
              <w:spacing w:after="0"/>
              <w:rPr>
                <w:sz w:val="20"/>
                <w:szCs w:val="20"/>
                <w:color w:val="auto"/>
              </w:rPr>
            </w:pPr>
            <w:r>
              <w:rPr>
                <w:rFonts w:ascii="Arial" w:cs="Arial" w:eastAsia="Arial" w:hAnsi="Arial"/>
                <w:sz w:val="18"/>
                <w:szCs w:val="18"/>
                <w:color w:val="auto"/>
                <w:w w:val="92"/>
              </w:rPr>
              <w:t>Accumulated Other</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80" w:type="dxa"/>
            <w:vAlign w:val="bottom"/>
            <w:gridSpan w:val="4"/>
          </w:tcPr>
          <w:p>
            <w:pPr>
              <w:jc w:val="center"/>
              <w:ind w:left="30"/>
              <w:spacing w:after="0"/>
              <w:rPr>
                <w:sz w:val="20"/>
                <w:szCs w:val="20"/>
                <w:color w:val="auto"/>
              </w:rPr>
            </w:pPr>
            <w:r>
              <w:rPr>
                <w:rFonts w:ascii="Arial" w:cs="Arial" w:eastAsia="Arial" w:hAnsi="Arial"/>
                <w:sz w:val="18"/>
                <w:szCs w:val="18"/>
                <w:color w:val="auto"/>
                <w:w w:val="90"/>
              </w:rPr>
              <w:t>Comprehensive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Loss into</w:t>
            </w:r>
          </w:p>
        </w:tc>
        <w:tc>
          <w:tcPr>
            <w:tcW w:w="140" w:type="dxa"/>
            <w:vAlign w:val="bottom"/>
          </w:tcPr>
          <w:p>
            <w:pPr>
              <w:spacing w:after="0"/>
              <w:rPr>
                <w:sz w:val="18"/>
                <w:szCs w:val="18"/>
                <w:color w:val="auto"/>
              </w:rPr>
            </w:pPr>
          </w:p>
        </w:tc>
        <w:tc>
          <w:tcPr>
            <w:tcW w:w="1640" w:type="dxa"/>
            <w:vAlign w:val="bottom"/>
            <w:gridSpan w:val="4"/>
          </w:tcPr>
          <w:p>
            <w:pPr>
              <w:jc w:val="center"/>
              <w:ind w:right="70"/>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Location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3"/>
          </w:tcPr>
          <w:p>
            <w:pPr>
              <w:jc w:val="center"/>
              <w:ind w:right="37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640" w:type="dxa"/>
            <w:vAlign w:val="bottom"/>
            <w:gridSpan w:val="4"/>
          </w:tcPr>
          <w:p>
            <w:pPr>
              <w:jc w:val="center"/>
              <w:ind w:right="70"/>
              <w:spacing w:after="0"/>
              <w:rPr>
                <w:sz w:val="20"/>
                <w:szCs w:val="20"/>
                <w:color w:val="auto"/>
              </w:rPr>
            </w:pPr>
            <w:r>
              <w:rPr>
                <w:rFonts w:ascii="Arial" w:cs="Arial" w:eastAsia="Arial" w:hAnsi="Arial"/>
                <w:sz w:val="18"/>
                <w:szCs w:val="18"/>
                <w:color w:val="auto"/>
                <w:w w:val="91"/>
              </w:rPr>
              <w:t>Loss into Income</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Gain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80" w:type="dxa"/>
            <w:vAlign w:val="bottom"/>
            <w:gridSpan w:val="4"/>
          </w:tcPr>
          <w:p>
            <w:pPr>
              <w:jc w:val="center"/>
              <w:ind w:left="10"/>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(Effective</w:t>
            </w:r>
          </w:p>
        </w:tc>
        <w:tc>
          <w:tcPr>
            <w:tcW w:w="140" w:type="dxa"/>
            <w:vAlign w:val="bottom"/>
          </w:tcPr>
          <w:p>
            <w:pPr>
              <w:spacing w:after="0"/>
              <w:rPr>
                <w:sz w:val="20"/>
                <w:szCs w:val="20"/>
                <w:color w:val="auto"/>
              </w:rPr>
            </w:pPr>
          </w:p>
        </w:tc>
        <w:tc>
          <w:tcPr>
            <w:tcW w:w="1640" w:type="dxa"/>
            <w:vAlign w:val="bottom"/>
            <w:gridSpan w:val="4"/>
          </w:tcPr>
          <w:p>
            <w:pPr>
              <w:jc w:val="center"/>
              <w:ind w:right="70"/>
              <w:spacing w:after="0"/>
              <w:rPr>
                <w:sz w:val="20"/>
                <w:szCs w:val="20"/>
                <w:color w:val="auto"/>
              </w:rPr>
            </w:pPr>
            <w:r>
              <w:rPr>
                <w:rFonts w:ascii="Arial" w:cs="Arial" w:eastAsia="Arial" w:hAnsi="Arial"/>
                <w:sz w:val="18"/>
                <w:szCs w:val="18"/>
                <w:color w:val="auto"/>
                <w:w w:val="95"/>
              </w:rPr>
              <w:t>(Effective Portion)</w:t>
            </w:r>
          </w:p>
        </w:tc>
        <w:tc>
          <w:tcPr>
            <w:tcW w:w="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Recognized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in Income (1)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Portion)</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 Income (1)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2017</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Cash Flow Hedges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4"/>
          </w:tcPr>
          <w:p>
            <w:pPr>
              <w:jc w:val="right"/>
              <w:ind w:right="37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00" w:type="dxa"/>
            <w:vAlign w:val="bottom"/>
          </w:tcPr>
          <w:p>
            <w:pPr>
              <w:ind w:left="4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6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 hedge designation</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Net gains 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on mortage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loans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Net gains 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w w:val="91"/>
              </w:rPr>
              <w:t>Mandatory commitments to sell mortgage loans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6"/>
              </w:rPr>
              <w:t>mortage loans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Interest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Pay-variable interest rate swap agreements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89"/>
              </w:rPr>
              <w:t>Interest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options</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Written options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Borders>
              <w:bottom w:val="single" w:sz="8" w:color="CCEEFF"/>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For cash flow hedges, this location and amount refers to the ineffective portion.</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 net of amortization: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 2017</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December 31, 2016</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Accumulated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3"/>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90"/>
              <w:spacing w:after="0"/>
              <w:rPr>
                <w:sz w:val="20"/>
                <w:szCs w:val="20"/>
                <w:color w:val="auto"/>
              </w:rPr>
            </w:pPr>
            <w:r>
              <w:rPr>
                <w:rFonts w:ascii="Arial" w:cs="Arial" w:eastAsia="Arial" w:hAnsi="Arial"/>
                <w:sz w:val="16"/>
                <w:szCs w:val="16"/>
                <w:color w:val="auto"/>
                <w:w w:val="70"/>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6,118</w:t>
            </w: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6,118</w:t>
            </w:r>
          </w:p>
        </w:tc>
        <w:tc>
          <w:tcPr>
            <w:tcW w:w="7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4,186</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color w:val="auto"/>
              </w:rPr>
              <w:t>37</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Amortization of other intangibles has been estimated through 2022 in the following table.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Share Based Compensation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September 30, 2017. The non-employee director stock purchase plan permits the issuance of additional share based payments for up to 0.2 million shares of common stock as of September 30, 2017. Share based awards and payments are measured at fair value at the date of grant and are expensed over the requisite service period. Common shares issued upon exercise of stock options come from currently authorized but unissued shares.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 periods ended March 31, 2017 and 2016, pursuant to our long-term incentive plan, we granted 0.05 million and 0.07 million shares of restricted stock, respectively and 0.02 million and 0.03 million performance stock units (“PSU”), respectively to certain officers.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 No long term incentive grants were made during the second or third quarters of 2017 or 2016.</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0.006 million shares during each nine month period ended September 30, of 2017 and 2016 and expensed their value during those same periods.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compensation expense recognized for grants pursuant to our long-term incentive plan was $0.4 million and $1.2 million during the three and nine month periods ended September 30, 2017, respectively, and was $0.3 million and $1.1 million during the same periods in 2016, respectively. The corresponding tax benefit relating to this expense was $0.1 million and $0.4 million for the three and nine month periods ended September 30, 2017, respectively and $0.1 million and $0.4 million for the same periods in 2016. Total expense recognized for non-employee director share based payments was $0.05 million and $0.12 million during the three and nine month periods ended September 30, 2017, respectively, and was $0.03 million and $0.09 million during the same periods in 2016, respectively. The corresponding tax benefit relating to this expense was $0.02 million and $0.04 million for the three and nine month periods ended September 30, 2017, respectively and $0.01 million and $0.03 million during the same periods in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2017, the total expected compensation cost related to non-vested restricted stock and PSUs not yet recognized was $2.3 million. The weighted-average period over which this amount will be recognized is 2.2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w w:val="96"/>
              </w:rPr>
              <w:t>A summary of outstanding stock option grants and related transactions follows: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211,018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(28,963)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September 30, 2017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182,055</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and expected to vest at September 30, 2017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182,055</w:t>
            </w:r>
          </w:p>
        </w:tc>
        <w:tc>
          <w:tcPr>
            <w:tcW w:w="12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September 30, 2017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182,055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Grant Date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68,473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(8,510)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15.59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8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292,586</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gridSpan w:val="3"/>
          </w:tcPr>
          <w:p>
            <w:pPr>
              <w:spacing w:after="0"/>
              <w:rPr>
                <w:sz w:val="20"/>
                <w:szCs w:val="20"/>
                <w:color w:val="auto"/>
              </w:rPr>
            </w:pPr>
            <w:r>
              <w:rPr>
                <w:rFonts w:ascii="Arial" w:cs="Arial" w:eastAsia="Arial" w:hAnsi="Arial"/>
                <w:sz w:val="18"/>
                <w:szCs w:val="18"/>
                <w:color w:val="auto"/>
                <w:w w:val="98"/>
              </w:rPr>
              <w:t>Certain information regarding options exercised during the periods follows: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40" w:type="dxa"/>
            <w:vAlign w:val="bottom"/>
            <w:gridSpan w:val="4"/>
          </w:tcPr>
          <w:p>
            <w:pPr>
              <w:jc w:val="right"/>
              <w:ind w:right="17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40" w:type="dxa"/>
            <w:vAlign w:val="bottom"/>
            <w:gridSpan w:val="4"/>
          </w:tcPr>
          <w:p>
            <w:pPr>
              <w:jc w:val="right"/>
              <w:ind w:right="41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(In</w:t>
            </w:r>
          </w:p>
        </w:tc>
        <w:tc>
          <w:tcPr>
            <w:tcW w:w="1380" w:type="dxa"/>
            <w:vAlign w:val="bottom"/>
            <w:gridSpan w:val="3"/>
          </w:tcPr>
          <w:p>
            <w:pPr>
              <w:jc w:val="right"/>
              <w:ind w:right="6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880" w:type="dxa"/>
            <w:vAlign w:val="bottom"/>
            <w:shd w:val="clear" w:color="auto" w:fill="CCEEFF"/>
          </w:tcPr>
          <w:p>
            <w:pPr>
              <w:jc w:val="right"/>
              <w:ind w:right="750"/>
              <w:spacing w:after="0"/>
              <w:rPr>
                <w:sz w:val="20"/>
                <w:szCs w:val="20"/>
                <w:color w:val="auto"/>
              </w:rPr>
            </w:pPr>
            <w:r>
              <w:rPr>
                <w:rFonts w:ascii="Arial" w:cs="Arial" w:eastAsia="Arial" w:hAnsi="Arial"/>
                <w:sz w:val="10"/>
                <w:szCs w:val="10"/>
                <w:color w:val="auto"/>
                <w:w w:val="71"/>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proceeds received</w:t>
            </w:r>
          </w:p>
        </w:tc>
        <w:tc>
          <w:tcPr>
            <w:tcW w:w="88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35"/>
              <w:spacing w:after="0"/>
              <w:rPr>
                <w:sz w:val="20"/>
                <w:szCs w:val="20"/>
                <w:color w:val="auto"/>
              </w:rPr>
            </w:pPr>
            <w:r>
              <w:rPr>
                <w:rFonts w:ascii="Arial" w:cs="Arial" w:eastAsia="Arial" w:hAnsi="Arial"/>
                <w:sz w:val="18"/>
                <w:szCs w:val="18"/>
                <w:color w:val="auto"/>
              </w:rPr>
              <w:t>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8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Income Tax</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was $3.2 million and $3.0 million during the three month periods ended September 30, 2017 and 2016, respectively and $8.4 million and $7.5 million during the nine months ended September 30, 2017 and 2016, respectively.</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September 30, 2017 and 2016, that the realization of substantially all of our deferred tax assets continues to be more likely than not.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had maintained a valuation allowance against our deferred tax assets of approximately $1.1 million at December 31, 2016. This valuation allowance on our deferred tax assets related to state income taxes at Mepco. In this instance, we determined that the future realization of these particular deferred tax assets was not more likely than not. That conclusion was based on the pending sale of Mepco’s payment plan business. After accounting for the May 2017 sale of our payment plan business, all that remained of these deferred tax assets were loss carryforwards that we wrote off against the related valuation allowance during the second quarter of 2017 as we will no longer be doing business in those states.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both September 30, 2017 and December 31, 2016, we had approximately $0.8 million, of gross unrecognized tax benefits. We do not expect the total amount of unrecognized tax benefits to significantly increase or decrease during the balance of 2017.</w:t>
      </w:r>
    </w:p>
    <w:p>
      <w:pPr>
        <w:spacing w:after="0" w:line="19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2017, the Bank had positive undivided profits of $13.0 million. It is not our intent to have dividends paid in amounts that would reduce the capital of our Bank to levels below those which we consider prudent and in accordance with guidelines of regulatory authorities.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September 30, 2017 and December 31, 2016, categorized our Bank as well capitalized. Management is not aware of any conditions or events that would have changed the most recent Federal Deposit Insurance Corporation (“FDIC”) categorization.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1.25% and 0.625% added to the minimum ratio for adequately capitalized institutions for 2017 and 2016, respectively and 0.625% will be added each subsequent year until fully phased in during 2019.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actual capital amounts and ratios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6"/>
              </w:rPr>
              <w:t>Minimum for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8"/>
              </w:rPr>
              <w:t>Minimum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Well-Capitalized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Institutions</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162,315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281,228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162,210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202,763</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284,818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121,737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258,768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121,658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162,210</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weighted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253,101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91,302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258,768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91,243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131,796</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284,818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107,154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Independent Bank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258,768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107,022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133,778</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286,289</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15.86%</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144,413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270,855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144,223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180,279</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265,405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14.70%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108,309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108,167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144,223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assets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238,996</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81,232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81,126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117,181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265,405</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101,112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Independent Bank</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101,019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126,274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NA - Not applicable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Independent Bank</w:t>
            </w:r>
          </w:p>
        </w:tc>
      </w:tr>
      <w:tr>
        <w:trPr>
          <w:trHeight w:val="202"/>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00"/>
              <w:spacing w:after="0" w:line="201" w:lineRule="exact"/>
              <w:rPr>
                <w:sz w:val="20"/>
                <w:szCs w:val="20"/>
                <w:color w:val="auto"/>
              </w:rPr>
            </w:pPr>
            <w:r>
              <w:rPr>
                <w:rFonts w:ascii="Arial" w:cs="Arial" w:eastAsia="Arial" w:hAnsi="Arial"/>
                <w:sz w:val="18"/>
                <w:szCs w:val="18"/>
                <w:color w:val="auto"/>
                <w:w w:val="91"/>
              </w:rPr>
              <w:t>September 30,</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180"/>
              <w:spacing w:after="0" w:line="201" w:lineRule="exact"/>
              <w:rPr>
                <w:sz w:val="20"/>
                <w:szCs w:val="20"/>
                <w:color w:val="auto"/>
              </w:rPr>
            </w:pPr>
            <w:r>
              <w:rPr>
                <w:rFonts w:ascii="Arial" w:cs="Arial" w:eastAsia="Arial" w:hAnsi="Arial"/>
                <w:sz w:val="18"/>
                <w:szCs w:val="18"/>
                <w:color w:val="auto"/>
                <w:w w:val="91"/>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267,710</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248,980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267,406</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258,814</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(gain) loss for regulatory purposes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(1,159)</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(10,994)</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ind w:left="500"/>
              <w:spacing w:after="0"/>
              <w:rPr>
                <w:sz w:val="20"/>
                <w:szCs w:val="20"/>
                <w:color w:val="auto"/>
              </w:rPr>
            </w:pPr>
            <w:r>
              <w:rPr>
                <w:rFonts w:ascii="Arial" w:cs="Arial" w:eastAsia="Arial" w:hAnsi="Arial"/>
                <w:sz w:val="18"/>
                <w:szCs w:val="18"/>
                <w:color w:val="auto"/>
              </w:rPr>
              <w:t>Common equity tier 1 capital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238,996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258,768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249,971</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ind w:left="340"/>
              <w:spacing w:after="0"/>
              <w:rPr>
                <w:sz w:val="20"/>
                <w:szCs w:val="20"/>
                <w:color w:val="auto"/>
              </w:rPr>
            </w:pPr>
            <w:r>
              <w:rPr>
                <w:rFonts w:ascii="Arial" w:cs="Arial" w:eastAsia="Arial" w:hAnsi="Arial"/>
                <w:sz w:val="18"/>
                <w:szCs w:val="18"/>
                <w:color w:val="auto"/>
              </w:rPr>
              <w:t>Disallowed deferred tax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(8,091)</w:t>
            </w: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Tier 1 capital</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265,405</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00" w:type="dxa"/>
            <w:vAlign w:val="bottom"/>
            <w:shd w:val="clear" w:color="auto" w:fill="CCEEFF"/>
          </w:tcPr>
          <w:p>
            <w:pPr>
              <w:spacing w:after="0"/>
              <w:rPr>
                <w:sz w:val="18"/>
                <w:szCs w:val="18"/>
                <w:color w:val="auto"/>
              </w:rPr>
            </w:pPr>
          </w:p>
        </w:tc>
      </w:tr>
      <w:tr>
        <w:trPr>
          <w:trHeight w:val="202"/>
        </w:trPr>
        <w:tc>
          <w:tcPr>
            <w:tcW w:w="5960" w:type="dxa"/>
            <w:vAlign w:val="bottom"/>
          </w:tcPr>
          <w:p>
            <w:pPr>
              <w:ind w:left="340"/>
              <w:spacing w:after="0" w:line="201" w:lineRule="exact"/>
              <w:rPr>
                <w:sz w:val="20"/>
                <w:szCs w:val="20"/>
                <w:color w:val="auto"/>
              </w:rPr>
            </w:pPr>
            <w:r>
              <w:rPr>
                <w:rFonts w:ascii="Arial" w:cs="Arial" w:eastAsia="Arial" w:hAnsi="Arial"/>
                <w:sz w:val="18"/>
                <w:szCs w:val="18"/>
                <w:color w:val="auto"/>
                <w:w w:val="92"/>
              </w:rPr>
              <w:t>Allowance for loan losses and allowance for unfunded lending commitments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limited to 1.25% of total risk-weighted 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22,460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20,884</w:t>
            </w:r>
          </w:p>
        </w:tc>
        <w:tc>
          <w:tcPr>
            <w:tcW w:w="4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22,460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20,884</w:t>
            </w:r>
          </w:p>
        </w:tc>
      </w:tr>
      <w:tr>
        <w:trPr>
          <w:trHeight w:val="25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risk-based capital</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307,278</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286,289</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281,228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08"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Securities</w:t>
      </w:r>
      <w:r>
        <w:rPr>
          <w:rFonts w:ascii="Arial" w:cs="Arial" w:eastAsia="Arial" w:hAnsi="Arial"/>
          <w:sz w:val="16"/>
          <w:szCs w:val="16"/>
          <w:color w:val="auto"/>
        </w:rPr>
        <w:t>: Where quoted market prices are available in an active market, securities (trading or available for sale) are classified as Level 1 of the valuation hierarchy. Level 1 securities include certain preferred stocks included in our trading portfolio for which there are quoted prices in active markets.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 held for sale</w:t>
      </w:r>
      <w:r>
        <w:rPr>
          <w:rFonts w:ascii="Arial" w:cs="Arial" w:eastAsia="Arial" w:hAnsi="Arial"/>
          <w:sz w:val="16"/>
          <w:szCs w:val="16"/>
          <w:color w:val="auto"/>
        </w:rPr>
        <w:t>: The fair value of mortgage loans held for sale is based on mortgage backed security pricing for comparable assets (recurring Level 2).</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Impaired loans with specific loss allocations based on collateral value</w:t>
      </w:r>
      <w:r>
        <w:rPr>
          <w:rFonts w:ascii="Arial" w:cs="Arial" w:eastAsia="Arial" w:hAnsi="Arial"/>
          <w:sz w:val="17"/>
          <w:szCs w:val="17"/>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September 30, 2017 and December 31, 2016,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Other real estate</w:t>
      </w:r>
      <w:r>
        <w:rPr>
          <w:rFonts w:ascii="Arial" w:cs="Arial" w:eastAsia="Arial" w:hAnsi="Arial"/>
          <w:sz w:val="18"/>
          <w:szCs w:val="18"/>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non-interest expense-other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(for commercial properties over $0.25 million) or a member of our Collateral Evaluation Department (for commercial properties under $0.25 million)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Capitalized mortgage loan servicing rights</w:t>
      </w:r>
      <w:r>
        <w:rPr>
          <w:rFonts w:ascii="Arial" w:cs="Arial" w:eastAsia="Arial" w:hAnsi="Arial"/>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 Prior to January 1, 2017, capitalized mortgage loan servicing rights were accounted for using the amortization method of accounting and were measured at fair value on a non-recurring basis. During the first quarter of 2017, we adopted the fair value method of accounting for our capitalized mortgage loan servicing rights (see note #2) and are now measured at fair value on a recurring basis.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(recurring Level 2). The fair value of interest rate swap agreements is based on a discounted cash flow analysis whose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136,109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136,109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26,990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177,176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177,176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47,611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47,611</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Impaired loans (3)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 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Resort lending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real estate (4)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Mortgage 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(1)Included in accrued income and other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(2)Included in accrued expenses and other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(3)Only includes impaired loans with specific loss allocations based on collateral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(4)Only includes other real estate with subsequent write downs to fair value.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3"/>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Measure-ments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2016:</w:t>
            </w:r>
          </w:p>
        </w:tc>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Trading securities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U.S. agency residential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156,289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156,289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Private label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34,727</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146,709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170,899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170,899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Loans held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35,946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35,946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Derivatives (2)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Impaired loans (4)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Mortgage 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Other real estate (5)</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Arial" w:cs="Arial" w:eastAsia="Arial" w:hAnsi="Arial"/>
                <w:sz w:val="18"/>
                <w:szCs w:val="18"/>
                <w:color w:val="auto"/>
              </w:rPr>
              <w:t>Income producing - real estate (6)</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2,863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Land, land development &amp; construction-real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color w:val="auto"/>
              </w:rPr>
              <w:t>Mortgage 1-4 family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valuation is based on a signed purchase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nine months ended September 30, 2017 and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7"/>
          </w:tcPr>
          <w:p>
            <w:pPr>
              <w:jc w:val="center"/>
              <w:ind w:right="290"/>
              <w:spacing w:after="0"/>
              <w:rPr>
                <w:sz w:val="20"/>
                <w:szCs w:val="20"/>
                <w:color w:val="auto"/>
              </w:rPr>
            </w:pPr>
            <w:r>
              <w:rPr>
                <w:rFonts w:ascii="Arial" w:cs="Arial" w:eastAsia="Arial" w:hAnsi="Arial"/>
                <w:sz w:val="18"/>
                <w:szCs w:val="18"/>
                <w:color w:val="auto"/>
                <w:w w:val="91"/>
              </w:rPr>
              <w:t>Changes in Fair Values for the Nine-Month</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60" w:type="dxa"/>
            <w:vAlign w:val="bottom"/>
            <w:gridSpan w:val="8"/>
          </w:tcPr>
          <w:p>
            <w:pPr>
              <w:jc w:val="center"/>
              <w:spacing w:after="0"/>
              <w:rPr>
                <w:sz w:val="20"/>
                <w:szCs w:val="20"/>
                <w:color w:val="auto"/>
              </w:rPr>
            </w:pPr>
            <w:r>
              <w:rPr>
                <w:rFonts w:ascii="Arial" w:cs="Arial" w:eastAsia="Arial" w:hAnsi="Arial"/>
                <w:sz w:val="18"/>
                <w:szCs w:val="18"/>
                <w:color w:val="auto"/>
                <w:w w:val="89"/>
              </w:rPr>
              <w:t>Periods Ended September 30 for Items Measured at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1"/>
              </w:rPr>
              <w:t>Fair Value Pursuant to Election of the Fair Value Option</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 Fair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vMerge w:val="restart"/>
          </w:tcPr>
          <w:p>
            <w:pPr>
              <w:jc w:val="center"/>
              <w:ind w:right="200"/>
              <w:spacing w:after="0"/>
              <w:rPr>
                <w:sz w:val="20"/>
                <w:szCs w:val="20"/>
                <w:color w:val="auto"/>
              </w:rPr>
            </w:pPr>
            <w:r>
              <w:rPr>
                <w:rFonts w:ascii="Arial" w:cs="Arial" w:eastAsia="Arial" w:hAnsi="Arial"/>
                <w:sz w:val="18"/>
                <w:szCs w:val="18"/>
                <w:color w:val="auto"/>
                <w:w w:val="89"/>
              </w:rPr>
              <w:t>Net Gains (Losses)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Values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vMerge w:val="restart"/>
          </w:tcPr>
          <w:p>
            <w:pPr>
              <w:jc w:val="right"/>
              <w:ind w:right="660"/>
              <w:spacing w:after="0"/>
              <w:rPr>
                <w:sz w:val="20"/>
                <w:szCs w:val="20"/>
                <w:color w:val="auto"/>
              </w:rPr>
            </w:pPr>
            <w:r>
              <w:rPr>
                <w:rFonts w:ascii="Arial" w:cs="Arial" w:eastAsia="Arial" w:hAnsi="Arial"/>
                <w:sz w:val="18"/>
                <w:szCs w:val="18"/>
                <w:color w:val="auto"/>
              </w:rPr>
              <w:t>Net Gains (Losses)</w:t>
            </w:r>
          </w:p>
        </w:tc>
        <w:tc>
          <w:tcPr>
            <w:tcW w:w="2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center"/>
              <w:ind w:right="300"/>
              <w:spacing w:after="0" w:line="189" w:lineRule="exact"/>
              <w:rPr>
                <w:sz w:val="20"/>
                <w:szCs w:val="20"/>
                <w:color w:val="auto"/>
              </w:rPr>
            </w:pPr>
            <w:r>
              <w:rPr>
                <w:rFonts w:ascii="Arial" w:cs="Arial" w:eastAsia="Arial" w:hAnsi="Arial"/>
                <w:sz w:val="18"/>
                <w:szCs w:val="18"/>
                <w:color w:val="auto"/>
                <w:w w:val="91"/>
              </w:rPr>
              <w:t>Included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left="690"/>
              <w:spacing w:after="0"/>
              <w:rPr>
                <w:sz w:val="20"/>
                <w:szCs w:val="20"/>
                <w:color w:val="auto"/>
              </w:rPr>
            </w:pPr>
            <w:r>
              <w:rPr>
                <w:rFonts w:ascii="Arial" w:cs="Arial" w:eastAsia="Arial" w:hAnsi="Arial"/>
                <w:sz w:val="18"/>
                <w:szCs w:val="18"/>
                <w:color w:val="auto"/>
                <w:w w:val="88"/>
              </w:rPr>
              <w:t>on Assets</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2"/>
              </w:rPr>
              <w:t>Mortgage</w:t>
            </w:r>
          </w:p>
        </w:tc>
        <w:tc>
          <w:tcPr>
            <w:tcW w:w="2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 Current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tcPr>
          <w:p>
            <w:pPr>
              <w:jc w:val="right"/>
              <w:ind w:right="1000"/>
              <w:spacing w:after="0"/>
              <w:rPr>
                <w:sz w:val="20"/>
                <w:szCs w:val="20"/>
                <w:color w:val="auto"/>
              </w:rPr>
            </w:pPr>
            <w:r>
              <w:rPr>
                <w:rFonts w:ascii="Arial" w:cs="Arial" w:eastAsia="Arial" w:hAnsi="Arial"/>
                <w:sz w:val="18"/>
                <w:szCs w:val="18"/>
                <w:color w:val="auto"/>
              </w:rPr>
              <w:t>on Assets</w:t>
            </w:r>
          </w:p>
        </w:tc>
        <w:tc>
          <w:tcPr>
            <w:tcW w:w="2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 Current</w:t>
            </w: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2"/>
              </w:rPr>
              <w:t>Mortgage</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9"/>
              </w:rPr>
              <w:t>Loan</w:t>
            </w:r>
          </w:p>
        </w:tc>
        <w:tc>
          <w:tcPr>
            <w:tcW w:w="26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8"/>
              </w:rPr>
              <w:t>Period</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2"/>
              </w:rPr>
              <w:t>Mortgage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w w:val="96"/>
              </w:rPr>
              <w:t>Securities</w:t>
            </w:r>
          </w:p>
        </w:tc>
        <w:tc>
          <w:tcPr>
            <w:tcW w:w="32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1"/>
              </w:rPr>
              <w:t>Servicing, net</w:t>
            </w:r>
          </w:p>
        </w:tc>
        <w:tc>
          <w:tcPr>
            <w:tcW w:w="2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Earnings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w w:val="96"/>
              </w:rPr>
              <w:t>Securities</w:t>
            </w:r>
          </w:p>
        </w:tc>
        <w:tc>
          <w:tcPr>
            <w:tcW w:w="2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mortgage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servicing rights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0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represent impairment charges recognized during the three and nine month periods ended September 30, 2017 and 2016 relating to assets measured at fair value on a non-recurring basis:</w:t>
      </w:r>
    </w:p>
    <w:p>
      <w:pPr>
        <w:spacing w:after="0" w:line="1" w:lineRule="exact"/>
        <w:rPr>
          <w:sz w:val="20"/>
          <w:szCs w:val="20"/>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Capitalized mortgage loan servicing rights, whose individual strata are measured at fair value, had a carrying amount of $8.2 million, which is net of a valuation allowance of $2.3 million, at December 31, 2016. A recovery (charge) of $0.6 million and $(1.5) million was included in our results of operations for the three and nine month periods ending September 30, 2016.</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Loans which are measured for impairment using the fair value of collateral for collateral dependent loans had a carrying amount of $2.5 million, with a valuation allowance of $0.7 million at September 30, 2017, and had a carrying amount of $4.0 million, with a valuation allowance of $2.0 million at December 31, 2016. The provision for loan losses included in our results of operations relating to impaired loans was a net expense of $0.3 million and $0.1 million for the three month periods ending September 30, 2017 and 2016, respectively, and a net expense of $0.5 million and $0.3 million for the nine month periods ending September 30, 2017 and 2016, respectively.</w:t>
      </w:r>
    </w:p>
    <w:p>
      <w:pPr>
        <w:spacing w:after="0" w:line="1"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$0.05 million which is net of a valuation allowance of $0.08 million at September 30, 2017, and a carrying amount of $3.2 million, which is net of a valuation allowance of $0.8 million, at December 31, 2016. An additional charge relating to other real estate measured at fair value of $0.03 million and $0.04 million was included in our results of operations during the three and nine month periods ended September 30, 2017, respectively and $0.37 million and $0.41 million during the same periods in 2016.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and (liabilities) measured at fair value on a recurring basis using significant unobservable inputs (Level 3)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1"/>
          </w:tcPr>
          <w:p>
            <w:pPr>
              <w:jc w:val="right"/>
              <w:ind w:right="65"/>
              <w:spacing w:after="0"/>
              <w:rPr>
                <w:sz w:val="20"/>
                <w:szCs w:val="20"/>
                <w:color w:val="auto"/>
              </w:rPr>
            </w:pPr>
            <w:r>
              <w:rPr>
                <w:rFonts w:ascii="Arial" w:cs="Arial" w:eastAsia="Arial" w:hAnsi="Arial"/>
                <w:sz w:val="18"/>
                <w:szCs w:val="18"/>
                <w:color w:val="auto"/>
              </w:rPr>
              <w:t>Capitalized Mortgage Loan Servicing Rights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4"/>
          </w:tcPr>
          <w:p>
            <w:pPr>
              <w:jc w:val="right"/>
              <w:ind w:right="197"/>
              <w:spacing w:after="0" w:line="201"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50"/>
              <w:spacing w:after="0" w:line="201" w:lineRule="exact"/>
              <w:rPr>
                <w:sz w:val="20"/>
                <w:szCs w:val="20"/>
                <w:color w:val="auto"/>
              </w:rPr>
            </w:pPr>
            <w:r>
              <w:rPr>
                <w:rFonts w:ascii="Arial" w:cs="Arial" w:eastAsia="Arial" w:hAnsi="Arial"/>
                <w:sz w:val="18"/>
                <w:szCs w:val="18"/>
                <w:color w:val="auto"/>
                <w:w w:val="92"/>
              </w:rPr>
              <w:t>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437"/>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14,515</w:t>
            </w:r>
          </w:p>
        </w:tc>
        <w:tc>
          <w:tcPr>
            <w:tcW w:w="100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Change in accounting</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adjusted</w:t>
            </w: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Total losses realized and unrealized: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results of operations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settlements, maturities and calls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Amount of total losses for the period included in earnings attributable to the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change in unrealized gains (losses) relating to assets and liabilities still held at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w:t>
            </w:r>
          </w:p>
        </w:tc>
        <w:tc>
          <w:tcPr>
            <w:tcW w:w="100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we changed the accounting for capitalized mortgage loan servicing rights during the first quarter of 2017 (see note #2) and are now measuring valuation on a recurring basis. 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Asset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Weighted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Average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gridSpan w:val="2"/>
            <w:vMerge w:val="restart"/>
          </w:tcPr>
          <w:p>
            <w:pPr>
              <w:ind w:left="580"/>
              <w:spacing w:after="0"/>
              <w:rPr>
                <w:sz w:val="20"/>
                <w:szCs w:val="20"/>
                <w:color w:val="auto"/>
              </w:rPr>
            </w:pPr>
            <w:r>
              <w:rPr>
                <w:rFonts w:ascii="Arial" w:cs="Arial" w:eastAsia="Arial" w:hAnsi="Arial"/>
                <w:sz w:val="18"/>
                <w:szCs w:val="18"/>
                <w:color w:val="auto"/>
              </w:rPr>
              <w:t>September 30, 2017</w:t>
            </w:r>
          </w:p>
        </w:tc>
        <w:tc>
          <w:tcPr>
            <w:tcW w:w="3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10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mortgage loan</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servicing rights</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2580" w:type="dxa"/>
            <w:vAlign w:val="bottom"/>
            <w:gridSpan w:val="2"/>
            <w:shd w:val="clear" w:color="auto" w:fill="CCEEFF"/>
          </w:tcPr>
          <w:p>
            <w:pPr>
              <w:jc w:val="center"/>
              <w:ind w:right="870"/>
              <w:spacing w:after="0"/>
              <w:rPr>
                <w:sz w:val="20"/>
                <w:szCs w:val="20"/>
                <w:color w:val="auto"/>
              </w:rPr>
            </w:pPr>
            <w:r>
              <w:rPr>
                <w:rFonts w:ascii="Arial" w:cs="Arial" w:eastAsia="Arial" w:hAnsi="Arial"/>
                <w:sz w:val="18"/>
                <w:szCs w:val="18"/>
                <w:color w:val="auto"/>
                <w:w w:val="88"/>
              </w:rPr>
              <w:t>Present value of net</w:t>
            </w:r>
          </w:p>
        </w:tc>
        <w:tc>
          <w:tcPr>
            <w:tcW w:w="2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Discount rate</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ind w:right="950"/>
              <w:spacing w:after="0"/>
              <w:rPr>
                <w:sz w:val="20"/>
                <w:szCs w:val="20"/>
                <w:color w:val="auto"/>
              </w:rPr>
            </w:pPr>
            <w:r>
              <w:rPr>
                <w:rFonts w:ascii="Arial" w:cs="Arial" w:eastAsia="Arial" w:hAnsi="Arial"/>
                <w:sz w:val="18"/>
                <w:szCs w:val="18"/>
                <w:color w:val="auto"/>
                <w:w w:val="90"/>
              </w:rPr>
              <w:t>servicing revenue</w:t>
            </w: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Cost to service</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Ancillary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Float rate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gridSpan w:val="2"/>
          </w:tcPr>
          <w:p>
            <w:pPr>
              <w:jc w:val="right"/>
              <w:ind w:right="97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Asset</w:t>
            </w: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c>
          <w:tcPr>
            <w:tcW w:w="4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100" w:type="dxa"/>
            <w:vAlign w:val="bottom"/>
          </w:tcPr>
          <w:p>
            <w:pPr>
              <w:spacing w:after="0"/>
              <w:rPr>
                <w:sz w:val="18"/>
                <w:szCs w:val="18"/>
                <w:color w:val="auto"/>
              </w:rPr>
            </w:pPr>
          </w:p>
        </w:tc>
        <w:tc>
          <w:tcPr>
            <w:tcW w:w="2840" w:type="dxa"/>
            <w:vAlign w:val="bottom"/>
          </w:tcPr>
          <w:p>
            <w:pPr>
              <w:ind w:left="920"/>
              <w:spacing w:after="0"/>
              <w:rPr>
                <w:sz w:val="20"/>
                <w:szCs w:val="20"/>
                <w:color w:val="auto"/>
              </w:rPr>
            </w:pPr>
            <w:r>
              <w:rPr>
                <w:rFonts w:ascii="Arial" w:cs="Arial" w:eastAsia="Arial" w:hAnsi="Arial"/>
                <w:sz w:val="18"/>
                <w:szCs w:val="18"/>
                <w:color w:val="auto"/>
              </w:rPr>
              <w:t>Unobservable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4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100" w:type="dxa"/>
            <w:vAlign w:val="bottom"/>
          </w:tcPr>
          <w:p>
            <w:pPr>
              <w:spacing w:after="0"/>
              <w:rPr>
                <w:sz w:val="20"/>
                <w:szCs w:val="20"/>
                <w:color w:val="auto"/>
              </w:rPr>
            </w:pPr>
          </w:p>
        </w:tc>
        <w:tc>
          <w:tcPr>
            <w:tcW w:w="2840" w:type="dxa"/>
            <w:vAlign w:val="bottom"/>
          </w:tcPr>
          <w:p>
            <w:pPr>
              <w:ind w:left="120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80" w:type="dxa"/>
            <w:vAlign w:val="bottom"/>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(In thousands)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Other real estate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Mortgage</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60"/>
              <w:spacing w:after="0" w:line="201" w:lineRule="exact"/>
              <w:rPr>
                <w:sz w:val="20"/>
                <w:szCs w:val="20"/>
                <w:color w:val="auto"/>
              </w:rPr>
            </w:pPr>
            <w:r>
              <w:rPr>
                <w:rFonts w:ascii="Arial" w:cs="Arial" w:eastAsia="Arial" w:hAnsi="Arial"/>
                <w:sz w:val="18"/>
                <w:szCs w:val="18"/>
                <w:color w:val="auto"/>
                <w:w w:val="93"/>
              </w:rPr>
              <w:t>Capitalized mortgage loan servicing</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rights</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8,163</w:t>
            </w:r>
          </w:p>
        </w:tc>
        <w:tc>
          <w:tcPr>
            <w:tcW w:w="60" w:type="dxa"/>
            <w:vAlign w:val="bottom"/>
          </w:tcPr>
          <w:p>
            <w:pPr>
              <w:spacing w:after="0"/>
              <w:rPr>
                <w:sz w:val="20"/>
                <w:szCs w:val="20"/>
                <w:color w:val="auto"/>
              </w:rPr>
            </w:pPr>
          </w:p>
        </w:tc>
        <w:tc>
          <w:tcPr>
            <w:tcW w:w="2900" w:type="dxa"/>
            <w:vAlign w:val="bottom"/>
            <w:gridSpan w:val="2"/>
          </w:tcPr>
          <w:p>
            <w:pPr>
              <w:ind w:left="40"/>
              <w:spacing w:after="0"/>
              <w:rPr>
                <w:sz w:val="20"/>
                <w:szCs w:val="20"/>
                <w:color w:val="auto"/>
              </w:rPr>
            </w:pPr>
            <w:r>
              <w:rPr>
                <w:rFonts w:ascii="Arial" w:cs="Arial" w:eastAsia="Arial" w:hAnsi="Arial"/>
                <w:sz w:val="18"/>
                <w:szCs w:val="18"/>
                <w:color w:val="auto"/>
                <w:w w:val="92"/>
              </w:rPr>
              <w:t>Present value of net servicing revenue</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to service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Ancillary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Float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60"/>
              <w:spacing w:after="0" w:line="201" w:lineRule="exact"/>
              <w:rPr>
                <w:sz w:val="20"/>
                <w:szCs w:val="20"/>
                <w:color w:val="auto"/>
              </w:rPr>
            </w:pPr>
            <w:r>
              <w:rPr>
                <w:rFonts w:ascii="Arial" w:cs="Arial" w:eastAsia="Arial" w:hAnsi="Arial"/>
                <w:sz w:val="18"/>
                <w:szCs w:val="18"/>
                <w:color w:val="auto"/>
              </w:rPr>
              <w:t>Commercial (1)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1,446</w:t>
            </w:r>
          </w:p>
        </w:tc>
        <w:tc>
          <w:tcPr>
            <w:tcW w:w="60" w:type="dxa"/>
            <w:vAlign w:val="bottom"/>
          </w:tcPr>
          <w:p>
            <w:pPr>
              <w:spacing w:after="0"/>
              <w:rPr>
                <w:sz w:val="20"/>
                <w:szCs w:val="20"/>
                <w:color w:val="auto"/>
              </w:rPr>
            </w:pP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Mortgage</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real estate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Mortgage</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Adjustment for differences between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2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comparison approach</w:t>
            </w:r>
          </w:p>
        </w:tc>
        <w:tc>
          <w:tcPr>
            <w:tcW w:w="100" w:type="dxa"/>
            <w:vAlign w:val="bottom"/>
            <w:shd w:val="clear" w:color="auto" w:fill="CCEEFF"/>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 sales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49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98" w:lineRule="exact"/>
        <w:rPr>
          <w:sz w:val="20"/>
          <w:szCs w:val="20"/>
          <w:color w:val="auto"/>
        </w:rPr>
      </w:pPr>
    </w:p>
    <w:p>
      <w:pPr>
        <w:ind w:left="220" w:right="140" w:hanging="215"/>
        <w:spacing w:after="0" w:line="279" w:lineRule="auto"/>
        <w:rPr>
          <w:sz w:val="20"/>
          <w:szCs w:val="20"/>
          <w:color w:val="auto"/>
        </w:rPr>
      </w:pPr>
      <w:r>
        <w:rPr>
          <w:rFonts w:ascii="Arial" w:cs="Arial" w:eastAsia="Arial" w:hAnsi="Arial"/>
          <w:sz w:val="17"/>
          <w:szCs w:val="17"/>
          <w:color w:val="auto"/>
        </w:rPr>
        <w:t>(1)In addition to the valuation techniques and unobservable inputs discussed above, at December 31, 2016, we had an impaired collateral dependent commercial relationship that totaled $0.2 million that was primarily secured by collateral other than real estate. Collateral securing this relationship primarily included machinery and equipment and inventory. Valuation techniques included appraisals and discounting restructuring firm valuations based on estimates of value recovery of each particular asset type. Discount rates used ranged from 0% to 100% of stated values.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3"/>
              </w:rPr>
              <w:t>Aggregate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Difference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Principal</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gridSpan w:val="2"/>
            <w:vMerge w:val="restart"/>
          </w:tcPr>
          <w:p>
            <w:pPr>
              <w:ind w:left="580"/>
              <w:spacing w:after="0"/>
              <w:rPr>
                <w:sz w:val="20"/>
                <w:szCs w:val="20"/>
                <w:color w:val="auto"/>
              </w:rPr>
            </w:pPr>
            <w:r>
              <w:rPr>
                <w:rFonts w:ascii="Arial" w:cs="Arial" w:eastAsia="Arial" w:hAnsi="Arial"/>
                <w:sz w:val="18"/>
                <w:szCs w:val="18"/>
                <w:color w:val="auto"/>
              </w:rPr>
              <w:t>Loans held for sale</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20" w:type="dxa"/>
            <w:vAlign w:val="bottom"/>
            <w:gridSpan w:val="2"/>
            <w:vMerge w:val="continue"/>
          </w:tcPr>
          <w:p>
            <w:pPr>
              <w:spacing w:after="0"/>
              <w:rPr>
                <w:sz w:val="17"/>
                <w:szCs w:val="17"/>
                <w:color w:val="auto"/>
              </w:rPr>
            </w:pP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2017</w:t>
            </w:r>
          </w:p>
        </w:tc>
        <w:tc>
          <w:tcPr>
            <w:tcW w:w="3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35,946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35,509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60" w:type="dxa"/>
            <w:vAlign w:val="bottom"/>
          </w:tcPr>
          <w:p>
            <w:pPr>
              <w:jc w:val="right"/>
              <w:ind w:right="1019"/>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 Fair value methodologies discussed below do not necessarily represent an exit price in the determination of the fair value of these financial instruments.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due from banks and interest bearing deposits</w:t>
      </w:r>
      <w:r>
        <w:rPr>
          <w:rFonts w:ascii="Arial" w:cs="Arial" w:eastAsia="Arial" w:hAnsi="Arial"/>
          <w:sz w:val="18"/>
          <w:szCs w:val="18"/>
          <w:color w:val="auto"/>
        </w:rPr>
        <w:t>: The recorded book balance of cash and due from banks and interest bearing deposits approximate fair value and are classified as Level 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Interest bearing deposits - time</w:t>
      </w:r>
      <w:r>
        <w:rPr>
          <w:rFonts w:ascii="Arial" w:cs="Arial" w:eastAsia="Arial" w:hAnsi="Arial"/>
          <w:sz w:val="18"/>
          <w:szCs w:val="18"/>
          <w:color w:val="auto"/>
        </w:rPr>
        <w:t>: Interest bearing deposits - time have been valued based on a model using a benchmark yield curve plus a base spread and are classified as Level 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Financial instrument assets actively traded in a secondary market have been valued using quoted market prices. Trading securities are classified as Level 1 while securities available for sale are classified as Level 2 as described in note #11.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Federal Home Loan Bank and Federal Reserve Bank stock</w:t>
      </w:r>
      <w:r>
        <w:rPr>
          <w:rFonts w:ascii="Arial" w:cs="Arial" w:eastAsia="Arial" w:hAnsi="Arial"/>
          <w:sz w:val="18"/>
          <w:szCs w:val="18"/>
          <w:color w:val="auto"/>
        </w:rPr>
        <w:t>: It is not practicable to determine the fair value of FHLB and FRB stock due to restrictions placed on transferability.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Net loans and loans held for sale</w:t>
      </w:r>
      <w:r>
        <w:rPr>
          <w:rFonts w:ascii="Arial" w:cs="Arial" w:eastAsia="Arial" w:hAnsi="Arial"/>
          <w:sz w:val="17"/>
          <w:szCs w:val="17"/>
          <w:color w:val="auto"/>
        </w:rPr>
        <w:t>: The fair value of loans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#11. Loans held for sale are classified as Level 2 as described in note #11. Payment plan receivables held for sale are also classified as Level 2 based on a signed purchase agreement as described in note #15.</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Accrued interest receivable and payable</w:t>
      </w:r>
      <w:r>
        <w:rPr>
          <w:rFonts w:ascii="Arial" w:cs="Arial" w:eastAsia="Arial" w:hAnsi="Arial"/>
          <w:sz w:val="18"/>
          <w:szCs w:val="18"/>
          <w:color w:val="auto"/>
        </w:rPr>
        <w:t>: The recorded book balance of accrued interest receivable and payable approximate fair value and are classified at the same Level as the asset and liability they are associated with.</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Derivative financial instruments</w:t>
      </w:r>
      <w:r>
        <w:rPr>
          <w:rFonts w:ascii="Arial" w:cs="Arial" w:eastAsia="Arial" w:hAnsi="Arial"/>
          <w:sz w:val="18"/>
          <w:szCs w:val="18"/>
          <w:color w:val="auto"/>
        </w:rPr>
        <w:t>: The fair value of rate-lock mortgage loan commitments and mandatory commitments to sell mortgage loans is based on mortgage backed security pricing for comparable assets, the fair value of interest rate swap agreements is based on a discounted cash flow analysis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Deposits</w:t>
      </w:r>
      <w:r>
        <w:rPr>
          <w:rFonts w:ascii="Arial" w:cs="Arial" w:eastAsia="Arial" w:hAnsi="Arial"/>
          <w:sz w:val="18"/>
          <w:szCs w:val="18"/>
          <w:color w:val="auto"/>
        </w:rPr>
        <w:t>: Deposits without a stated maturity, including demand deposits, savings, NOW and money market accounts, have a 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funds purchased: The recorded book balance of federal funds purchased, which mature in one day, approximates fair value and is classified as Level 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Other borrowings</w:t>
      </w:r>
      <w:r>
        <w:rPr>
          <w:rFonts w:ascii="Arial" w:cs="Arial" w:eastAsia="Arial" w:hAnsi="Arial"/>
          <w:sz w:val="18"/>
          <w:szCs w:val="18"/>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Subordinated debentures</w:t>
      </w:r>
      <w:r>
        <w:rPr>
          <w:rFonts w:ascii="Arial" w:cs="Arial" w:eastAsia="Arial" w:hAnsi="Arial"/>
          <w:sz w:val="18"/>
          <w:szCs w:val="18"/>
          <w:color w:val="auto"/>
        </w:rPr>
        <w:t>: Subordinated debentures have generally been valued based on a quoted market price of similar instruments resulting in a Level 2 classification.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3"/>
              </w:rPr>
              <w:t>The estimated recorded book balances and fair values follow: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1"/>
              </w:rPr>
              <w:t>Fair Value Using</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87"/>
              </w:rPr>
              <w:t>Quoted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Markets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Identical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Observable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Inputs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5"/>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15,605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15,605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548,865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548,865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Federal Home Loan Bank and Federal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Reserve Bank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Net loans and loans held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1,963,227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1,909,662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47,611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1,808,071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1,808,071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1,808,071</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535,690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533,045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533,045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funds purchased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73,405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73,405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47,956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47,956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610,616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610,616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Federal Home Loan Bank and Federal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Reserve Bank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Net loans and loans held for sale (2)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1,655,335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1,629,587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67,321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1,740,601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1,740,601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1,740,601</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Deposits with stated maturity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485,118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483,469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483,469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Subordinated debentures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35,569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hanging="332"/>
        <w:spacing w:after="0" w:line="25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$13.5 million and $7.4 million at September 30, 2017 and December 31, 2016, respectively. Deposits with a stated maturity include reciprocal deposits with a recorded book balance of $35.5 million and $31.3 million September 30, 2017 and December 31, 2016, respectively.</w:t>
      </w: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Net loans and loans held for sale include $31.4 million of payment plan receivables and commercial loans held for sale at December 31, 2016.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9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Contingent Liabilities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we reached a tentative settlement regarding litigation initiated against us in Wayne County, Michigan Circuit Court. The Court issued a preliminary approval of this settlement in the first quarter of 2017. This litigation concerned checking account transaction sequencing during a period from February 2009 to June 2011. Under the terms of the settlement, we have agreed to pay $2.2 million and are also responsible for class notification costs and certain other expenses which are estimated to total approximately $0.1 million (these amounts were accrued for and expensed in the fourth quarter of 2016). We expect the settlement payment to occur in the fourth quarter of 2017 or first quarter of 2018. Although, we deny any liability associated with this matter and believe we have meritorious defenses to the allegations in the complaint, given the costs and uncertainty of litigation, it was determined that this settlement was in the best interests of the organization.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sale of Mepco (see note #15),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September 30, 2017 Condensed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 As of September 30, 2017 these receivables balances had declined to $22.5 million and to date the purchaser has made no claims for indemnification.</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provision for loss reimbursement on sold loans was an expense of $0.02 million and $0.07 million in the third quarter and first nine months of 2017, respectively, compared to an expense of $0.05 million and $0.03 million in the third quarter and first nine months of 2016, respectively. This provision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reserve for loss reimbursements on sold mortgage loans totaled $0.6 million at both September 30, 2017 and December 31, 2016, respectively. This reserve is included in accrued expenses and other liabilities in our Condensed Consolidated Statements of Financial Condition.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4"/>
          </w:tcPr>
          <w:p>
            <w:pPr>
              <w:spacing w:after="0"/>
              <w:rPr>
                <w:sz w:val="20"/>
                <w:szCs w:val="20"/>
                <w:color w:val="auto"/>
              </w:rPr>
            </w:pPr>
            <w:r>
              <w:rPr>
                <w:rFonts w:ascii="Arial" w:cs="Arial" w:eastAsia="Arial" w:hAnsi="Arial"/>
                <w:sz w:val="18"/>
                <w:szCs w:val="18"/>
                <w:color w:val="auto"/>
              </w:rPr>
              <w:t>14. Accumulated Other Comprehensive Loss (“AOCL”)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4"/>
          </w:tcPr>
          <w:p>
            <w:pPr>
              <w:spacing w:after="0"/>
              <w:rPr>
                <w:sz w:val="20"/>
                <w:szCs w:val="20"/>
                <w:color w:val="auto"/>
              </w:rPr>
            </w:pPr>
            <w:r>
              <w:rPr>
                <w:rFonts w:ascii="Arial" w:cs="Arial" w:eastAsia="Arial" w:hAnsi="Arial"/>
                <w:sz w:val="18"/>
                <w:szCs w:val="18"/>
                <w:color w:val="auto"/>
              </w:rPr>
              <w:t>A summary of changes in AOCL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Dispropor-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tionate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Tax Effects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(Losses)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from</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Gains 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Available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Cash Flow</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for Sale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for Sale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Hedges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080" w:type="dxa"/>
            <w:vAlign w:val="bottom"/>
            <w:gridSpan w:val="4"/>
            <w:vMerge w:val="restart"/>
          </w:tcPr>
          <w:p>
            <w:pPr>
              <w:spacing w:after="0"/>
              <w:rPr>
                <w:sz w:val="20"/>
                <w:szCs w:val="20"/>
                <w:color w:val="auto"/>
              </w:rPr>
            </w:pPr>
            <w:r>
              <w:rPr>
                <w:rFonts w:ascii="Arial" w:cs="Arial" w:eastAsia="Arial" w:hAnsi="Arial"/>
                <w:sz w:val="18"/>
                <w:szCs w:val="18"/>
                <w:color w:val="auto"/>
              </w:rPr>
              <w:t>For the three months ended September 30,</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180"/>
              <w:spacing w:after="0"/>
              <w:rPr>
                <w:sz w:val="20"/>
                <w:szCs w:val="20"/>
                <w:color w:val="auto"/>
              </w:rPr>
            </w:pPr>
            <w:r>
              <w:rPr>
                <w:rFonts w:ascii="Arial" w:cs="Arial" w:eastAsia="Arial" w:hAnsi="Arial"/>
                <w:sz w:val="18"/>
                <w:szCs w:val="18"/>
                <w:color w:val="auto"/>
              </w:rPr>
              <w:t>2017</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gridSpan w:val="2"/>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3"/>
          </w:tcPr>
          <w:p>
            <w:pPr>
              <w:spacing w:after="0" w:line="201" w:lineRule="exact"/>
              <w:rPr>
                <w:sz w:val="20"/>
                <w:szCs w:val="20"/>
                <w:color w:val="auto"/>
              </w:rPr>
            </w:pPr>
            <w:r>
              <w:rPr>
                <w:rFonts w:ascii="Arial" w:cs="Arial" w:eastAsia="Arial" w:hAnsi="Arial"/>
                <w:sz w:val="18"/>
                <w:szCs w:val="18"/>
                <w:color w:val="auto"/>
              </w:rPr>
              <w:t>For the Nine months ended September 30,</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180"/>
              <w:spacing w:after="0"/>
              <w:rPr>
                <w:sz w:val="20"/>
                <w:szCs w:val="20"/>
                <w:color w:val="auto"/>
              </w:rPr>
            </w:pPr>
            <w:r>
              <w:rPr>
                <w:rFonts w:ascii="Arial" w:cs="Arial" w:eastAsia="Arial" w:hAnsi="Arial"/>
                <w:sz w:val="18"/>
                <w:szCs w:val="18"/>
                <w:color w:val="auto"/>
              </w:rPr>
              <w:t>2017</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beginning of period, as adjusted</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gridSpan w:val="2"/>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accumulated other comprehensive loss as of January 1, 2017 was adjusted by $0.30 million (see note #2).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three months ended September 30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1350"/>
              <w:spacing w:after="0"/>
              <w:rPr>
                <w:sz w:val="20"/>
                <w:szCs w:val="20"/>
                <w:color w:val="auto"/>
              </w:rPr>
            </w:pPr>
            <w:r>
              <w:rPr>
                <w:rFonts w:ascii="Arial" w:cs="Arial" w:eastAsia="Arial" w:hAnsi="Arial"/>
                <w:sz w:val="18"/>
                <w:szCs w:val="18"/>
                <w:color w:val="auto"/>
                <w:w w:val="94"/>
              </w:rPr>
              <w:t>Unrealized gains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20" w:hanging="1066"/>
        <w:spacing w:after="0"/>
        <w:tabs>
          <w:tab w:leader="none" w:pos="6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  Net gains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220"/>
        <w:spacing w:after="0"/>
        <w:tabs>
          <w:tab w:leader="none" w:pos="64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220"/>
        <w:spacing w:after="0"/>
        <w:tabs>
          <w:tab w:leader="none" w:pos="64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220" w:hanging="1066"/>
        <w:spacing w:after="0"/>
        <w:tabs>
          <w:tab w:leader="none" w:pos="6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60" w:hanging="1006"/>
        <w:spacing w:after="0"/>
        <w:tabs>
          <w:tab w:leader="none" w:pos="6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 Interest expense</w:t>
      </w:r>
    </w:p>
    <w:p>
      <w:pPr>
        <w:spacing w:after="0" w:line="9" w:lineRule="exact"/>
        <w:rPr>
          <w:rFonts w:ascii="Arial" w:cs="Arial" w:eastAsia="Arial" w:hAnsi="Arial"/>
          <w:sz w:val="18"/>
          <w:szCs w:val="18"/>
          <w:color w:val="auto"/>
        </w:rPr>
      </w:pPr>
    </w:p>
    <w:p>
      <w:pPr>
        <w:ind w:left="6460" w:hanging="308"/>
        <w:spacing w:after="0"/>
        <w:tabs>
          <w:tab w:leader="none" w:pos="6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160" w:hanging="1006"/>
        <w:spacing w:after="0"/>
        <w:tabs>
          <w:tab w:leader="none" w:pos="6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6220" w:hanging="1066"/>
        <w:spacing w:after="0"/>
        <w:tabs>
          <w:tab w:leader="none" w:pos="6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120" w:hanging="966"/>
        <w:spacing w:after="0"/>
        <w:tabs>
          <w:tab w:leader="none" w:pos="6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15  Net gains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Total reclassifications before tax</w:t>
      </w:r>
    </w:p>
    <w:p>
      <w:pPr>
        <w:spacing w:after="0" w:line="23" w:lineRule="exact"/>
        <w:rPr>
          <w:sz w:val="20"/>
          <w:szCs w:val="20"/>
          <w:color w:val="auto"/>
        </w:rPr>
      </w:pPr>
    </w:p>
    <w:p>
      <w:pPr>
        <w:ind w:left="6220"/>
        <w:spacing w:after="0"/>
        <w:tabs>
          <w:tab w:leader="none" w:pos="64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6120" w:hanging="966"/>
        <w:spacing w:after="0"/>
        <w:tabs>
          <w:tab w:leader="none" w:pos="6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40640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AOCL for the nine months ended September 30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Affected Line Item in Condensed</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Consolidated Statements of Operations</w:t>
            </w:r>
          </w:p>
        </w:tc>
        <w:tc>
          <w:tcPr>
            <w:tcW w:w="0" w:type="dxa"/>
            <w:vAlign w:val="bottom"/>
          </w:tcPr>
          <w:p>
            <w:pPr>
              <w:spacing w:after="0"/>
              <w:rPr>
                <w:sz w:val="1"/>
                <w:szCs w:val="1"/>
                <w:color w:val="auto"/>
              </w:rPr>
            </w:pPr>
          </w:p>
        </w:tc>
      </w:tr>
      <w:tr>
        <w:trPr>
          <w:trHeight w:val="230"/>
        </w:trPr>
        <w:tc>
          <w:tcPr>
            <w:tcW w:w="5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jc w:val="right"/>
              <w:ind w:right="1350"/>
              <w:spacing w:after="0"/>
              <w:rPr>
                <w:sz w:val="20"/>
                <w:szCs w:val="20"/>
                <w:color w:val="auto"/>
              </w:rPr>
            </w:pPr>
            <w:r>
              <w:rPr>
                <w:rFonts w:ascii="Arial" w:cs="Arial" w:eastAsia="Arial" w:hAnsi="Arial"/>
                <w:sz w:val="18"/>
                <w:szCs w:val="18"/>
                <w:color w:val="auto"/>
                <w:w w:val="94"/>
              </w:rPr>
              <w:t>Unrealized gains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40" w:hanging="886"/>
        <w:spacing w:after="0"/>
        <w:tabs>
          <w:tab w:leader="none" w:pos="6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125  Net gains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spacing w:after="0"/>
        <w:tabs>
          <w:tab w:leader="none" w:pos="64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120" w:hanging="966"/>
        <w:spacing w:after="0"/>
        <w:tabs>
          <w:tab w:leader="none" w:pos="6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81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cash flow hedges</w:t>
      </w:r>
    </w:p>
    <w:p>
      <w:pPr>
        <w:spacing w:after="0" w:line="23" w:lineRule="exact"/>
        <w:rPr>
          <w:sz w:val="20"/>
          <w:szCs w:val="20"/>
          <w:color w:val="auto"/>
        </w:rPr>
      </w:pPr>
    </w:p>
    <w:p>
      <w:pPr>
        <w:ind w:left="6160" w:hanging="1006"/>
        <w:spacing w:after="0"/>
        <w:tabs>
          <w:tab w:leader="none" w:pos="6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 Interest expense</w:t>
      </w:r>
    </w:p>
    <w:p>
      <w:pPr>
        <w:spacing w:after="0" w:line="9" w:lineRule="exact"/>
        <w:rPr>
          <w:rFonts w:ascii="Arial" w:cs="Arial" w:eastAsia="Arial" w:hAnsi="Arial"/>
          <w:sz w:val="18"/>
          <w:szCs w:val="18"/>
          <w:color w:val="auto"/>
        </w:rPr>
      </w:pPr>
    </w:p>
    <w:p>
      <w:pPr>
        <w:ind w:left="6460" w:hanging="308"/>
        <w:spacing w:after="0"/>
        <w:tabs>
          <w:tab w:leader="none" w:pos="6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160" w:hanging="1006"/>
        <w:spacing w:after="0"/>
        <w:tabs>
          <w:tab w:leader="none" w:pos="6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78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on securities available for sale</w:t>
      </w:r>
    </w:p>
    <w:p>
      <w:pPr>
        <w:spacing w:after="0" w:line="9" w:lineRule="exact"/>
        <w:rPr>
          <w:sz w:val="20"/>
          <w:szCs w:val="20"/>
          <w:color w:val="auto"/>
        </w:rPr>
      </w:pPr>
    </w:p>
    <w:p>
      <w:pPr>
        <w:ind w:left="6040" w:hanging="886"/>
        <w:spacing w:after="0"/>
        <w:tabs>
          <w:tab w:leader="none" w:pos="6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298  Net gains on securities</w:t>
      </w:r>
    </w:p>
    <w:p>
      <w:pPr>
        <w:spacing w:after="0" w:line="9" w:lineRule="exact"/>
        <w:rPr>
          <w:rFonts w:ascii="Arial" w:cs="Arial" w:eastAsia="Arial" w:hAnsi="Arial"/>
          <w:sz w:val="18"/>
          <w:szCs w:val="18"/>
          <w:color w:val="auto"/>
        </w:rPr>
      </w:pPr>
    </w:p>
    <w:p>
      <w:pPr>
        <w:ind w:left="6460" w:hanging="218"/>
        <w:spacing w:after="0"/>
        <w:tabs>
          <w:tab w:leader="none" w:pos="6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spacing w:after="0"/>
        <w:tabs>
          <w:tab w:leader="none" w:pos="6440"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6040" w:hanging="886"/>
        <w:spacing w:after="0"/>
        <w:tabs>
          <w:tab w:leader="none" w:pos="6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194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Payment Plan Receivables and Other Assets Held for Sale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30, 2016 Mepco executed an Asset Purchase Agreement (the “APA”) with Seabury Asset Management LLC (“Seabury”). Pursuant to the terms of the APA, Mepco sold its payment plan processing business to Seabury effective May 1, 2017. We received cash totaling $33.4 million and recorded no gain or loss in 2017 as the assets were sold and the liabilities were assumed at book value.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Assets sold and liabilities assumed were as follows: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35"/>
              <w:spacing w:after="0"/>
              <w:rPr>
                <w:sz w:val="20"/>
                <w:szCs w:val="20"/>
                <w:color w:val="auto"/>
              </w:rPr>
            </w:pPr>
            <w:r>
              <w:rPr>
                <w:rFonts w:ascii="Arial" w:cs="Arial" w:eastAsia="Arial" w:hAnsi="Arial"/>
                <w:sz w:val="18"/>
                <w:szCs w:val="18"/>
                <w:color w:val="auto"/>
              </w:rPr>
              <w:t>May 1,</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Assets sold</w:t>
            </w:r>
          </w:p>
        </w:tc>
        <w:tc>
          <w:tcPr>
            <w:tcW w:w="20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33,128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Commerical loans</w:t>
            </w:r>
          </w:p>
        </w:tc>
        <w:tc>
          <w:tcPr>
            <w:tcW w:w="200" w:type="dxa"/>
            <w:vAlign w:val="bottom"/>
          </w:tcPr>
          <w:p>
            <w:pPr>
              <w:spacing w:after="0"/>
              <w:rPr>
                <w:sz w:val="18"/>
                <w:szCs w:val="18"/>
                <w:color w:val="auto"/>
              </w:rPr>
            </w:pPr>
          </w:p>
        </w:tc>
        <w:tc>
          <w:tcPr>
            <w:tcW w:w="1040" w:type="dxa"/>
            <w:vAlign w:val="bottom"/>
            <w:gridSpan w:val="2"/>
          </w:tcPr>
          <w:p>
            <w:pPr>
              <w:jc w:val="right"/>
              <w:ind w:right="15"/>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5"/>
              <w:spacing w:after="0"/>
              <w:rPr>
                <w:sz w:val="20"/>
                <w:szCs w:val="20"/>
                <w:color w:val="auto"/>
              </w:rPr>
            </w:pPr>
            <w:r>
              <w:rPr>
                <w:rFonts w:ascii="Arial" w:cs="Arial" w:eastAsia="Arial" w:hAnsi="Arial"/>
                <w:sz w:val="18"/>
                <w:szCs w:val="18"/>
                <w:color w:val="auto"/>
              </w:rPr>
              <w:t>35,418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Liabilities assumed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assets and liabilities were categorized as “held for sale” in our December 31, 2016 Condensed Consolidated Statement of Financial Condition. These assets and corresponding liabilities held for sale were carried at the lower of cost or fair value on an aggregate basis. Fair value adjustments, if any, were recorded in current earnings.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8"/>
          <w:szCs w:val="18"/>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8"/>
          <w:szCs w:val="18"/>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8"/>
          <w:szCs w:val="18"/>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8"/>
          <w:szCs w:val="18"/>
          <w:b w:val="1"/>
          <w:bCs w:val="1"/>
          <w:color w:val="auto"/>
        </w:rPr>
        <w:t>O</w:t>
      </w:r>
      <w:r>
        <w:rPr>
          <w:rFonts w:ascii="Arial" w:cs="Arial" w:eastAsia="Arial" w:hAnsi="Arial"/>
          <w:sz w:val="12"/>
          <w:szCs w:val="12"/>
          <w:b w:val="1"/>
          <w:bCs w:val="1"/>
          <w:color w:val="auto"/>
        </w:rPr>
        <w:t>PERATIONS</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Introduction</w:t>
      </w:r>
      <w:r>
        <w:rPr>
          <w:rFonts w:ascii="Arial" w:cs="Arial" w:eastAsia="Arial" w:hAnsi="Arial"/>
          <w:sz w:val="16"/>
          <w:szCs w:val="16"/>
          <w:color w:val="auto"/>
        </w:rPr>
        <w:t>. The following section presents additional information to assess the financial condition and results of operations of Independent Bank</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its wholly-owned bank, Independent Bank (the "Bank"), and their subsidiaries. This section should be read in conjunction with the Condensed Consolidated Financial Statements. We also encourage you to read our 2016 Annual Report on Form 10-K filed with the U.S. Securities and Exchange Commission ("SEC"). That report includes a list of risk factors that you should consider in connection with any decision to buy or sell our securities.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Overview</w:t>
      </w:r>
      <w:r>
        <w:rPr>
          <w:rFonts w:ascii="Arial" w:cs="Arial" w:eastAsia="Arial" w:hAnsi="Arial"/>
          <w:sz w:val="16"/>
          <w:szCs w:val="16"/>
          <w:color w:val="auto"/>
        </w:rPr>
        <w:t>. We provide banking services to customers located primarily in Michigan’s Lower Peninsula. As a result, our success depends to a great extent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economic conditions in Michigan’s Lower Peninsula. At times, we have experienced a difficult economy in Michigan. Economic conditions in Michigan began to show signs of improvement during 2010. Generally, these improvements have continued into 2017, albeit at an uneven pace. There has been an overall decline in the unemployment rate as well as generally improving housing prices and other related statistics (such as home sales and new building permits). In addition, since early- to mid-2009, we have seen an improvement in our asset quality metrics. In particular, since early 2012, we have generally experienced a decline in non-performing assets, reduced levels of new loan defaults, and reduced levels of loan net charge-offs.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Recent Developments</w:t>
      </w:r>
      <w:r>
        <w:rPr>
          <w:rFonts w:ascii="Arial" w:cs="Arial" w:eastAsia="Arial" w:hAnsi="Arial"/>
          <w:sz w:val="18"/>
          <w:szCs w:val="18"/>
          <w:color w:val="auto"/>
        </w:rPr>
        <w:t>. Effective on January 1, 2017, we adopted the fair value accounting method for capitalized mortgage loan servicing rights. The</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of this accounting method resulted in the following changes to the January 1, 2017 beginning balances: an increase in capitalized mortgage loan servicing rights of $0.54 million; a decrease in deferred income taxes of $0.19 million and a decrease in our accumulated deficit of $0.35 million. See note 2 to the Condensed Consolidated Financial Statements.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30, 2016, the Bank and its wholly-owned subsidiary, Mepco Finance Corporation (“Mepco”), entered into an Asset Purchase Agreement (“APA”) with Seabury Asset Management LLC (“Seabury”). Pursuant to the terms of the APA, we sold our payment plan processing business, payment plan receivables, and certain other assets to Seabury, who also assumed certain liabilities of Mepco. These assets and liabilities were categorized as “held for sale” in the December 31, 2016 Condensed Consolidated Statements of Financial Condition. We also recorded a $0.32 million loss related to the sale of these assets in the fourth quarter of 2016. 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Mepco was renamed IB Holding Company in May 2017 and was liquidated on June 30, 2017, with the remaining assets and liabilities transferred to the Bank. We do not believe that the sale of the Mepco business and assets will have a significant impact on our future overall financial condition or results of operations.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fourth quarter of 2016, we reached a tentative settlement regarding litigation initiated against the Bank in Wayne County, Michigan Circuit Court. The Court issued a preliminary approval of this settlement in the first quarter of 2017. This litigation concerned the Bank’s checking account transaction sequencing during a period from February 2009 to June 2011. Under the terms of the settlement, we have agreed to pay $2.2 million and we are also responsible for class notification costs and certain other expenses which are estimated to total approximately $0.1 million. We recorded a $2.3 million expense in the fourth quarter of 2016 for this settlement. We expect the settlement payment to occur in the fourth quarter of 2017 or first quarter of 2018.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color w:val="auto"/>
        </w:rPr>
        <w:t>. On July 2, 2013, the Federal Reserve Board approved a final rule that establishes an integrated regulatory capital framework (the "New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ratably over a four-year period that began in 2016. In 2017, 1.25% is being added to the minimum ratio for adequately capitalized institutions. To avoid limits on capital distributions and certain discretionary bonus payments we must meet the minimum ratio for adequately capitalized institutions plus the phased in buffer (now 5.75% in 2017).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As of September 30, 2017 and December 31, 2016 we exceeded all of the capital ratio requirements of the New Capital Rules.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the third quarter and first nine months of 2017 as compared to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We recorded net income of $6.9 million and $6.4 million, respectively, during the three months ended September 30, 2017 and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2017 results as compared to 2016 primarily reflects an increase in net interest income that was partially offset by increases in the provision for loan losses and in non-interest and income tax expenses and a decrease in non-interest income.</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net income of $18.8 million and $16.9 million, respectively, during the nine months ended September 30, 2017 and 2016. The increase in 2017 year-to-date results as compared to 2016 is primarily due to increases in net interest income and non-interest income that were partially offset by increases in the provision for loan losses, non-interest expense and income tax expense.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4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Key performance ratios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24"/>
                <w:szCs w:val="24"/>
                <w:color w:val="auto"/>
              </w:rPr>
            </w:pPr>
          </w:p>
        </w:tc>
        <w:tc>
          <w:tcPr>
            <w:tcW w:w="2460" w:type="dxa"/>
            <w:vAlign w:val="bottom"/>
            <w:gridSpan w:val="6"/>
          </w:tcPr>
          <w:p>
            <w:pPr>
              <w:ind w:left="3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8"/>
              </w:rPr>
              <w:t>September 30,</w:t>
            </w: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w w:val="86"/>
              </w:rPr>
              <w:t>September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spacing w:after="0"/>
              <w:rPr>
                <w:sz w:val="20"/>
                <w:szCs w:val="20"/>
                <w:color w:val="auto"/>
              </w:rPr>
            </w:pPr>
            <w:r>
              <w:rPr>
                <w:rFonts w:ascii="Arial" w:cs="Arial" w:eastAsia="Arial" w:hAnsi="Arial"/>
                <w:sz w:val="18"/>
                <w:szCs w:val="18"/>
                <w:color w:val="auto"/>
              </w:rPr>
              <w:t>Net income (annualized) to</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0.96%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Average common shareholders’ equity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0.88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380" w:type="dxa"/>
            <w:vAlign w:val="bottom"/>
          </w:tcPr>
          <w:p>
            <w:pPr>
              <w:spacing w:after="0"/>
              <w:rPr>
                <w:sz w:val="20"/>
                <w:szCs w:val="20"/>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0.87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interest income totaled $22.9 million during the third quarter of 2017, an increase of $2.9 million, or 14.6% from the year-ago period. This increase primarily reflects a $227.4 million increase in average interest-earning assets as well as a 15 basis point increase in our tax equivalent net interest income as a percent of average interest-earning assets (the “net interest margin”).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nine months of 2017, net interest income totaled $65.9 million, an increase of $6.5 million, or 10.9% from 2016. This increase primarily reflects a $184.9 million increase in average interest-earning assets as well as an 10 basis point increase in our net interest margin.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average interest-earning assets primarily reflects loan growth utilizing funds from increases in deposits and borrowed funds. The increase in the net interest margin reflects a change in the mix of average-interest earning assets (higher percentage of loans) as well as increases in short-term market interest rates.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interest income is also adversely impacted by our level of non-accrual loans. In the third quarter and first nine months of 2017 non-accrual loans averaged $8.6 million and $9.7 million, respectively compared to $10.7 million and $10.6 million, respectively for the same periods in 2016. In addition, in the third quarter and first nine months of 2017 we had net recoveries of $0.28 million and $0.90 million, respectively, of previously unpaid interest on loans placed on or taken off non-accrual during each period or on loans previously charged-off compared to net recoveries of $0.07 million and $0.75 million, respectively, during the same periods in 2016.</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760" w:type="dxa"/>
            <w:vAlign w:val="bottom"/>
            <w:gridSpan w:val="5"/>
          </w:tcPr>
          <w:p>
            <w:pPr>
              <w:ind w:left="7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180" w:type="dxa"/>
            <w:vAlign w:val="bottom"/>
          </w:tcPr>
          <w:p>
            <w:pPr>
              <w:spacing w:after="0"/>
              <w:rPr>
                <w:sz w:val="17"/>
                <w:szCs w:val="17"/>
                <w:color w:val="auto"/>
              </w:rPr>
            </w:pPr>
          </w:p>
        </w:tc>
        <w:tc>
          <w:tcPr>
            <w:tcW w:w="1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1,908,497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1,613,189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18,562</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3,138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3,492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474,901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534,319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2,537</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90,645</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58,694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29,336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0.85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15,543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15,347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2,522,060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25,659</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4.05</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2,294,644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33,019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34,565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2,697,362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2,482,002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531,226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1,425</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438,504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1,664,734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2,459</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0.59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1,499,932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736,291</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706,282</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31,263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265,074</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248,678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000" w:type="dxa"/>
            <w:vAlign w:val="bottom"/>
            <w:tcBorders>
              <w:top w:val="single" w:sz="8" w:color="CCEEFF"/>
            </w:tcBorders>
          </w:tcPr>
          <w:p>
            <w:pPr>
              <w:jc w:val="right"/>
              <w:ind w:right="30"/>
              <w:spacing w:after="0" w:line="201" w:lineRule="exact"/>
              <w:rPr>
                <w:sz w:val="20"/>
                <w:szCs w:val="20"/>
                <w:color w:val="auto"/>
              </w:rPr>
            </w:pPr>
            <w:r>
              <w:rPr>
                <w:rFonts w:ascii="Arial" w:cs="Arial" w:eastAsia="Arial" w:hAnsi="Arial"/>
                <w:sz w:val="18"/>
                <w:szCs w:val="18"/>
                <w:color w:val="auto"/>
              </w:rPr>
              <w:t>Total Liabilities and</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2,697,362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2,482,002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23,200</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20,193</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Net Interest Income as a Percent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of Average 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490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35%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Arial" w:cs="Arial" w:eastAsia="Arial" w:hAnsi="Arial"/>
                <w:sz w:val="18"/>
                <w:szCs w:val="18"/>
                <w:b w:val="1"/>
                <w:bCs w:val="1"/>
                <w:color w:val="auto"/>
                <w:w w:val="92"/>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540"/>
              <w:spacing w:after="0"/>
              <w:rPr>
                <w:sz w:val="20"/>
                <w:szCs w:val="20"/>
                <w:color w:val="auto"/>
              </w:rPr>
            </w:pPr>
            <w:r>
              <w:rPr>
                <w:rFonts w:ascii="Arial" w:cs="Arial" w:eastAsia="Arial" w:hAnsi="Arial"/>
                <w:sz w:val="18"/>
                <w:szCs w:val="18"/>
                <w:color w:val="auto"/>
              </w:rPr>
              <w:t>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760" w:type="dxa"/>
            <w:vAlign w:val="bottom"/>
            <w:gridSpan w:val="5"/>
          </w:tcPr>
          <w:p>
            <w:pPr>
              <w:ind w:left="7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180" w:type="dxa"/>
            <w:vAlign w:val="bottom"/>
          </w:tcPr>
          <w:p>
            <w:pPr>
              <w:spacing w:after="0"/>
              <w:rPr>
                <w:sz w:val="17"/>
                <w:szCs w:val="17"/>
                <w:color w:val="auto"/>
              </w:rPr>
            </w:pPr>
          </w:p>
        </w:tc>
        <w:tc>
          <w:tcPr>
            <w:tcW w:w="1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Interest</w:t>
            </w: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61,544</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1,577,758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55,255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3,410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3,564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499,886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532,576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7,261</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85,853</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2,264</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50,286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42,610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15,543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5.49</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15,456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2,439,683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73,120</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4.00</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2,254,761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64,883</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32,492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38,069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157,570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2,618,928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2,450,400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494,219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3,747</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435,146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2,689</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1,612,006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6,413</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1,501,278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4,975</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717,589</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677,645</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30,372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25,612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258,961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245,865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000" w:type="dxa"/>
            <w:vAlign w:val="bottom"/>
            <w:tcBorders>
              <w:top w:val="single" w:sz="8" w:color="CCEEFF"/>
            </w:tcBorders>
          </w:tcPr>
          <w:p>
            <w:pPr>
              <w:jc w:val="right"/>
              <w:ind w:right="30"/>
              <w:spacing w:after="0" w:line="201" w:lineRule="exact"/>
              <w:rPr>
                <w:sz w:val="20"/>
                <w:szCs w:val="20"/>
                <w:color w:val="auto"/>
              </w:rPr>
            </w:pPr>
            <w:r>
              <w:rPr>
                <w:rFonts w:ascii="Arial" w:cs="Arial" w:eastAsia="Arial" w:hAnsi="Arial"/>
                <w:sz w:val="18"/>
                <w:szCs w:val="18"/>
                <w:color w:val="auto"/>
              </w:rPr>
              <w:t>Total liabilities and</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2,618,928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2,450,400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66,707</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59,908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Net Interest Income as a Percent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of Average 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49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35%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5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w w:val="95"/>
              </w:rPr>
              <w:t>Reconciliation of Net Interest Margin, Fully Taxable Equivalent ("FTE")</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September 30,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w w:val="72"/>
              </w:rPr>
              <w:t>in</w:t>
            </w: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w w:val="72"/>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19,998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65,870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Add: taxable equivalent adjustment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837</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66,707</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tcPr>
          <w:p>
            <w:pPr>
              <w:spacing w:after="0" w:line="210" w:lineRule="exact"/>
              <w:rPr>
                <w:sz w:val="20"/>
                <w:szCs w:val="20"/>
                <w:color w:val="auto"/>
              </w:rPr>
            </w:pPr>
            <w:r>
              <w:rPr>
                <w:rFonts w:ascii="Arial" w:cs="Arial" w:eastAsia="Arial" w:hAnsi="Arial"/>
                <w:sz w:val="15"/>
                <w:szCs w:val="15"/>
                <w:color w:val="auto"/>
              </w:rPr>
              <w:t xml:space="preserve">Net interest margin (GAAP) </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3.61%</w:t>
            </w: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4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4"/>
                <w:szCs w:val="24"/>
                <w:color w:val="auto"/>
                <w:vertAlign w:val="superscript"/>
              </w:rPr>
              <w:t>(1)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3.65%</w:t>
            </w: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490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Provision for loan losses. </w:t>
      </w:r>
      <w:r>
        <w:rPr>
          <w:rFonts w:ascii="Arial" w:cs="Arial" w:eastAsia="Arial" w:hAnsi="Arial"/>
          <w:sz w:val="18"/>
          <w:szCs w:val="18"/>
          <w:color w:val="auto"/>
        </w:rPr>
        <w:t>The provision for loan losses was an expense of $0.6 million and a credit $0.2 million during the three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2017 and 2016, respectively. During the nine-month periods ended September 30, 2017 and 2016, the provision was an expense of $0.8 million and a credit of $1.4 million, respectively. The provision reflects our assessment of the allowance for loan losses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third quarter and first nine months of 2017.</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$10.3 million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2017 compared to $11.7 million in 2016. For the first nine months of 2017 non-interest income totaled $31.1 million compared to $29.1 million for the first nine months of 2016. The components of non-interest income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ind w:left="2060"/>
              <w:spacing w:after="0"/>
              <w:rPr>
                <w:sz w:val="20"/>
                <w:szCs w:val="20"/>
                <w:color w:val="auto"/>
              </w:rPr>
            </w:pPr>
            <w:r>
              <w:rPr>
                <w:rFonts w:ascii="Arial" w:cs="Arial" w:eastAsia="Arial" w:hAnsi="Arial"/>
                <w:sz w:val="18"/>
                <w:szCs w:val="18"/>
                <w:b w:val="1"/>
                <w:bCs w:val="1"/>
                <w:color w:val="auto"/>
              </w:rPr>
              <w:t>Non-Interest Income</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September 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5"/>
          </w:tcPr>
          <w:p>
            <w:pPr>
              <w:jc w:val="right"/>
              <w:ind w:right="8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5"/>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Interchange income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1,942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1,943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5,869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2,971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3,556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8,886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13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10,304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11,708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31,089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29,097</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6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Service charges on deposit accounts were unchanged on a comparative quarterly basis and increased on a year-to-date basis in 2017 as compared to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year-to-date increase was principally due to higher service charges on commercial accounts and a modest increase in non-sufficient funds occurrences.</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Interchange income was unchanged on a comparative quarterly basis and increased slightly on a year-to-date basis in 2017 as compared to 2016. The year-to-date increase is due primarily to increased debit card transaction activity.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gains on mortgage loans decreased on a comparative quarterly basis and increased on a year to date basis in 2017 as compared to 2016. Mortgage loan activity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1980"/>
              <w:spacing w:after="0"/>
              <w:rPr>
                <w:sz w:val="20"/>
                <w:szCs w:val="20"/>
                <w:color w:val="auto"/>
              </w:rPr>
            </w:pPr>
            <w:r>
              <w:rPr>
                <w:rFonts w:ascii="Arial" w:cs="Arial" w:eastAsia="Arial" w:hAnsi="Arial"/>
                <w:sz w:val="18"/>
                <w:szCs w:val="18"/>
                <w:b w:val="1"/>
                <w:bCs w:val="1"/>
                <w:color w:val="auto"/>
              </w:rPr>
              <w:t>Mortgage Loan Activity</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5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410"/>
              <w:spacing w:after="0"/>
              <w:rPr>
                <w:sz w:val="20"/>
                <w:szCs w:val="20"/>
                <w:color w:val="auto"/>
              </w:rPr>
            </w:pPr>
            <w:r>
              <w:rPr>
                <w:rFonts w:ascii="Arial" w:cs="Arial" w:eastAsia="Arial" w:hAnsi="Arial"/>
                <w:sz w:val="18"/>
                <w:szCs w:val="18"/>
                <w:color w:val="auto"/>
                <w:w w:val="89"/>
              </w:rPr>
              <w:t>Three months ended</w:t>
            </w:r>
          </w:p>
        </w:tc>
        <w:tc>
          <w:tcPr>
            <w:tcW w:w="24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color w:val="auto"/>
                <w:w w:val="89"/>
              </w:rPr>
              <w:t>Nine months ended</w:t>
            </w: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September 30,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color w:val="auto"/>
                <w:w w:val="88"/>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264,177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657,345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288,592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Mortgage loans sold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120,981</w:t>
            </w:r>
          </w:p>
        </w:tc>
        <w:tc>
          <w:tcPr>
            <w:tcW w:w="380" w:type="dxa"/>
            <w:vAlign w:val="bottom"/>
          </w:tcPr>
          <w:p>
            <w:pPr>
              <w:spacing w:after="0"/>
              <w:rPr>
                <w:sz w:val="18"/>
                <w:szCs w:val="18"/>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89,349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305,386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215,494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w w:val="99"/>
              </w:rPr>
              <w:t>Net gains as a percent of mortgage loans sold (“Loan Sales Margin”)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38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mortgage loan originations, sales and net gains (for the year-to-date period) in 2017 as compared to 2016 is due primarily to the expansion of our mortgage-banking operations. The decline in net gains in the third quarter of 2017 compared to the third quarter of 2016 was due to a decline in the Loan Sales Margin as described below.</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last quarter of 2016 and the first half of 2017, we significantly expanded our mortgage-banking operations by adding new employees and opening new loan production offices (Ann Arbor, Brighton, Dearborn, Grosse Pointe, Traverse City and Troy, Michigan and Columbus and Fairlawn, Ohio). Overall, we have increased average full-time equivalent employees in mortgage lending sales and operations by 80.8% and by 67.0%, in the third quarter and first nine months of 2017, respectively, over the same periods in 2016. This business expansion has increased net gains on mortgage loans (on a year-to-date basis) and has accelerated the growth of portfolio mortgage loans and mortgage loans serviced for others, leading to increased mortgage loan interest income and mortgage loan servicing revenue. However, this expansion has also increased non-interest expenses, particularly compensation and employee benefits and occupancy. In addition, due to higher interest rates, mortgage loan refinance volume has declined in 2017 on an industry-wide basis. It is important to our future results of operations that we effectively and successfully manage this business expansion.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Loan Sales Margin is impacted by several factors including competition and the manner in which the loan is sold. Net gains on mortgage loans are also impacted by recording fair value accounting adjustments. Excluding the aforementioned fair value accounting adjustments, the Loan Sales Margin would have been 2.68% and 3.43% in the third quarters of 2017 and 2016, respectively and 2.83% and 3.19% for the comparative 2017 and 2016 year-to-date periods, respectively. The decrease in the Loan Sales Margin (excluding fair value adjustments) in 2017 was generally due to a narrowing of primary-to-secondary market pricing spreads due to competitive factors throughout the mortgage banking industry (generally higher mortgage loan interest rates and a decline in refinance volume). The changes in the fair value accounting adjustments are primarily due to changes in the amount of commitments to originate mortgage loans for sale.</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gains (losses) on securities totaled $0.069 million and $0.062 million during the three and nine months ended September 30, 2017, respectively, and $(0.045) million and $0.302 million for the respective comparable periods in 2016. The third quarter 2017 securities net gains were due to a $0.061 million increase in the fair value of trading securities and $0.008 million of net gains on the sale of $1.8 million of investments. The year-to-date 2017 securities net gains were due to $0.125 million of net gains on the sale of $9.6 million of investments that were partially offset by a $0.063 million decrease in the fair value of trading securities. The third quarter 2016 securities net losses were primarily due to a $0.058 million decrease in the fair value of trading securities that was partially offset by $0.013 million of net gains on the sale of $1.1 million of investments. The year-to-date 2016 securities net gains were due primarily to net gains of $0.298 million on the sale of $56.5 million of investments. (See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We recorded no net impairment losses in either 2017 or 2016 for other than temporary impairment of securities available for sale. (See “Securities.”)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loan servicing generated income of $0.001 million and $0.858 million in the third quarters of 2017 and 2016, respectively. For the first nine months of 2017, mortgage loan servicing generated income of $0.668 million as compared to a loss of $0.454 million in 2016. This activity is summarized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440" w:type="dxa"/>
            <w:vAlign w:val="bottom"/>
            <w:gridSpan w:val="4"/>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9/30/2017</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9/30/2016</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9/30/2017</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9/30/2016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Mortgage loan servicing:</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(In thousands)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Fair value change due to price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 due to pay-downs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 recovery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on January 1, 2017, we adopted the fair value accounting method for capitalized mortgage loan servicing rights. Activity related to capitalized mortgage loan servicing rights is as follows: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14,515</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Change in accounting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 as adjusted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896</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14,675</w:t>
            </w:r>
          </w:p>
        </w:tc>
        <w:tc>
          <w:tcPr>
            <w:tcW w:w="140" w:type="dxa"/>
            <w:vAlign w:val="bottom"/>
          </w:tcPr>
          <w:p>
            <w:pPr>
              <w:spacing w:after="0"/>
              <w:rPr>
                <w:sz w:val="19"/>
                <w:szCs w:val="19"/>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11,048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14,675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Valuation allowance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4,748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2017 we were servicing approximately $1.77 billion in mortgage loans for others on which servicing rights have been capitalized. This servicing portfolio had a weighted average coupon rate of 4.18% and a weighted average service fee of approximately 25.8 basis points. Capitalized mortgage loan servicing rights at September 30, 2017 totaled $14.7 million, representing approximately 83 basis points on the related amount of mortgage loans serviced for others.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 and insurance commissions represent revenues generated on the sale or management of investments and insurance for our customers. These revenues increased on both a quarterly and year-to-date basis in 2017 as compared to 2016, due in part to increased product sales and growth in assets under management.</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bank owned life insurance was essentially unchanged on a comparative quarterly basis and declined on a year-to-date basis in 2017 compared to 2016. The year-to-date decline reflects a lower crediting rate on our cash surrender value. Our separate account is primarily invested in agency mortgage-backed securities and managed by PIMCO. The crediting rate (on which the earnings are based) reflects the performance of the separate account. The total cash surrender value of our bank owned life insurance was $54.3 million and $54.0 million at September 30, 2017 and December 31, 2016,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non-interest income declined on both a comparative quarterly and year-to-date basis in 2017 compared to 2016. These declines were due in part to lower ATM fees, check charges, rental income on other real estate and swap fees on commercial loans. In addition, the 2016 year-to-date period included a $0.2 million death benefit related to a life insurance policy on a former director.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Non-interest expense. </w:t>
      </w:r>
      <w:r>
        <w:rPr>
          <w:rFonts w:ascii="Arial" w:cs="Arial" w:eastAsia="Arial" w:hAnsi="Arial"/>
          <w:sz w:val="17"/>
          <w:szCs w:val="17"/>
          <w:color w:val="auto"/>
        </w:rPr>
        <w:t>Non-interest expense is an important component of our results of operations. We strive to efficiently manage our cost structure.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Non-interest expense increased by $0.1 million to $22.6 million and by $3.5 million to $68.9 million during the three- and nine-month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respectively, compared to the same periods in 2016. The components of non-interest expense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tcPr>
          <w:p>
            <w:pPr>
              <w:jc w:val="center"/>
              <w:ind w:right="520"/>
              <w:spacing w:after="0"/>
              <w:rPr>
                <w:sz w:val="20"/>
                <w:szCs w:val="20"/>
                <w:color w:val="auto"/>
              </w:rPr>
            </w:pPr>
            <w:r>
              <w:rPr>
                <w:rFonts w:ascii="Arial" w:cs="Arial" w:eastAsia="Arial" w:hAnsi="Arial"/>
                <w:sz w:val="18"/>
                <w:szCs w:val="18"/>
                <w:color w:val="auto"/>
                <w:w w:val="89"/>
              </w:rPr>
              <w:t>Nine months ended</w:t>
            </w:r>
          </w:p>
        </w:tc>
      </w:tr>
      <w:tr>
        <w:trPr>
          <w:trHeight w:val="216"/>
        </w:trPr>
        <w:tc>
          <w:tcPr>
            <w:tcW w:w="4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center"/>
              <w:ind w:right="520"/>
              <w:spacing w:after="0"/>
              <w:rPr>
                <w:sz w:val="20"/>
                <w:szCs w:val="20"/>
                <w:color w:val="auto"/>
              </w:rPr>
            </w:pPr>
            <w:r>
              <w:rPr>
                <w:rFonts w:ascii="Arial" w:cs="Arial" w:eastAsia="Arial" w:hAnsi="Arial"/>
                <w:sz w:val="18"/>
                <w:szCs w:val="18"/>
                <w:color w:val="auto"/>
                <w:w w:val="88"/>
              </w:rPr>
              <w:t>September 30,</w:t>
            </w:r>
          </w:p>
        </w:tc>
      </w:tr>
      <w:tr>
        <w:trPr>
          <w:trHeight w:val="237"/>
        </w:trPr>
        <w:tc>
          <w:tcPr>
            <w:tcW w:w="4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24,355</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2,409</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w:t>
            </w:r>
          </w:p>
        </w:tc>
      </w:tr>
      <w:tr>
        <w:trPr>
          <w:trHeight w:val="27"/>
        </w:trPr>
        <w:tc>
          <w:tcPr>
            <w:tcW w:w="49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Compensation and employee benefits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13,031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36,912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Data processing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1,971</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6,008</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Communications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670</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Advertising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Interchange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FDIC deposit insurance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Supplies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Credit card and bank service fees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Costs related to unfunded lending commitments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losses on other real estate and repossessed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 reimbursement on sold loans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3,602</w:t>
            </w:r>
          </w:p>
        </w:tc>
      </w:tr>
      <w:tr>
        <w:trPr>
          <w:trHeight w:val="25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expense</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22,529</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Compensation and employee benefits expenses, in total, increased $0.5 million on a quarterly comparative basis and increased $4.2 million for the first nine months of 2017 compared to the same periods in 2016.</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expense increased by $0.2 million and $2.5 million in the third quarter and first nine months of 2017, respectively, compared to the same periods in 2016. Average full-time equivalent employees (“FTEs”) increased by approximately 8.4% and 8.6% during the third quarter and first nine months of 2017, respectively, compared to the year ago periods, due primarily to our mortgage banking expansion. The impact of the FTE increase was moderated (particularly in the third quarter of 2017) by an increased amount of compensation that was deferred as direct loan origination costs due to higher loan origination levels.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Performance-based compensation increased by $0.3 million and $0.9 million in the third quarter and first nine months of 2017, respectively, versus the same periods in 2016, due primarily to relative comparative changes in the accrual for anticipated incentive compensation (including our mortgage loan officer retention program) based on our estimated full-year performance as compared to goals.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Payroll taxes and employee benefits increased by $0.1 million and $0.8 million in the third quarter and first nine months of 2017, respectively, compared to the same periods in 2016, due primarily to increases in payroll taxes, health insurance (year-to-date period only) and employee recruiting costs principally associated with our mortgage banking expansion.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net, increased by $0.05 million for both the third quarter and first nine months of 2017, respectively, compared to the same periods in 2016. These increases were primarily due to costs associated with the recently opened loan production offices mentioned earlier that were partially offset by reduced occupancy costs related to the sale of our payment plan processing business (Mepco).</w:t>
      </w:r>
    </w:p>
    <w:p>
      <w:pPr>
        <w:spacing w:after="0" w:line="20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Data processing expenses decreased by $0.2 million and $0.3 million in the third quarter and first nine months of 2017, respectively, compared to the same periods in 2016. These decreases are primarily due to the sale of our payment plan processing business (Mepco). The third quarter of 2017 also included a $0.1 million refund of certain previously billed and expensed costs from our core data processing vendor.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Furniture, fixtures and equipment expenses were relatively unchanged in 2017 as compared to 2016.</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expenses were relatively unchanged and decreased by $0.2 million in the third quarter and first nine months of 2017, respectively, compared to the same periods in 2016. The 2017 year-to-date decrease is due primarily to reduced mailing costs, as the first quarter of 2016 included expenses for mailing out new chip enabled debit cards and new deposit product information.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and collection expenses reflect costs related to new lending activity as well as the management and collection of non-performing loans and other problem credits. The quarterly and year-to-date comparative decreases in 2017 versus 2016 are primarily due to the reimbursement of previously incurred expenses related to the resolution and collection of non-accrual or previously charged-off loans. These declines were partially offset by costs related to new lending activity.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expenses increased on both a comparative quarterly and year-to-date basis in 2017 versus 2016, due primarily to direct mailing and strategic sponsorship costs.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Legal and professional fees increased on both a comparative quarterly and year-to-date basis in 2017 versus 2016, due primarily to an increase in outsourced internal audit costs, higher consulting fees related to a checking account program and higher legal fees principally associated with employment matters.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Interchange expense primarily represents our third-party cost to process debit card transactions. This cost increased slightly in 2017 on both a comparative quarterly and year-to-date basis due primarily to higher debit card transaction volume as described above.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FDIC deposit insurance expense increased slightly and decreased on a comparative quarterly and year-to-date basis, respectively, in 2017 versus 2016. The comparative quarterly increase was due primarily to growth in our total assets. The comparative year-to-date decrease reflects a decline in our premium rate that became effective in the third quarter of 2016. At June 30, 2016, the FDIC Deposit Insurance Fund reserve ratio reached 1.15%, which triggered a new assessment method and generally lower deposit insurance premiums for banks with less than $10 billion in assets.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Supplies expenses were relatively unchanged and decreased slightly on a comparative quarterly and year-to-date basis, respectively, in 2017 versus 2016. The comparative year-to-date decline was due primarily to initiatives with our various vendors to reduce these costs as well as internal “go green” efforts to reduce printing and paper costs.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Credit card and bank service fees decreased in 2017 versus 2016 on both a comparative quarterly and year-to-date basis primarily due to the sale of our payment plan processing business (Mepco).</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$1.7 million and $1.9 million at September 30, 2017 and December 31, 2016, respectively. See Note #7 to the Condensed Consolidated Financial Statements for a schedule of future amortization of intangible assets.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provision for loss reimbursement on sold loans was an expense of $0.015 million and $0.066 million in the third quarter and first nine months of 2017, respectively, compared to an expense of $0.045 million and $0.030 million in the third quarter and first nine months of 2016, respectively. This provision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reserve for loss reimbursements on sold mortgage loans totaled $0.56 million at both September 30, 2017 and December 31, 2016, respectively. This reserve is included in accrued expenses and other liabilities in our Condensed Consolidated Statements of Financial Condition.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non-interest expenses declined in both the third quarter and first nine months of 2017 compared to the same periods in 2016 due primarily to lower temporary employee and insurance costs and lower debit card fraud losses.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$3.2 million and $8.4 million in the third quarter and the first nine months of 2017,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compares to an income tax expense of $3.0 million and $7.5 million in the third quarter and the first nine months of 2016, respectively.</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Year-to-date 2016 included a $0.3 million income tax benefit resulting from the adoption of Financial Accounting Standards Board Accounting Standards Update 2016-09 “Compensation – Stock Compensation (718) Improvements to Employee Share-Based Payment Accounting” (“ASU 2016-09”) during the second quarter.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20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2017 and 2016 and at December 31, 2016, that the realization of substantially all of our deferred tax assets continues to be more likely than not.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maintained a valuation allowance against our deferred tax assets of approximately $1.1 million at December 31, 2016. This valuation allowance on our deferred tax assets related to state income taxes at Mepco. In this instance, we determined that the future realization of these particular deferred tax assets was not more likely than not. That conclusion was based on the pending sale of Mepco’s payment plan business. After accounting for the May 2017 sale of our payment plan business, all that remained of these deferred tax assets were loss carryforwards that we wrote off against the related valuation allowance as of June 30, 2017 as we will no longer be doing business in those states.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w:t>
      </w:r>
    </w:p>
    <w:p>
      <w:pPr>
        <w:spacing w:after="0" w:line="25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Summary. </w:t>
      </w:r>
      <w:r>
        <w:rPr>
          <w:rFonts w:ascii="Arial" w:cs="Arial" w:eastAsia="Arial" w:hAnsi="Arial"/>
          <w:sz w:val="16"/>
          <w:szCs w:val="16"/>
          <w:color w:val="auto"/>
        </w:rPr>
        <w:t>Our total assets increased by $204.5 million during the first nine months of 2017. Loans, excluding loans held for sale ("Portfolio Loans"),</w:t>
      </w:r>
      <w:r>
        <w:rPr>
          <w:rFonts w:ascii="Arial" w:cs="Arial" w:eastAsia="Arial" w:hAnsi="Arial"/>
          <w:sz w:val="16"/>
          <w:szCs w:val="16"/>
          <w:b w:val="1"/>
          <w:bCs w:val="1"/>
          <w:color w:val="auto"/>
        </w:rPr>
        <w:t xml:space="preserve"> </w:t>
      </w:r>
      <w:r>
        <w:rPr>
          <w:rFonts w:ascii="Arial" w:cs="Arial" w:eastAsia="Arial" w:hAnsi="Arial"/>
          <w:sz w:val="16"/>
          <w:szCs w:val="16"/>
          <w:color w:val="auto"/>
        </w:rPr>
        <w:t>totaled $1.94 billion at September 30, 2017, an increase of $328.8 million, or 20.4%, from December 31, 2016. (See "Portfolio Loans and asset quality.")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Deposits totaled $2.34 billion at September 30, 2017, compared to $2.23 billion at December 31, 2016. The $118.0 million increase in total deposits during the period reflects growth in all categories, except time deposits, which declined by $41.3 million. The decline in time deposits primarily reflects maturities with one municipal customer, where we elected to allow the deposits to run-off rather than rebidding for these funds.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vMerge w:val="restart"/>
          </w:tcPr>
          <w:p>
            <w:pPr>
              <w:ind w:left="620"/>
              <w:spacing w:after="0"/>
              <w:rPr>
                <w:sz w:val="20"/>
                <w:szCs w:val="20"/>
                <w:color w:val="auto"/>
              </w:rPr>
            </w:pPr>
            <w:r>
              <w:rPr>
                <w:rFonts w:ascii="Arial" w:cs="Arial" w:eastAsia="Arial" w:hAnsi="Arial"/>
                <w:sz w:val="18"/>
                <w:szCs w:val="18"/>
                <w:color w:val="auto"/>
                <w:w w:val="92"/>
              </w:rPr>
              <w:t>Unrealized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8"/>
              </w:rPr>
              <w:t>Amortized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Fair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gridSpan w:val="2"/>
            <w:vMerge w:val="restart"/>
          </w:tcPr>
          <w:p>
            <w:pPr>
              <w:ind w:left="580"/>
              <w:spacing w:after="0"/>
              <w:rPr>
                <w:sz w:val="20"/>
                <w:szCs w:val="20"/>
                <w:color w:val="auto"/>
              </w:rPr>
            </w:pPr>
            <w:r>
              <w:rPr>
                <w:rFonts w:ascii="Arial" w:cs="Arial" w:eastAsia="Arial" w:hAnsi="Arial"/>
                <w:sz w:val="18"/>
                <w:szCs w:val="18"/>
                <w:color w:val="auto"/>
              </w:rPr>
              <w:t>Securities available for sale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30"/>
              <w:spacing w:after="0"/>
              <w:rPr>
                <w:sz w:val="20"/>
                <w:szCs w:val="20"/>
                <w:color w:val="auto"/>
              </w:rPr>
            </w:pPr>
            <w:r>
              <w:rPr>
                <w:rFonts w:ascii="Arial" w:cs="Arial" w:eastAsia="Arial" w:hAnsi="Arial"/>
                <w:sz w:val="17"/>
                <w:szCs w:val="17"/>
                <w:color w:val="auto"/>
                <w:w w:val="73"/>
              </w:rPr>
              <w:t>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2017</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545,672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4"/>
              </w:rPr>
              <w:t>5,023</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615,709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w w:val="84"/>
              </w:rPr>
              <w:t>2,548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ASU 2017-08 during the first quarter of 2017 using a modified retrospective approach. As a result, the amortized cost of securities as of January 1, 2017 was adjusted lower by $0.46 million (see note #2).</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available for sale declined by $61.8 million during the first nine months of 2017 as these funds were utilized to support net Portfolio Loan growth.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We recorded no impairment losses related to other than temporary impairment on securities available for sale in either the first nine months of 2017 or 2016.</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52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40" w:type="dxa"/>
            <w:vAlign w:val="bottom"/>
            <w:gridSpan w:val="3"/>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gridSpan w:val="7"/>
          </w:tcPr>
          <w:p>
            <w:pPr>
              <w:jc w:val="right"/>
              <w:ind w:right="7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 w:type="dxa"/>
            <w:vAlign w:val="bottom"/>
            <w:vMerge w:val="restart"/>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w w:val="86"/>
              </w:rPr>
              <w:t>September 30,</w:t>
            </w:r>
          </w:p>
        </w:tc>
        <w:tc>
          <w:tcPr>
            <w:tcW w:w="780" w:type="dxa"/>
            <w:vAlign w:val="bottom"/>
            <w:vMerge w:val="restart"/>
          </w:tcPr>
          <w:p>
            <w:pPr>
              <w:jc w:val="right"/>
              <w:ind w:right="330"/>
              <w:spacing w:after="0"/>
              <w:rPr>
                <w:sz w:val="20"/>
                <w:szCs w:val="20"/>
                <w:color w:val="auto"/>
              </w:rPr>
            </w:pPr>
            <w:r>
              <w:rPr>
                <w:rFonts w:ascii="Arial" w:cs="Arial" w:eastAsia="Arial" w:hAnsi="Arial"/>
                <w:sz w:val="18"/>
                <w:szCs w:val="18"/>
                <w:color w:val="auto"/>
                <w:w w:val="84"/>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4"/>
              </w:rPr>
              <w:t>(In</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w w:val="71"/>
              </w:rPr>
              <w:t>thousands)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vMerge w:val="restart"/>
          </w:tcPr>
          <w:p>
            <w:pPr>
              <w:spacing w:after="0"/>
              <w:rPr>
                <w:sz w:val="17"/>
                <w:szCs w:val="17"/>
                <w:color w:val="auto"/>
              </w:rPr>
            </w:pPr>
          </w:p>
        </w:tc>
        <w:tc>
          <w:tcPr>
            <w:tcW w:w="256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0" w:type="dxa"/>
            <w:vAlign w:val="bottom"/>
            <w:vMerge w:val="continue"/>
          </w:tcPr>
          <w:p>
            <w:pPr>
              <w:spacing w:after="0"/>
              <w:rPr>
                <w:sz w:val="22"/>
                <w:szCs w:val="22"/>
                <w:color w:val="auto"/>
              </w:rPr>
            </w:pPr>
          </w:p>
        </w:tc>
        <w:tc>
          <w:tcPr>
            <w:tcW w:w="2560" w:type="dxa"/>
            <w:vAlign w:val="bottom"/>
            <w:vMerge w:val="continue"/>
          </w:tcPr>
          <w:p>
            <w:pPr>
              <w:spacing w:after="0"/>
              <w:rPr>
                <w:sz w:val="22"/>
                <w:szCs w:val="2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Proceeds (1)</w:t>
            </w:r>
          </w:p>
        </w:tc>
        <w:tc>
          <w:tcPr>
            <w:tcW w:w="1360" w:type="dxa"/>
            <w:vAlign w:val="bottom"/>
            <w:gridSpan w:val="2"/>
            <w:shd w:val="clear" w:color="auto" w:fill="CCEEFF"/>
          </w:tcPr>
          <w:p>
            <w:pPr>
              <w:jc w:val="right"/>
              <w:ind w:right="6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9,594</w:t>
            </w:r>
          </w:p>
        </w:tc>
        <w:tc>
          <w:tcPr>
            <w:tcW w:w="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56,451</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2560" w:type="dxa"/>
            <w:vAlign w:val="bottom"/>
            <w:vMerge w:val="restart"/>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256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1360" w:type="dxa"/>
            <w:vAlign w:val="bottom"/>
            <w:gridSpan w:val="2"/>
            <w:shd w:val="clear" w:color="auto" w:fill="CCEEFF"/>
          </w:tcPr>
          <w:p>
            <w:pPr>
              <w:jc w:val="right"/>
              <w:ind w:right="6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Gross losses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charges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Fair value adjustments</w:t>
            </w: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gains</w:t>
            </w:r>
          </w:p>
        </w:tc>
        <w:tc>
          <w:tcPr>
            <w:tcW w:w="5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2017 includes $0.760 million for trades that did not settle until after September 30, 2017.</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Portfolio Loans and asset quality. </w:t>
      </w:r>
      <w:r>
        <w:rPr>
          <w:rFonts w:ascii="Arial" w:cs="Arial" w:eastAsia="Arial" w:hAnsi="Arial"/>
          <w:sz w:val="18"/>
          <w:szCs w:val="18"/>
          <w:color w:val="auto"/>
        </w:rPr>
        <w:t>In addition to the communities served by our Bank branch and loan production office network, our principal lending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than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jumbo mortgage loans in the future.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30"/>
          <w:szCs w:val="30"/>
          <w:b w:val="1"/>
          <w:bCs w:val="1"/>
          <w:color w:val="auto"/>
          <w:vertAlign w:val="superscript"/>
        </w:rPr>
        <w:t>(1)</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color w:val="auto"/>
                <w:w w:val="89"/>
              </w:rPr>
              <w:t>September 30,</w:t>
            </w:r>
          </w:p>
        </w:tc>
        <w:tc>
          <w:tcPr>
            <w:tcW w:w="6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8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real estate and repossessed assets</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As a percent of Portfolio Loans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Non-performing loans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r>
      <w:tr>
        <w:trPr>
          <w:trHeight w:val="216"/>
        </w:trPr>
        <w:tc>
          <w:tcPr>
            <w:tcW w:w="20" w:type="dxa"/>
            <w:vAlign w:val="bottom"/>
          </w:tcPr>
          <w:p>
            <w:pPr>
              <w:spacing w:after="0"/>
              <w:rPr>
                <w:sz w:val="18"/>
                <w:szCs w:val="18"/>
                <w:color w:val="auto"/>
              </w:rPr>
            </w:pPr>
          </w:p>
        </w:tc>
        <w:tc>
          <w:tcPr>
            <w:tcW w:w="7480" w:type="dxa"/>
            <w:vAlign w:val="bottom"/>
          </w:tcPr>
          <w:p>
            <w:pPr>
              <w:ind w:left="140"/>
              <w:spacing w:after="0"/>
              <w:rPr>
                <w:sz w:val="20"/>
                <w:szCs w:val="20"/>
                <w:color w:val="auto"/>
              </w:rPr>
            </w:pPr>
            <w:r>
              <w:rPr>
                <w:rFonts w:ascii="Arial" w:cs="Arial" w:eastAsia="Arial" w:hAnsi="Arial"/>
                <w:sz w:val="18"/>
                <w:szCs w:val="18"/>
                <w:color w:val="auto"/>
              </w:rPr>
              <w:t>Allowance for loan losses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151.41</w:t>
            </w:r>
          </w:p>
        </w:tc>
        <w:tc>
          <w:tcPr>
            <w:tcW w:w="180" w:type="dxa"/>
            <w:vAlign w:val="bottom"/>
          </w:tcPr>
          <w:p>
            <w:pPr>
              <w:spacing w:after="0"/>
              <w:rPr>
                <w:sz w:val="20"/>
                <w:szCs w:val="20"/>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Excludes loans classified as “troubled debt restructured” that are not past due and vehicle service contract counterparty receivables, net.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loans decreased by $5.0 million, or 37.1%, during the first nine months of 2017. This decline primarily reflects the pay-off or liquidation of non-performing commercial loans. In general, stable economic conditions in our market areas, as well as our collection and resolution efforts, have resulted in a downward trend in non-performing loans. However, we are still experiencing some loan defaults, particularly related to commercial loans secured by income-producing property and mortgage loans secured by resort/vacation property.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$63.2 million, or 3.3% of total Portfolio Loans, and $70.3 million, or 4.4% of total Portfolio Loans, at September 30, 2017 and December 31, 2016, respectively. The decrease in the amount of performing TDRs in the first nine months of 2017 primarily reflects pay-downs and payoffs. See Note #4 to the Condensed Consolidated Financial Statements for additional information on TDRs.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real estate and repossessed assets totaled $2.2 million at September 30, 2017, compared to $5.0 million at December 31, 2016. This decrease is primarily the result of the sale of a group of commercial properties in the second quarter of 2017.</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ratio of loan net charge-offs to average Portfolio Loans was a negative 0.03% (as a result of net recoveries) on an annualized basis in the first nine months of 2017 compared to a negative 0.08% in the first nine months of 2016. The $0.5 million decrease in total loan net recoveries is due to a decline in commercial loan net recoveries.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54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Allowance for loan losses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6"/>
          </w:tcPr>
          <w:p>
            <w:pPr>
              <w:jc w:val="center"/>
              <w:ind w:left="110"/>
              <w:spacing w:after="0"/>
              <w:rPr>
                <w:sz w:val="20"/>
                <w:szCs w:val="20"/>
                <w:color w:val="auto"/>
              </w:rPr>
            </w:pPr>
            <w:r>
              <w:rPr>
                <w:rFonts w:ascii="Arial" w:cs="Arial" w:eastAsia="Arial" w:hAnsi="Arial"/>
                <w:sz w:val="18"/>
                <w:szCs w:val="18"/>
                <w:color w:val="auto"/>
                <w:w w:val="89"/>
              </w:rPr>
              <w:t>Nine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5"/>
            <w:vMerge w:val="restart"/>
          </w:tcPr>
          <w:p>
            <w:pPr>
              <w:jc w:val="right"/>
              <w:ind w:right="230"/>
              <w:spacing w:after="0"/>
              <w:rPr>
                <w:sz w:val="20"/>
                <w:szCs w:val="20"/>
                <w:color w:val="auto"/>
              </w:rPr>
            </w:pPr>
            <w:r>
              <w:rPr>
                <w:rFonts w:ascii="Arial" w:cs="Arial" w:eastAsia="Arial" w:hAnsi="Arial"/>
                <w:sz w:val="18"/>
                <w:szCs w:val="18"/>
                <w:color w:val="auto"/>
              </w:rPr>
              <w:t>2017</w:t>
            </w:r>
          </w:p>
        </w:tc>
        <w:tc>
          <w:tcPr>
            <w:tcW w:w="1640" w:type="dxa"/>
            <w:vAlign w:val="bottom"/>
            <w:gridSpan w:val="6"/>
          </w:tcPr>
          <w:p>
            <w:pPr>
              <w:jc w:val="center"/>
              <w:ind w:left="110"/>
              <w:spacing w:after="0"/>
              <w:rPr>
                <w:sz w:val="20"/>
                <w:szCs w:val="20"/>
                <w:color w:val="auto"/>
              </w:rPr>
            </w:pPr>
            <w:r>
              <w:rPr>
                <w:rFonts w:ascii="Arial" w:cs="Arial" w:eastAsia="Arial" w:hAnsi="Arial"/>
                <w:sz w:val="18"/>
                <w:szCs w:val="18"/>
                <w:color w:val="auto"/>
                <w:w w:val="88"/>
              </w:rPr>
              <w:t>September 30,</w:t>
            </w:r>
          </w:p>
        </w:tc>
        <w:tc>
          <w:tcPr>
            <w:tcW w:w="980" w:type="dxa"/>
            <w:vAlign w:val="bottom"/>
            <w:gridSpan w:val="4"/>
            <w:vMerge w:val="restart"/>
          </w:tcPr>
          <w:p>
            <w:pPr>
              <w:jc w:val="right"/>
              <w:ind w:right="37"/>
              <w:spacing w:after="0"/>
              <w:rPr>
                <w:sz w:val="20"/>
                <w:szCs w:val="20"/>
                <w:color w:val="auto"/>
              </w:rPr>
            </w:pPr>
            <w:r>
              <w:rPr>
                <w:rFonts w:ascii="Arial" w:cs="Arial" w:eastAsia="Arial" w:hAnsi="Arial"/>
                <w:sz w:val="18"/>
                <w:szCs w:val="18"/>
                <w:color w:val="auto"/>
              </w:rPr>
              <w:t>2016</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Unfunded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Commitments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3"/>
              </w:rPr>
              <w:t>Loans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gridSpan w:val="8"/>
          </w:tcPr>
          <w:p>
            <w:pPr>
              <w:jc w:val="center"/>
              <w:ind w:right="580"/>
              <w:spacing w:after="0"/>
              <w:rPr>
                <w:sz w:val="20"/>
                <w:szCs w:val="20"/>
                <w:color w:val="auto"/>
              </w:rPr>
            </w:pPr>
            <w:r>
              <w:rPr>
                <w:rFonts w:ascii="Arial" w:cs="Arial" w:eastAsia="Arial" w:hAnsi="Arial"/>
                <w:sz w:val="18"/>
                <w:szCs w:val="18"/>
                <w:color w:val="auto"/>
                <w:w w:val="91"/>
              </w:rPr>
              <w:t>(Dollars in thousands)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20,234</w:t>
            </w:r>
          </w:p>
        </w:tc>
        <w:tc>
          <w:tcPr>
            <w:tcW w:w="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22,570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Additions (deductions)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Recoveries credited to allowance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2,998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3,623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Additions included in non-interest expense</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22,043</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Net loans charged against the allowance to average Portfolio Loans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Allocation of the Allowance for Loan Losses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right"/>
              <w:ind w:right="110"/>
              <w:spacing w:after="0"/>
              <w:rPr>
                <w:sz w:val="20"/>
                <w:szCs w:val="20"/>
                <w:color w:val="auto"/>
              </w:rPr>
            </w:pPr>
            <w:r>
              <w:rPr>
                <w:rFonts w:ascii="Arial" w:cs="Arial" w:eastAsia="Arial" w:hAnsi="Arial"/>
                <w:sz w:val="18"/>
                <w:szCs w:val="18"/>
                <w:color w:val="auto"/>
                <w:w w:val="94"/>
              </w:rPr>
              <w:t>September 30,</w:t>
            </w:r>
          </w:p>
        </w:tc>
        <w:tc>
          <w:tcPr>
            <w:tcW w:w="1640" w:type="dxa"/>
            <w:vAlign w:val="bottom"/>
            <w:gridSpan w:val="6"/>
          </w:tcPr>
          <w:p>
            <w:pPr>
              <w:jc w:val="center"/>
              <w:ind w:right="220"/>
              <w:spacing w:after="0"/>
              <w:rPr>
                <w:sz w:val="20"/>
                <w:szCs w:val="20"/>
                <w:color w:val="auto"/>
              </w:rPr>
            </w:pPr>
            <w:r>
              <w:rPr>
                <w:rFonts w:ascii="Arial" w:cs="Arial" w:eastAsia="Arial" w:hAnsi="Arial"/>
                <w:sz w:val="18"/>
                <w:szCs w:val="18"/>
                <w:color w:val="auto"/>
                <w:w w:val="90"/>
              </w:rPr>
              <w:t>December 31,</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4"/>
          </w:tcPr>
          <w:p>
            <w:pPr>
              <w:jc w:val="right"/>
              <w:ind w:right="1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4"/>
          </w:tcPr>
          <w:p>
            <w:pPr>
              <w:jc w:val="right"/>
              <w:ind w:right="300"/>
              <w:spacing w:after="0"/>
              <w:rPr>
                <w:sz w:val="20"/>
                <w:szCs w:val="20"/>
                <w:color w:val="auto"/>
              </w:rPr>
            </w:pPr>
            <w:r>
              <w:rPr>
                <w:rFonts w:ascii="Arial" w:cs="Arial" w:eastAsia="Arial" w:hAnsi="Arial"/>
                <w:sz w:val="18"/>
                <w:szCs w:val="18"/>
                <w:color w:val="auto"/>
                <w:w w:val="95"/>
              </w:rPr>
              <w:t>(In thousands)</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7,061</w:t>
            </w:r>
          </w:p>
        </w:tc>
        <w:tc>
          <w:tcPr>
            <w:tcW w:w="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792</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6,540</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Additional allocations based on subjective factors</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7,085</w:t>
            </w: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21,478</w:t>
            </w:r>
          </w:p>
        </w:tc>
        <w:tc>
          <w:tcPr>
            <w:tcW w:w="8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20,234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loan losses increased $1.2 million to $21.5 million at September 30, 2017 from $20.2 million at December 31, 2016 and was equal to 1.11% of total Portfolio Loans at September 30, 2017 compared to 1.26% at December 31, 2016.</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Three of the four components of the allowance for loan losses outlined above increased in the first nine months of 2017. The allowance for loan losses related to specific loans decreased $2.1 million in 2017 due primarily to a decline in the balance of individually impaired loans as well as charge-offs. In particular, we received a full payoff in March 2017 on a commercial loan that had a specific reserve of $1.2 million at December 31, 2016. The allowance for loan losses related to other adversely rated commercial loans increased $0.3 million in 2017 primarily due to an increase in the balance of such loans included in this component to $23.2 million at September 30, 2017 from $11.8 million at December 31, 2016. The allowance for loan losses related to historical losses increased $1.6 million during 2017 due principally to slight upward adjustments in our probability of default and expected loss rates for commercial loans, an additional component of approximately $0.6 million added for loans secured by commercial real estate due primarily to emerging risks in this sector (such as retail store closings and potential overdevelopment in certain markets) and loan growth. We also extended our historical lookback period to be more representative of the probability of default and account for infrequent migration events and extremely low levels of watch credits. The allowance for loan losses related to subjective factors increased $1.4 million during 2017 primarily due to loan growth.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comparison, two of the four components of the allowance for loan losses outlined above declined in the first nine months of 2016. The allowance for loan losses related to specific loans decreased $0.6 million in 2016 due primarily to a $7.0 million decline in the balance of individually impaired loans as well as charge-offs. The allowance for loan losses related to other adversely rated commercial loans decreased $0.5 million in 2016 primarily due to a decrease in the balance of such loans included in this component to $13.8 million at September 30, 2016 from $27.8 million at December 31, 2015. The allowance for loan losses related to historical losses increased $0.3 million during 2016 due principally to loan growth. The allowance for loan losses related to subjective factors increased $0.3 million during 2016 also primarily due to overall growth of the loan portfolio.</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Deposits and borrowings. </w:t>
      </w:r>
      <w:r>
        <w:rPr>
          <w:rFonts w:ascii="Arial" w:cs="Arial" w:eastAsia="Arial" w:hAnsi="Arial"/>
          <w:sz w:val="17"/>
          <w:szCs w:val="17"/>
          <w:color w:val="auto"/>
        </w:rPr>
        <w:t>Historically, the loyalty of our customer base has allowed us to price deposits competitively, contributing to a net interest margin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Deposits totaled $2.34 billion and $2.23 billion at September 30, 2017 and December 31, 2016, respectively. The $118.0 million increase in deposits in the first nine months of 2017 is due to growth in all categories of deposits, except time deposits. Reciprocal deposits totaled $49.1 million and $38.7 million at September 30, 2017 and December 31, 2016, respectively. These deposits represent demand, money market and time deposits from our customers that have been placed through Promontory Interfinancial Network’s Insured Cash Sweep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service and Certificate of Deposit Account Registry Service</w:t>
      </w:r>
      <w:r>
        <w:rPr>
          <w:rFonts w:ascii="Arial" w:cs="Arial" w:eastAsia="Arial" w:hAnsi="Arial"/>
          <w:sz w:val="30"/>
          <w:szCs w:val="30"/>
          <w:color w:val="auto"/>
          <w:vertAlign w:val="superscript"/>
        </w:rPr>
        <w:t>®</w:t>
      </w:r>
      <w:r>
        <w:rPr>
          <w:rFonts w:ascii="Arial" w:cs="Arial" w:eastAsia="Arial" w:hAnsi="Arial"/>
          <w:sz w:val="18"/>
          <w:szCs w:val="18"/>
          <w:color w:val="auto"/>
        </w:rPr>
        <w:t>. These services allow our customers to access multi-million dollar FDIC deposit insurance on deposit balances greater than the standard FDIC insurance maximum. We also added $87.6 million of brokered time deposits during the first nine months of 2017. This increase, replaced in part, the run-off of time deposits with one municipal customer as described earlier.</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September 30, 2017, we had approximately $557.9 million of uninsured deposits. A reduction in core deposits would likely increase our need to rely on wholesale funding sources.</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Other borrowings, comprised almost entirely of advances from the Federal Home Loan Bank (the “FHLB”), totaled $72.8 million and $9.4 million at September 30, 2017 and December 31, 2016, respectively. The increase in other borrowings during the first nine months of 2017 was utilized to fund Portfolio Loan growth.</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described above, we utilize wholesale funding, including FHLB borrowings and Brokered CDs to augment our core deposits and fund a portion of our assets. At September 30, 2017, our use of such wholesale funding sources (including reciprocal deposits) amounted to approximately $212.5 million, or 8.8%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We discontinued the active use of derivative financial instruments during 2008. We began to again utilize interest-rate swaps in 2014, primarily relating to our commercial lending activities. During the first nine months of 2017 and 2016, we entered into $14.6 million and $23.0 million (aggregate notional amounts), respectively, of interest rate swaps with commercial loan customers, which were offset with interest rate swaps that the Bank entered into with a broker-dealer. We recorded $0.2 million and $0.4 million of fee income related to these transactions during the first nine months of 2017 and 2016, respectively. In September 2017 we also entered into a $15.0 million (notional amount) pay fixed interest rate swap that matures in September 2021. This fixed pay interest rate swap is hedging short-term Brokered CDs.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federal funds purchased borrowing facilities with other commercial banks, and access to the capital markets (for Brokered CDs).</w:t>
      </w:r>
    </w:p>
    <w:p>
      <w:pPr>
        <w:spacing w:after="0" w:line="197"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At September 30, 2017, we had $432.2 million of time deposits that mature in the next 12 months. Historically, a majority of these maturing time deposits are renewed by our customers. Additionally, $1.81 billion of our deposits at September 30, 2017,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short-term assets with maturities less than 30 days and loans held for sale) to total assets, short-term liability dependence and basic surplus (defined as quick assets compared to short-term liabilities). Policy limits have been established for our various liquidity measurements and are monitored on a monthly basis. In addition, we also prepare cash flow forecasts that include a variety of different scenarios.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$23.4 million as of September 30, 2017 provides sufficient liquidity resources at the parent company to meet operating expenses, to make interest payments on the subordinated debentures and to pay a cash dividend on our common stock for the foreseeable future.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80" w:type="dxa"/>
            <w:vAlign w:val="bottom"/>
            <w:gridSpan w:val="3"/>
          </w:tcPr>
          <w:p>
            <w:pPr>
              <w:jc w:val="right"/>
              <w:ind w:right="115"/>
              <w:spacing w:after="0"/>
              <w:rPr>
                <w:sz w:val="20"/>
                <w:szCs w:val="20"/>
                <w:color w:val="auto"/>
              </w:rPr>
            </w:pPr>
            <w:r>
              <w:rPr>
                <w:rFonts w:ascii="Arial" w:cs="Arial" w:eastAsia="Arial" w:hAnsi="Arial"/>
                <w:sz w:val="18"/>
                <w:szCs w:val="18"/>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308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35,569</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Shareholders’ equity</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323,745</w:t>
            </w: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(53,240)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(65,657)</w:t>
            </w: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8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267,710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248,980</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capitalization</w:t>
            </w:r>
          </w:p>
        </w:tc>
        <w:tc>
          <w:tcPr>
            <w:tcW w:w="2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three special purpose entities with $34.5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2017 and December 31, 2016.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Common shareholders’ equity increased to $267.7 million at September 30, 2017 from $249.0 million at December 31, 2016 due primarily to our net income and a decline in our accumulated other comprehensive loss that were partially offset by dividends that we paid. Our tangible common equity (“TCE”) totaled $266.0 million and $247.0 million, respectively, at those same dates. Our ratio of TCE to tangible assets was 9.67% and 9.70% at September 30, 2017 and December 31, 2016, respectively. TCE and the ratio of TCE to tangible assets are non-GAAP measures. TCE represents total common equity less intangible assets.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23, 2017, our Board of Directors authorized a share repurchase plan. Under the terms of the 2017 share repurchase plan, we are authorized to buy back up to 5% of our outstanding common stock. This repurchase plan is authorized to last through December 31, 2017. We did not repurchase any shares during the first nine months of 2017.</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and 2016, our Board of Directors increased the quarterly cash dividend on our common stock to 12 cents and ten cents per share, respectively.</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2017 and December 31, 2016, our Bank (and holding company) continued to meet the requirements to be considered “well-capitalized” under federal regulatory standards (also see note #10 to the Condensed Consolidated Financial Statements included within this report).</w:t>
      </w:r>
    </w:p>
    <w:p>
      <w:pPr>
        <w:spacing w:after="0" w:line="17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financial instruments, including caps on adjustable-rate loans as well as borrowers’ rights to prepay fixed-rate loans, also create interest-rate risk.</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Market Value</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Change in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Of Portfolio</w:t>
            </w:r>
          </w:p>
        </w:tc>
        <w:tc>
          <w:tcPr>
            <w:tcW w:w="1460" w:type="dxa"/>
            <w:vAlign w:val="bottom"/>
            <w:gridSpan w:val="2"/>
          </w:tcPr>
          <w:p>
            <w:pPr>
              <w:jc w:val="right"/>
              <w:ind w:right="53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Net Interest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Rates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Equity(1)</w:t>
            </w:r>
          </w:p>
        </w:tc>
        <w:tc>
          <w:tcPr>
            <w:tcW w:w="1460" w:type="dxa"/>
            <w:vAlign w:val="bottom"/>
            <w:gridSpan w:val="2"/>
          </w:tcPr>
          <w:p>
            <w:pPr>
              <w:jc w:val="right"/>
              <w:ind w:right="53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Income(2)</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w w:val="85"/>
              </w:rPr>
              <w:t>in</w:t>
            </w: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(Dollars</w:t>
            </w:r>
          </w:p>
        </w:tc>
        <w:tc>
          <w:tcPr>
            <w:tcW w:w="340" w:type="dxa"/>
            <w:vAlign w:val="bottom"/>
            <w:vMerge w:val="continue"/>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410,500</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415,900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410,600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379,800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87,000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427,400</w:t>
            </w:r>
          </w:p>
        </w:tc>
        <w:tc>
          <w:tcPr>
            <w:tcW w:w="1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417,800</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82,500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399,800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366,000</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73,500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4490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56"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40" w:hanging="332"/>
        <w:spacing w:after="0" w:line="290"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financial statements.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Trading securities, securities available for sale, loans held for sale, derivatives and capitalized mortgage loan servicing rights (as of January 1, 2017) are financial instruments recorded at fair value on a recurring basis. Additionally, from time to time, we may be required to record at fair value other financial assets on a nonrecurring basis, such as loans held for investment, capitalized mortgage loan servicing rights (prior to 2017) and certain other assets. These nonrecurring fair value adjustments typically involve application of lower of cost or market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“Recent Developments” we settled a litigation matter in December 2016 and recorded a $2.3 million expense in the fourth quarter of 2016. We are also involved in various other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AFLL, capitalized mortgage loan servicing rights,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2016.</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2"/>
          <w:szCs w:val="12"/>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2017, have concluded that, as of such date, our disclosure controls and procedures were effective.</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During the quarter ended September 30, 2017, there were no changes in our internal control over financial reporting that materially affected, or are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Risk Factors of our Annual Report on Form 10-K for the year ended December 31, 2016.</w:t>
      </w:r>
    </w:p>
    <w:p>
      <w:pPr>
        <w:spacing w:after="0" w:line="2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2017, the Company issued 677 shares of common stock to non-employee directors on a current basis and 1,697 shares of common stock to the trust for distribution to directors on a deferred basis. 1,705 shares were issued on July 1, 2017, at a price of $21.75 per share and 669 shares were issued on July 19, 2017 at a price of $21.30 per share, representing aggregate fees of $0.05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September 30,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20" w:type="dxa"/>
            <w:vAlign w:val="bottom"/>
          </w:tcPr>
          <w:p>
            <w:pPr>
              <w:spacing w:after="0"/>
              <w:rPr>
                <w:sz w:val="20"/>
                <w:szCs w:val="20"/>
                <w:color w:val="auto"/>
              </w:rPr>
            </w:pPr>
          </w:p>
        </w:tc>
        <w:tc>
          <w:tcPr>
            <w:tcW w:w="5420" w:type="dxa"/>
            <w:vAlign w:val="bottom"/>
          </w:tcPr>
          <w:p>
            <w:pPr>
              <w:ind w:left="2420"/>
              <w:spacing w:after="0"/>
              <w:rPr>
                <w:sz w:val="20"/>
                <w:szCs w:val="20"/>
                <w:color w:val="auto"/>
              </w:rPr>
            </w:pPr>
            <w:r>
              <w:rPr>
                <w:rFonts w:ascii="Arial" w:cs="Arial" w:eastAsia="Arial" w:hAnsi="Arial"/>
                <w:sz w:val="18"/>
                <w:szCs w:val="18"/>
                <w:color w:val="auto"/>
              </w:rPr>
              <w:t>Period</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85"/>
              </w:rPr>
              <w:t>Shares Purchased (1)</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2017</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21.75</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August 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2,080</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2,408</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20.39</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1,062,905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shares withheld from the shares that would otherwise have been issued to certain officers in order to satisfy tax withholding obligations resulting from vesting of restricted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52" w:lineRule="exact"/>
        <w:rPr>
          <w:sz w:val="20"/>
          <w:szCs w:val="20"/>
          <w:color w:val="auto"/>
        </w:rPr>
      </w:pPr>
    </w:p>
    <w:p>
      <w:pPr>
        <w:ind w:left="940" w:hanging="351"/>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0000EE"/>
        </w:rPr>
      </w:pPr>
      <w:hyperlink w:anchor="page89">
        <w:r>
          <w:rPr>
            <w:rFonts w:ascii="Arial" w:cs="Arial" w:eastAsia="Arial" w:hAnsi="Arial"/>
            <w:sz w:val="18"/>
            <w:szCs w:val="18"/>
            <w:u w:val="single" w:color="auto"/>
            <w:color w:val="0000EE"/>
          </w:rPr>
          <w:t>3.1</w:t>
        </w:r>
      </w:hyperlink>
      <w:r>
        <w:rPr>
          <w:rFonts w:ascii="Arial" w:cs="Arial" w:eastAsia="Arial" w:hAnsi="Arial"/>
          <w:sz w:val="16"/>
          <w:szCs w:val="16"/>
          <w:color w:val="auto"/>
        </w:rPr>
        <w:t>Restated Articles of Incorporation, effective October 26, 2017.</w:t>
      </w:r>
    </w:p>
    <w:p>
      <w:pPr>
        <w:spacing w:after="0" w:line="9" w:lineRule="exact"/>
        <w:rPr>
          <w:rFonts w:ascii="Arial" w:cs="Arial" w:eastAsia="Arial" w:hAnsi="Arial"/>
          <w:sz w:val="18"/>
          <w:szCs w:val="18"/>
          <w:color w:val="0000EE"/>
        </w:rPr>
      </w:pPr>
    </w:p>
    <w:p>
      <w:pPr>
        <w:ind w:left="1620" w:hanging="675"/>
        <w:spacing w:after="0" w:line="250" w:lineRule="auto"/>
        <w:rPr>
          <w:rFonts w:ascii="Arial" w:cs="Arial" w:eastAsia="Arial" w:hAnsi="Arial"/>
          <w:sz w:val="18"/>
          <w:szCs w:val="18"/>
          <w:color w:val="0000EE"/>
        </w:rPr>
      </w:pPr>
      <w:hyperlink w:anchor="page96">
        <w:r>
          <w:rPr>
            <w:rFonts w:ascii="Arial" w:cs="Arial" w:eastAsia="Arial" w:hAnsi="Arial"/>
            <w:sz w:val="18"/>
            <w:szCs w:val="18"/>
            <w:u w:val="single" w:color="auto"/>
            <w:color w:val="0000EE"/>
          </w:rPr>
          <w:t>31.1</w:t>
        </w:r>
      </w:hyperlink>
      <w:r>
        <w:rPr>
          <w:rFonts w:ascii="Arial" w:cs="Arial" w:eastAsia="Arial" w:hAnsi="Arial"/>
          <w:sz w:val="18"/>
          <w:szCs w:val="18"/>
          <w:color w:val="auto"/>
        </w:rPr>
        <w:t>Certificate of the Chief Executive Officer of Independent Bank Corporation pursuant to Section 302 of the Sarbanes-Oxley Act of 2002 (18 U.S.C. 1350).</w:t>
      </w:r>
    </w:p>
    <w:p>
      <w:pPr>
        <w:ind w:left="1620" w:hanging="675"/>
        <w:spacing w:after="0" w:line="250" w:lineRule="auto"/>
        <w:rPr>
          <w:rFonts w:ascii="Arial" w:cs="Arial" w:eastAsia="Arial" w:hAnsi="Arial"/>
          <w:sz w:val="18"/>
          <w:szCs w:val="18"/>
          <w:color w:val="0000EE"/>
        </w:rPr>
      </w:pPr>
      <w:hyperlink w:anchor="page97">
        <w:r>
          <w:rPr>
            <w:rFonts w:ascii="Arial" w:cs="Arial" w:eastAsia="Arial" w:hAnsi="Arial"/>
            <w:sz w:val="18"/>
            <w:szCs w:val="18"/>
            <w:u w:val="single" w:color="auto"/>
            <w:color w:val="0000EE"/>
          </w:rPr>
          <w:t>31.2</w:t>
        </w:r>
      </w:hyperlink>
      <w:r>
        <w:rPr>
          <w:rFonts w:ascii="Arial" w:cs="Arial" w:eastAsia="Arial" w:hAnsi="Arial"/>
          <w:sz w:val="18"/>
          <w:szCs w:val="18"/>
          <w:color w:val="auto"/>
        </w:rPr>
        <w:t>Certificate of the Chief Financial Officer of Independent Bank Corporation pursuant to Section 302 of the Sarbanes-Oxley Act of 2002 (18 U.S.C. 1350).</w:t>
      </w:r>
    </w:p>
    <w:p>
      <w:pPr>
        <w:ind w:left="1620" w:hanging="675"/>
        <w:spacing w:after="0" w:line="250" w:lineRule="auto"/>
        <w:rPr>
          <w:rFonts w:ascii="Arial" w:cs="Arial" w:eastAsia="Arial" w:hAnsi="Arial"/>
          <w:sz w:val="18"/>
          <w:szCs w:val="18"/>
          <w:color w:val="0000EE"/>
        </w:rPr>
      </w:pPr>
      <w:hyperlink w:anchor="page98">
        <w:r>
          <w:rPr>
            <w:rFonts w:ascii="Arial" w:cs="Arial" w:eastAsia="Arial" w:hAnsi="Arial"/>
            <w:sz w:val="18"/>
            <w:szCs w:val="18"/>
            <w:u w:val="single" w:color="auto"/>
            <w:color w:val="0000EE"/>
          </w:rPr>
          <w:t>32.1</w:t>
        </w:r>
      </w:hyperlink>
      <w:r>
        <w:rPr>
          <w:rFonts w:ascii="Arial" w:cs="Arial" w:eastAsia="Arial" w:hAnsi="Arial"/>
          <w:sz w:val="18"/>
          <w:szCs w:val="18"/>
          <w:color w:val="auto"/>
        </w:rPr>
        <w:t>Certificate of the Chief Executive Officer of Independent Bank Corporation pursuant to Section 906 of the Sarbanes-Oxley Act of 2002 (18 U.S.C. 1350).</w:t>
      </w:r>
    </w:p>
    <w:p>
      <w:pPr>
        <w:ind w:left="940"/>
        <w:spacing w:after="0"/>
        <w:rPr>
          <w:rFonts w:ascii="Arial" w:cs="Arial" w:eastAsia="Arial" w:hAnsi="Arial"/>
          <w:sz w:val="18"/>
          <w:szCs w:val="18"/>
          <w:color w:val="0000EE"/>
        </w:rPr>
      </w:pPr>
      <w:hyperlink w:anchor="page99">
        <w:r>
          <w:rPr>
            <w:rFonts w:ascii="Arial" w:cs="Arial" w:eastAsia="Arial" w:hAnsi="Arial"/>
            <w:sz w:val="18"/>
            <w:szCs w:val="18"/>
            <w:u w:val="single" w:color="auto"/>
            <w:color w:val="0000EE"/>
          </w:rPr>
          <w:t>32.2</w:t>
        </w:r>
      </w:hyperlink>
      <w:r>
        <w:rPr>
          <w:rFonts w:ascii="Arial" w:cs="Arial" w:eastAsia="Arial" w:hAnsi="Arial"/>
          <w:sz w:val="16"/>
          <w:szCs w:val="16"/>
          <w:color w:val="auto"/>
        </w:rPr>
        <w:t>Certificate of the Chief Financial Officer of Independent Bank Corporation pursuant to Section 906 of the Sarbanes-Oxley Act of 2002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(18 U.S.C. 1350).</w:t>
      </w:r>
    </w:p>
    <w:p>
      <w:pPr>
        <w:spacing w:after="0" w:line="9" w:lineRule="exact"/>
        <w:rPr>
          <w:rFonts w:ascii="Arial" w:cs="Arial" w:eastAsia="Arial" w:hAnsi="Arial"/>
          <w:sz w:val="18"/>
          <w:szCs w:val="18"/>
          <w:color w:val="0000EE"/>
        </w:rPr>
      </w:pPr>
    </w:p>
    <w:p>
      <w:pPr>
        <w:ind w:left="1620" w:hanging="680"/>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 Instance Document</w:t>
      </w:r>
    </w:p>
    <w:p>
      <w:pPr>
        <w:spacing w:after="0" w:line="9" w:lineRule="exact"/>
        <w:rPr>
          <w:rFonts w:ascii="Arial" w:cs="Arial" w:eastAsia="Arial" w:hAnsi="Arial"/>
          <w:sz w:val="18"/>
          <w:szCs w:val="18"/>
          <w:color w:val="0000EE"/>
        </w:rPr>
      </w:pPr>
    </w:p>
    <w:p>
      <w:pPr>
        <w:ind w:left="1620" w:hanging="680"/>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 XBRL Taxonomy Extension Schema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20" w:hanging="680"/>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CAL XBRL Taxonomy Extension Calculation Linkbase Document</w:t>
      </w:r>
    </w:p>
    <w:p>
      <w:pPr>
        <w:spacing w:after="0" w:line="9" w:lineRule="exact"/>
        <w:rPr>
          <w:rFonts w:ascii="Arial" w:cs="Arial" w:eastAsia="Arial" w:hAnsi="Arial"/>
          <w:sz w:val="18"/>
          <w:szCs w:val="18"/>
          <w:color w:val="0000EE"/>
        </w:rPr>
      </w:pPr>
    </w:p>
    <w:p>
      <w:pPr>
        <w:ind w:left="1620" w:hanging="680"/>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 XBRL Taxonomy Extension Definition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20" w:hanging="680"/>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LAB XBRL Taxonomy Extension Label Linkbase Document</w:t>
      </w:r>
    </w:p>
    <w:p>
      <w:pPr>
        <w:spacing w:after="0" w:line="9" w:lineRule="exact"/>
        <w:rPr>
          <w:rFonts w:ascii="Arial" w:cs="Arial" w:eastAsia="Arial" w:hAnsi="Arial"/>
          <w:sz w:val="18"/>
          <w:szCs w:val="18"/>
          <w:color w:val="0000EE"/>
        </w:rPr>
      </w:pPr>
    </w:p>
    <w:p>
      <w:pPr>
        <w:ind w:left="1620" w:hanging="680"/>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 XBRL Taxonomy Extension Presentation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1320" w:val="left"/>
          <w:tab w:leader="none" w:pos="594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23495</wp:posOffset>
            </wp:positionV>
            <wp:extent cx="181800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Robert N. Shuster, Principal Financial Officer</w:t>
      </w:r>
    </w:p>
    <w:p>
      <w:pPr>
        <w:spacing w:after="0" w:line="225" w:lineRule="exact"/>
        <w:rPr>
          <w:sz w:val="20"/>
          <w:szCs w:val="20"/>
          <w:color w:val="auto"/>
        </w:rPr>
      </w:pPr>
    </w:p>
    <w:p>
      <w:pPr>
        <w:spacing w:after="0"/>
        <w:tabs>
          <w:tab w:leader="none" w:pos="1320" w:val="left"/>
          <w:tab w:leader="none" w:pos="5940" w:val="left"/>
          <w:tab w:leader="none" w:pos="7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23495</wp:posOffset>
            </wp:positionV>
            <wp:extent cx="181800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ARTICLES OF INCORPORATION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BANK CORPORATION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Restated Articles of Incorporation are executed by the undersigned Corporation pursuant to the provisions of Act 284, Public Acts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1972.</w:t>
      </w:r>
    </w:p>
    <w:p>
      <w:pPr>
        <w:spacing w:after="0" w:line="211"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present name of the Corporation is Independent Bank Corporation.</w:t>
      </w:r>
    </w:p>
    <w:p>
      <w:pPr>
        <w:spacing w:after="0" w:line="252"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identification number assigned by the Bureau is: 136</w:t>
      </w:r>
      <w:r>
        <w:rPr>
          <w:rFonts w:ascii="MS PGothic" w:cs="MS PGothic" w:eastAsia="MS PGothic" w:hAnsi="MS PGothic"/>
          <w:sz w:val="18"/>
          <w:szCs w:val="18"/>
          <w:color w:val="auto"/>
        </w:rPr>
        <w:t>‑</w:t>
      </w:r>
      <w:r>
        <w:rPr>
          <w:rFonts w:ascii="Arial" w:cs="Arial" w:eastAsia="Arial" w:hAnsi="Arial"/>
          <w:sz w:val="18"/>
          <w:szCs w:val="18"/>
          <w:color w:val="auto"/>
        </w:rPr>
        <w:t>863.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former names of the Corporation are: FSB Corporation.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of filing of the original Articles of Incorporation was September 17, 1973.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Restated Articles of Incorporation supersede the Articles of Incorporation, as previously restated and amended, and shall be the Articles of Incorporation of the Corporation.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Independent Bank Corporation.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purpose or purposes for which the Corporation is organized are to engage in the business of a bank holding company and, without in any way being limited by the foregoing specifically enumerated purpose, to engage in any activity within the purposes for which corporations may be organized under the Business Corporation Act of Michigan.</w:t>
      </w: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number of shares of all classes of capital stock which the Corporation shall have the authority to issue is five hundred million two hundred thousand (500,200,000) shares, of which five hundred million (500,000,000) shares shall be common stock, without par value, and two hundred thousand (200,000) shares shall be series preferred stock, without par value.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authorized shares of common stock are all of one class with equal voting power, and each share shall be equal to every other such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89" w:name="page90"/>
    <w:bookmarkEnd w:id="89"/>
    <w:p>
      <w:pPr>
        <w:jc w:val="both"/>
        <w:ind w:firstLine="648"/>
        <w:spacing w:after="0" w:line="257" w:lineRule="auto"/>
        <w:rPr>
          <w:sz w:val="20"/>
          <w:szCs w:val="20"/>
          <w:color w:val="auto"/>
        </w:rPr>
      </w:pPr>
      <w:r>
        <w:rPr>
          <w:rFonts w:ascii="Arial" w:cs="Arial" w:eastAsia="Arial" w:hAnsi="Arial"/>
          <w:sz w:val="18"/>
          <w:szCs w:val="18"/>
          <w:color w:val="auto"/>
        </w:rPr>
        <w:t>The shares of preferred stock may be divided into and issued in one or more series. The Board of Directors is hereby authorized to cause the preferred stock to be issued from time to time in one or more series, with such designations and such relative voting, dividend, liquidation and other rights, preferences and limitations as shall be stated and expressed in the resolution or resolutions providing for the issue of such preferred stock adopted by the Board of Directors. The Board of Directors by vote of a majority of the whole Board is expressly authorized to adopt such resolution or resolutions and issue such stock from time to time as it may deem desirable.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address of the current registered office, which is the same as its current mailing address, is 4200 East Beltline, Grand Rapids, Michigan 49525.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current resident agent is Mark L. Collins.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Directors and officers of the Corporation shall be indemnified as of right to the fullest extent now or hereafter permitted by law in connection with any actual or threatened civil, criminal, administrative or investigative action, suit or proceeding (whether brought by or in the name of the Corporation, a subsidiary or otherwise) in which a director or officer is a witness or which is brought against a director or officer in his or her capacity as a director, officer, employee, agent or fiduciary of the Corporation or of any corporation, partnership, joint venture, trust, employee benefit plan or other enterprise which the director or officer was serving at the request of the Corporation. Persons who are not directors or officers of the Corporation may be similarly indemnified in respect of such service to the extent authorized at any time by the Board of Directors of the Corporation. The Corporation may purchase and maintain insurance to protect itself and any such director, officer or other person against liability asserted against him or her and incurred by him or her in respect of such service whether or not the Corporation would have the power to indemnify him or her against such liability by law or under the provisions of this Article. The provisions of this Article shall be applicable to actions, suits or proceedings, whether arising from acts or omissions occurring before or after the adoption hereof, and to directors, officers and other persons who have ceased to render such service, and shall inure to the benefit of the heirs, executors and administrators of the directors, officers and other persons referred to in this Article. The right of indemnity provided pursuant to this Article shall not be exclusive and the Corporation may provide indemnification to any person, by agreement or otherwise, on such terms and conditions as the Board of Directors may approve. Any agreement for indemnification of any director, officer, employee or other person may provide indemnification rights which are broader or otherwise different from those set forth in, or provided pursuant to, or in accordance with, this Article. Any amendment, alteration, modification, repeal or adoption of any provision in the Articles of Incorporation inconsistent with this Article V shall not adversely affect any indemnification right or protection of a director or officer of the Corporation existing at the time of such amendment, alteration, modification, repeal or adoption.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[Deleted June 22, 2000.]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director of the Corporation shall not be personally liable to the Corporation or its shareholders for monetary damages for a breach of fiduciary duty as a director, except for liability: (a) for any breach of the director's duty of loyalty to the Corporation or its shareholders; (b) for acts or omissions not in good faith or which involve intentional misconduct or a knowing violation of law; (c) resulting from a violation of § 551(1) of the Michigan Business Corporation Act; (d) for any transaction from which the director derived an improper personal benefit; or (e) for any act or omission occurring prior to March 1, 1987. If, following approval of this Article VII by the shareholders, the Michigan Business Corporation Act is amended to authorize corporate action further eliminating or limiting the personal liability of directors, then the liability of a director of the Corporation shall be eliminated or limited to the fullest extent permitted by the Michigan Business Corporation Act, as so amended. Any repeal, modification or adoption of any provision in this Articles of Incorporation inconsistent with this Article VII shall not adversely affect any right or protection of a director of the Corporation existing at the time of such repeal, modification or adoption.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CLASSIFIED BOARD OF DIRECTORS</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Authority and Size of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business and affairs of the Corporation shall be managed by or under the direction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number of directors of the Corporation that shall constitute the Board of Directors shall be determined from time to time by resolution adopted by the affirmative vote of (i) at least seventy-five percent (75%) of the Board of Directors, and (ii) a majority of the Continuing Directors (as hereinafter defined).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u w:val="single" w:color="auto"/>
          <w:color w:val="auto"/>
        </w:rPr>
        <w:t>Section 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Classification of Board and Filling 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applicable law, the directors shall be divided into three (3) classes, each class</w:t>
      </w:r>
      <w:r>
        <w:rPr>
          <w:rFonts w:ascii="Arial" w:cs="Arial" w:eastAsia="Arial" w:hAnsi="Arial"/>
          <w:sz w:val="17"/>
          <w:szCs w:val="17"/>
          <w:b w:val="1"/>
          <w:bCs w:val="1"/>
          <w:color w:val="auto"/>
        </w:rPr>
        <w:t xml:space="preserve"> </w:t>
      </w:r>
      <w:r>
        <w:rPr>
          <w:rFonts w:ascii="Arial" w:cs="Arial" w:eastAsia="Arial" w:hAnsi="Arial"/>
          <w:sz w:val="17"/>
          <w:szCs w:val="17"/>
          <w:color w:val="auto"/>
        </w:rPr>
        <w:t>to be as nearly equal in number as possible. The term of office of directors of the first class shall expire at the annual meeting of shareholders to be held in 1990 and until their respective successors are duly elected and qualified or their resignation or removal. The term of office of directors of the second class shall expire at the annual meeting of shareholders to be held in 1991 and until their respective successors are duly elected and qualified or their resignation or removal. The term of office of directors of the third class shall expire at the annual meeting of shareholders to be held in 1992 and until their respective successors are duly elected and qualified or their resignation or removal. Subject to the foregoing, at each annual meeting of shareholders, commencing at the annual meeting to be held in 1990, the successors to the class of directors whose term shall then expire shall be elected to hold office for a term expiring at the third succeeding annual meeting and until their successors shall be duly elected and qualified or their resignation or removal. Any vacancies in the Board of Directors for any reason, and any newly created directorships resulting from any increase in the number of directors, may be filled only by the Board of Directors, acting by an affirmative vote of a majority of the Continuing Directors (as hereinafter defined) and a seventy-five percent (75%) majority of all of the directors then in office, although less than a quorum, and any directors so chosen shall hold office until the next annual meeting of shareholders and until their respective successors shall be duly elected and qualified or their resignation or removal. No decrease in the number of directors shall shorten the term of any incumbent direct.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both"/>
        <w:ind w:firstLine="648"/>
        <w:spacing w:after="0" w:line="274" w:lineRule="auto"/>
        <w:rPr>
          <w:sz w:val="20"/>
          <w:szCs w:val="20"/>
          <w:color w:val="auto"/>
        </w:rPr>
      </w:pPr>
      <w:r>
        <w:rPr>
          <w:rFonts w:ascii="Arial" w:cs="Arial" w:eastAsia="Arial" w:hAnsi="Arial"/>
          <w:sz w:val="17"/>
          <w:szCs w:val="17"/>
          <w:b w:val="1"/>
          <w:bCs w:val="1"/>
          <w:u w:val="single" w:color="auto"/>
          <w:color w:val="auto"/>
        </w:rPr>
        <w:t>Section 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Removal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these Articles of Incorporation or the Bylaws of the Corporation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fact that some lesser percentage may be specified by law or by these Articles of Incorporation or the Bylaws of the Corporation), any one or more directors of the Corporation may be removed at any time, with or without cause, but only by either: (i) the affirmative vote of a majority of the Continuing Directors and at least a seventy-five percent (75%) majority of the Board of Directors; or (ii) the affirmative vote, at a meeting of the shareholders called for that purpose, of the holders of at least seventy-five percent (75%) of the voting power of the then outstanding shares of capital stock of the Corporation entitled to vote generally in the election of directors (the "Voting Stock") voting together as a single class.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Article VIII:</w:t>
      </w:r>
    </w:p>
    <w:p>
      <w:pPr>
        <w:spacing w:after="0" w:line="256" w:lineRule="exact"/>
        <w:rPr>
          <w:sz w:val="20"/>
          <w:szCs w:val="20"/>
          <w:color w:val="auto"/>
        </w:rPr>
      </w:pPr>
    </w:p>
    <w:p>
      <w:pPr>
        <w:ind w:left="1340" w:hanging="684"/>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or other entity.</w:t>
      </w:r>
    </w:p>
    <w:p>
      <w:pPr>
        <w:spacing w:after="0" w:line="279" w:lineRule="exact"/>
        <w:rPr>
          <w:rFonts w:ascii="Arial" w:cs="Arial" w:eastAsia="Arial" w:hAnsi="Arial"/>
          <w:sz w:val="18"/>
          <w:szCs w:val="18"/>
          <w:color w:val="auto"/>
        </w:rPr>
      </w:pPr>
    </w:p>
    <w:p>
      <w:pPr>
        <w:ind w:left="1340" w:hanging="684"/>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"Interested Shareholder" shall mean any person (other than the Corporation or any subsidiary) who or which:</w:t>
      </w:r>
    </w:p>
    <w:p>
      <w:pPr>
        <w:spacing w:after="0" w:line="279" w:lineRule="exact"/>
        <w:rPr>
          <w:rFonts w:ascii="Arial" w:cs="Arial" w:eastAsia="Arial" w:hAnsi="Arial"/>
          <w:sz w:val="18"/>
          <w:szCs w:val="18"/>
          <w:color w:val="auto"/>
        </w:rPr>
      </w:pPr>
    </w:p>
    <w:p>
      <w:pPr>
        <w:ind w:left="2100" w:hanging="795"/>
        <w:spacing w:after="0"/>
        <w:tabs>
          <w:tab w:leader="none" w:pos="21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is the beneficial owner, directly or indirectly, of ten percent (10%) or more of the voting power of the outstanding Voting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65" w:lineRule="exact"/>
        <w:rPr>
          <w:sz w:val="20"/>
          <w:szCs w:val="20"/>
          <w:color w:val="auto"/>
        </w:rPr>
      </w:pPr>
    </w:p>
    <w:p>
      <w:pPr>
        <w:ind w:firstLine="1305"/>
        <w:spacing w:after="0" w:line="308" w:lineRule="auto"/>
        <w:tabs>
          <w:tab w:leader="none" w:pos="2047" w:val="left"/>
        </w:tabs>
        <w:numPr>
          <w:ilvl w:val="1"/>
          <w:numId w:val="48"/>
        </w:numPr>
        <w:rPr>
          <w:rFonts w:ascii="Arial" w:cs="Arial" w:eastAsia="Arial" w:hAnsi="Arial"/>
          <w:sz w:val="17"/>
          <w:szCs w:val="17"/>
          <w:color w:val="auto"/>
        </w:rPr>
      </w:pPr>
      <w:r>
        <w:rPr>
          <w:rFonts w:ascii="Arial" w:cs="Arial" w:eastAsia="Arial" w:hAnsi="Arial"/>
          <w:sz w:val="17"/>
          <w:szCs w:val="17"/>
          <w:color w:val="auto"/>
        </w:rPr>
        <w:t>is an Affiliate (as hereinafter defined) of the Corporation and at any time within the two-year period immediately prior to the date in question was the beneficial owner, directly or indirectly, of ten percent (10%) or more of the voting power of the then outstanding voting stock; or</w:t>
      </w:r>
    </w:p>
    <w:p>
      <w:pPr>
        <w:spacing w:after="0" w:line="200" w:lineRule="exact"/>
        <w:rPr>
          <w:rFonts w:ascii="Arial" w:cs="Arial" w:eastAsia="Arial" w:hAnsi="Arial"/>
          <w:sz w:val="17"/>
          <w:szCs w:val="17"/>
          <w:color w:val="auto"/>
        </w:rPr>
      </w:pPr>
    </w:p>
    <w:p>
      <w:pPr>
        <w:jc w:val="both"/>
        <w:ind w:left="660" w:firstLine="645"/>
        <w:spacing w:after="0" w:line="286" w:lineRule="auto"/>
        <w:tabs>
          <w:tab w:leader="none" w:pos="2143" w:val="left"/>
        </w:tabs>
        <w:numPr>
          <w:ilvl w:val="1"/>
          <w:numId w:val="48"/>
        </w:numPr>
        <w:rPr>
          <w:rFonts w:ascii="Arial" w:cs="Arial" w:eastAsia="Arial" w:hAnsi="Arial"/>
          <w:sz w:val="17"/>
          <w:szCs w:val="17"/>
          <w:color w:val="auto"/>
        </w:rPr>
      </w:pPr>
      <w:r>
        <w:rPr>
          <w:rFonts w:ascii="Arial" w:cs="Arial" w:eastAsia="Arial" w:hAnsi="Arial"/>
          <w:sz w:val="17"/>
          <w:szCs w:val="17"/>
          <w:color w:val="auto"/>
        </w:rPr>
        <w:t>is an assignee of or has otherwise succeeded to any shares of Voting Stock which were at any time within the two-year period immediately prior to the date in question beneficially owned by any Interested Shareholder, if such assignment or succession shall have occurred in the course of a transaction or series of transactions not involving a public offering within the meaning of the Securities Act of 1933.</w:t>
      </w:r>
    </w:p>
    <w:p>
      <w:pPr>
        <w:spacing w:after="0" w:line="219" w:lineRule="exact"/>
        <w:rPr>
          <w:rFonts w:ascii="Arial" w:cs="Arial" w:eastAsia="Arial" w:hAnsi="Arial"/>
          <w:sz w:val="17"/>
          <w:szCs w:val="17"/>
          <w:color w:val="auto"/>
        </w:rPr>
      </w:pPr>
    </w:p>
    <w:p>
      <w:pPr>
        <w:ind w:left="1340" w:hanging="684"/>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person shall be a "beneficial owner" of any Voting Stock:</w:t>
      </w:r>
    </w:p>
    <w:p>
      <w:pPr>
        <w:spacing w:after="0" w:line="279" w:lineRule="exact"/>
        <w:rPr>
          <w:rFonts w:ascii="Arial" w:cs="Arial" w:eastAsia="Arial" w:hAnsi="Arial"/>
          <w:sz w:val="18"/>
          <w:szCs w:val="18"/>
          <w:color w:val="auto"/>
        </w:rPr>
      </w:pPr>
    </w:p>
    <w:p>
      <w:pPr>
        <w:ind w:left="2040" w:hanging="735"/>
        <w:spacing w:after="0"/>
        <w:tabs>
          <w:tab w:leader="none" w:pos="20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which such person or any of its Affiliates or Associates (as hereinafter defined) beneficially owns, directly or indirectly; or</w:t>
      </w:r>
    </w:p>
    <w:p>
      <w:pPr>
        <w:spacing w:after="0" w:line="290" w:lineRule="exact"/>
        <w:rPr>
          <w:rFonts w:ascii="Arial" w:cs="Arial" w:eastAsia="Arial" w:hAnsi="Arial"/>
          <w:sz w:val="17"/>
          <w:szCs w:val="17"/>
          <w:color w:val="auto"/>
        </w:rPr>
      </w:pPr>
    </w:p>
    <w:p>
      <w:pPr>
        <w:jc w:val="both"/>
        <w:ind w:left="660" w:firstLine="645"/>
        <w:spacing w:after="0" w:line="286" w:lineRule="auto"/>
        <w:tabs>
          <w:tab w:leader="none" w:pos="2072" w:val="left"/>
        </w:tabs>
        <w:numPr>
          <w:ilvl w:val="1"/>
          <w:numId w:val="49"/>
        </w:numPr>
        <w:rPr>
          <w:rFonts w:ascii="Arial" w:cs="Arial" w:eastAsia="Arial" w:hAnsi="Arial"/>
          <w:sz w:val="17"/>
          <w:szCs w:val="17"/>
          <w:color w:val="auto"/>
        </w:rPr>
      </w:pPr>
      <w:r>
        <w:rPr>
          <w:rFonts w:ascii="Arial" w:cs="Arial" w:eastAsia="Arial" w:hAnsi="Arial"/>
          <w:sz w:val="17"/>
          <w:szCs w:val="17"/>
          <w:color w:val="auto"/>
        </w:rPr>
        <w:t>which such person or any of its Affiliates or Associates has (i) the right to acquire (whether such right is exercisable immediately or only after the passage of time), pursuant to any agreement, arrangement or understanding or upon the exercise of conversion rights, exchange rights, warrants or options, or otherwise, or (ii) the right to vote pursuant to any agreement, arrangement or understanding; or</w:t>
      </w:r>
    </w:p>
    <w:p>
      <w:pPr>
        <w:spacing w:after="0" w:line="219" w:lineRule="exact"/>
        <w:rPr>
          <w:rFonts w:ascii="Arial" w:cs="Arial" w:eastAsia="Arial" w:hAnsi="Arial"/>
          <w:sz w:val="17"/>
          <w:szCs w:val="17"/>
          <w:color w:val="auto"/>
        </w:rPr>
      </w:pPr>
    </w:p>
    <w:p>
      <w:pPr>
        <w:jc w:val="both"/>
        <w:ind w:left="660" w:firstLine="645"/>
        <w:spacing w:after="0" w:line="264" w:lineRule="auto"/>
        <w:tabs>
          <w:tab w:leader="none" w:pos="22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both"/>
        <w:ind w:firstLine="656"/>
        <w:spacing w:after="0" w:line="259" w:lineRule="auto"/>
        <w:tabs>
          <w:tab w:leader="none" w:pos="13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determining whether a person is an Interested Shareholder pursuant to paragraph 2 of this Section 4, the number of shares of Voting Stock deemed to be outstanding shall include shares deemed owned through application of paragraph 3 of this Section 4, but shall not include any other shares of Voting Stock which may be issuable pursuant to any agreement, arrangement or understanding, or upon exercise of conversion rights, warrants or options, or otherwise.</w:t>
      </w:r>
    </w:p>
    <w:p>
      <w:pPr>
        <w:spacing w:after="0" w:line="240" w:lineRule="exact"/>
        <w:rPr>
          <w:rFonts w:ascii="Arial" w:cs="Arial" w:eastAsia="Arial" w:hAnsi="Arial"/>
          <w:sz w:val="18"/>
          <w:szCs w:val="18"/>
          <w:color w:val="auto"/>
        </w:rPr>
      </w:pPr>
    </w:p>
    <w:p>
      <w:pPr>
        <w:ind w:right="20" w:firstLine="656"/>
        <w:spacing w:after="0" w:line="277" w:lineRule="auto"/>
        <w:tabs>
          <w:tab w:leader="none" w:pos="14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"Affiliate" or "Associate" shall have the respective meanings ascribed to such terms in Rule 12b-2 of the General Rules and Regulations under the Securities Exchange Act of 1934, as in effect on January 1, 1989.</w:t>
      </w:r>
    </w:p>
    <w:p>
      <w:pPr>
        <w:spacing w:after="0" w:line="224" w:lineRule="exact"/>
        <w:rPr>
          <w:rFonts w:ascii="Arial" w:cs="Arial" w:eastAsia="Arial" w:hAnsi="Arial"/>
          <w:sz w:val="18"/>
          <w:szCs w:val="18"/>
          <w:color w:val="auto"/>
        </w:rPr>
      </w:pPr>
    </w:p>
    <w:p>
      <w:pPr>
        <w:jc w:val="both"/>
        <w:ind w:firstLine="656"/>
        <w:spacing w:after="0" w:line="286" w:lineRule="auto"/>
        <w:tabs>
          <w:tab w:leader="none" w:pos="1337"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"Subsidiary" means any corporation of which a majority of any class of equity security is owned, directly or indirectly, by the Corporation; provided, however, that for the purposes of the definition of Interested Shareholder set forth in paragraph 2 of this Section 4, the term "subsidiary" shall mean only a corporation of which a majority of each class of equity security is owned, directly or indirectly, by the Corporation.</w:t>
      </w:r>
    </w:p>
    <w:p>
      <w:pPr>
        <w:spacing w:after="0" w:line="219" w:lineRule="exact"/>
        <w:rPr>
          <w:rFonts w:ascii="Arial" w:cs="Arial" w:eastAsia="Arial" w:hAnsi="Arial"/>
          <w:sz w:val="17"/>
          <w:szCs w:val="17"/>
          <w:color w:val="auto"/>
        </w:rPr>
      </w:pPr>
    </w:p>
    <w:p>
      <w:pPr>
        <w:jc w:val="both"/>
        <w:ind w:firstLine="656"/>
        <w:spacing w:after="0" w:line="259" w:lineRule="auto"/>
        <w:tabs>
          <w:tab w:leader="none" w:pos="13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"Continuing Director" means any member of the Board of Directors of the Corporation (the "Board") who is unaffiliated with the Interested Shareholder and was a member of the Board prior to the time that the Interested Shareholder became an Interested Shareholder, and any successor of a Continuing Director who is unaffiliated with the Interested Shareholder and is recommended to succeed a Continuing Director by a majority of Continuing Directors then on the Board.</w:t>
      </w:r>
    </w:p>
    <w:p>
      <w:pPr>
        <w:spacing w:after="0" w:line="21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Powers of Continuing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 majority of the Continuing Directors of the Corporation shall have the power and duty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basis of information known to them after reasonable inquiry, all facts necessary to determine compliance with this Article VIII, including without limitation: (i) whether a person is an Interested Shareholder; (ii) the number of shares of Voting Stock beneficially owned by any person; and (iii) whether a person is an Affiliate or Associate of another; and the good faith determination of a majority of the Continuing Directors on such matters shall be conclusive and binding for all purposes of this Article VIII.</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u w:val="single" w:color="auto"/>
          <w:color w:val="auto"/>
        </w:rPr>
        <w:t>Section 6</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Nominations for Board</w:t>
      </w:r>
      <w:r>
        <w:rPr>
          <w:rFonts w:ascii="Arial" w:cs="Arial" w:eastAsia="Arial" w:hAnsi="Arial"/>
          <w:sz w:val="17"/>
          <w:szCs w:val="17"/>
          <w:b w:val="1"/>
          <w:bCs w:val="1"/>
          <w:color w:val="auto"/>
        </w:rPr>
        <w:t xml:space="preserve">. </w:t>
      </w:r>
      <w:r>
        <w:rPr>
          <w:rFonts w:ascii="Arial" w:cs="Arial" w:eastAsia="Arial" w:hAnsi="Arial"/>
          <w:sz w:val="17"/>
          <w:szCs w:val="17"/>
          <w:color w:val="auto"/>
        </w:rPr>
        <w:t>Nominations for the election of directors may be made by the Board of Directors or by a shareholder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vote in the election of directors. A shareholder entitled to vote in the election of directors, however, may make such a nomination only if written notice of such shareholder's intent to do so has been given, either by personal delivery or by United States mail, postage prepaid, and received by the Corporation (a) with respect to an election to be held at an annual meeting of shareholders, not later than sixty (60), nor more than ninety (90) days prior to the first anniversary of the preceding year's Annual Meeting of Shareholders (or, if the date of the Annual Meeting is changed by more than twenty (20) days from such anniversary date, within ten (10) days after the date the Corporation mails or otherwise gives notice of the date of such meeting), and (b) with respect to an election to be held at a special meeting of shareholders called for that purpose, not later than the close of business on the tenth (10th) day following the date on which notice of the special meeting was first mailed to the shareholders by the Corporation.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Each shareholder's notice of intent to make a nomination shall set forth:</w:t>
      </w:r>
    </w:p>
    <w:p>
      <w:pPr>
        <w:spacing w:after="0" w:line="252" w:lineRule="exact"/>
        <w:rPr>
          <w:sz w:val="20"/>
          <w:szCs w:val="20"/>
          <w:color w:val="auto"/>
        </w:rPr>
      </w:pPr>
    </w:p>
    <w:p>
      <w:pPr>
        <w:ind w:left="2040" w:hanging="735"/>
        <w:spacing w:after="0"/>
        <w:tabs>
          <w:tab w:leader="none" w:pos="2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name(s) and address(es) of the shareholder who intends to make the nomination and of the person or persons to be nominated;</w:t>
      </w:r>
    </w:p>
    <w:p>
      <w:pPr>
        <w:spacing w:after="0" w:line="302" w:lineRule="exact"/>
        <w:rPr>
          <w:rFonts w:ascii="Arial" w:cs="Arial" w:eastAsia="Arial" w:hAnsi="Arial"/>
          <w:sz w:val="16"/>
          <w:szCs w:val="16"/>
          <w:color w:val="auto"/>
        </w:rPr>
      </w:pPr>
    </w:p>
    <w:p>
      <w:pPr>
        <w:jc w:val="both"/>
        <w:ind w:left="660" w:firstLine="645"/>
        <w:spacing w:after="0" w:line="264" w:lineRule="auto"/>
        <w:tabs>
          <w:tab w:leader="none" w:pos="20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representation that the shareholder (i) is a holder of record of stock of the Corporation entitled to vote at such meeting; (ii) will continue to hold such stock through the date on which the meeting is held; and (iii) intends to appear in person or by proxy at the meeting to nominate the person or persons specified in the notice;</w:t>
      </w:r>
    </w:p>
    <w:p>
      <w:pPr>
        <w:spacing w:after="0" w:line="235" w:lineRule="exact"/>
        <w:rPr>
          <w:rFonts w:ascii="Arial" w:cs="Arial" w:eastAsia="Arial" w:hAnsi="Arial"/>
          <w:sz w:val="18"/>
          <w:szCs w:val="18"/>
          <w:color w:val="auto"/>
        </w:rPr>
      </w:pPr>
    </w:p>
    <w:p>
      <w:pPr>
        <w:ind w:left="660" w:firstLine="645"/>
        <w:spacing w:after="0" w:line="277" w:lineRule="auto"/>
        <w:tabs>
          <w:tab w:leader="none" w:pos="21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and each nominee and any other person or persons (naming such person or persons) pursuant to which the nomination is to be made by the shareholder;</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other information regarding each nominee proposed by such shareholder as would be required to be included in a proxy statement filed pursuant to Regulation 14A promulgated under Section 14 of the Securities Exchange Act of 1934, as amended, as now in effect or hereafter modified, had the nominee been nominated by the Board of Directors; and</w:t>
      </w:r>
    </w:p>
    <w:p>
      <w:pPr>
        <w:spacing w:after="0" w:line="235" w:lineRule="exact"/>
        <w:rPr>
          <w:rFonts w:ascii="Arial" w:cs="Arial" w:eastAsia="Arial" w:hAnsi="Arial"/>
          <w:sz w:val="18"/>
          <w:szCs w:val="18"/>
          <w:color w:val="auto"/>
        </w:rPr>
      </w:pPr>
    </w:p>
    <w:p>
      <w:pPr>
        <w:ind w:left="2040" w:hanging="735"/>
        <w:spacing w:after="0"/>
        <w:tabs>
          <w:tab w:leader="none" w:pos="2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consent of each nominee to serve as a director of the Corporation if so elected.</w:t>
      </w:r>
    </w:p>
    <w:p>
      <w:pPr>
        <w:spacing w:after="0" w:line="252"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The Corporation may require any proposed nominee to furnish such other information as may reasonably be required by the Corporation to determine the qualifications of such person to serve as a director.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Amendment, Repeal, etc</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provisions of these Articles of Incorporation or the Bylaws of the 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fact that a lesser percentage may be specified by law, these Articles of Incorporation or the Bylaws of the Corporation), the affirmative vote of the holders of seventy-five percent (75%) or more of the voting power of the shares of the then outstanding Voting Stock, voting together as a single class, shall be required to amend or repeal, or adopt any provisions inconsistent with, this Article VIII of these Articles of Incorporation; provided, however, that the preceding provisions of this Section 7 shall not be applicable to any amendment to this Article VIII of these Articles of Incorporation, and such amendment shall require only such affirmative vote as is required by law and any other provisions of these Articles of Incorporation if such amendment shall have been approved by a majority of the Continuing Directors.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both"/>
        <w:ind w:firstLine="648"/>
        <w:spacing w:after="0" w:line="297" w:lineRule="auto"/>
        <w:rPr>
          <w:sz w:val="20"/>
          <w:szCs w:val="20"/>
          <w:color w:val="auto"/>
        </w:rPr>
      </w:pPr>
      <w:r>
        <w:rPr>
          <w:rFonts w:ascii="Arial" w:cs="Arial" w:eastAsia="Arial" w:hAnsi="Arial"/>
          <w:sz w:val="16"/>
          <w:szCs w:val="16"/>
          <w:color w:val="auto"/>
        </w:rPr>
        <w:t>These Restated Articles of Incorporation were duly adopted by the Board of Directors of the Corporation on October 24, 2017, in accordance with the provisions of Section 642 of the Michigan Business Corporation Act and without a vote of the Corporation's shareholders. These Restated Articles of Incorporation only restate and integrate the provisions of the Corporation's Articles of Incorporation as previously restated and amended and include only amendments adopted under Section 611(2) of the Michigan Business Corporation Act. There is no material discrepancy between the provisions of the Corporation's Articles of Incorporation as previously restated and amended and the provisions of these Restated Articles of Incorporation.</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Signed October 24,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N. Shuster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VP and CFO</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2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61"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608"/>
        </w:trPr>
        <w:tc>
          <w:tcPr>
            <w:tcW w:w="5720" w:type="dxa"/>
            <w:vAlign w:val="bottom"/>
          </w:tcPr>
          <w:p>
            <w:pPr>
              <w:spacing w:after="0"/>
              <w:rPr>
                <w:sz w:val="20"/>
                <w:szCs w:val="20"/>
                <w:color w:val="auto"/>
              </w:rPr>
            </w:pPr>
            <w:r>
              <w:rPr>
                <w:rFonts w:ascii="Arial" w:cs="Arial" w:eastAsia="Arial" w:hAnsi="Arial"/>
                <w:sz w:val="18"/>
                <w:szCs w:val="18"/>
                <w:color w:val="auto"/>
              </w:rPr>
              <w:t>Date: November 3, 2017</w:t>
            </w: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/s/ William B. Kessel</w:t>
            </w:r>
          </w:p>
        </w:tc>
      </w:tr>
      <w:tr>
        <w:trPr>
          <w:trHeight w:val="20"/>
        </w:trPr>
        <w:tc>
          <w:tcPr>
            <w:tcW w:w="57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331"/>
        </w:trPr>
        <w:tc>
          <w:tcPr>
            <w:tcW w:w="5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52"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500" w:right="20" w:hanging="492"/>
        <w:spacing w:after="0" w:line="250"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500" w:hanging="492"/>
        <w:spacing w:after="0" w:line="265"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500" w:hanging="492"/>
        <w:spacing w:after="0" w:line="250"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980" w:hanging="486"/>
        <w:spacing w:after="0" w:line="250"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980" w:hanging="486"/>
        <w:spacing w:after="0" w:line="250"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80" w:hanging="486"/>
        <w:spacing w:after="0" w:line="265" w:lineRule="auto"/>
        <w:tabs>
          <w:tab w:leader="none" w:pos="9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right="20" w:hanging="486"/>
        <w:spacing w:after="0" w:line="250"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500" w:hanging="492"/>
        <w:spacing w:after="0" w:line="265"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486"/>
        <w:spacing w:after="0" w:line="250"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80" w:hanging="486"/>
        <w:spacing w:after="0" w:line="261"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November 3, 2017</w:t>
            </w: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Robert N. Shuster</w:t>
            </w:r>
          </w:p>
        </w:tc>
        <w:tc>
          <w:tcPr>
            <w:tcW w:w="4180" w:type="dxa"/>
            <w:vAlign w:val="bottom"/>
          </w:tcPr>
          <w:p>
            <w:pPr>
              <w:spacing w:after="0"/>
              <w:rPr>
                <w:sz w:val="24"/>
                <w:szCs w:val="24"/>
                <w:color w:val="auto"/>
              </w:rPr>
            </w:pP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601"/>
        </w:trPr>
        <w:tc>
          <w:tcPr>
            <w:tcW w:w="5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224" w:lineRule="exact"/>
        <w:rPr>
          <w:sz w:val="20"/>
          <w:szCs w:val="20"/>
          <w:color w:val="auto"/>
        </w:rPr>
      </w:pPr>
    </w:p>
    <w:p>
      <w:pPr>
        <w:ind w:firstLine="656"/>
        <w:spacing w:after="0" w:line="277" w:lineRule="auto"/>
        <w:tabs>
          <w:tab w:leader="none" w:pos="14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2017, which this statement accompanies, fully complies with requirements of Section 13(a) or 15(d) of the Securities Exchange Act of 1934 and;</w:t>
      </w:r>
    </w:p>
    <w:p>
      <w:pPr>
        <w:spacing w:after="0" w:line="197" w:lineRule="exact"/>
        <w:rPr>
          <w:rFonts w:ascii="Arial" w:cs="Arial" w:eastAsia="Arial" w:hAnsi="Arial"/>
          <w:sz w:val="18"/>
          <w:szCs w:val="18"/>
          <w:color w:val="auto"/>
        </w:rPr>
      </w:pPr>
    </w:p>
    <w:p>
      <w:pPr>
        <w:ind w:right="200" w:firstLine="656"/>
        <w:spacing w:after="0" w:line="277" w:lineRule="auto"/>
        <w:tabs>
          <w:tab w:leader="none" w:pos="1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30, 2017,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November 3, 2017</w:t>
            </w: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/s/ William B. Kessel</w:t>
            </w:r>
          </w:p>
        </w:tc>
        <w:tc>
          <w:tcPr>
            <w:tcW w:w="1540" w:type="dxa"/>
            <w:vAlign w:val="bottom"/>
          </w:tcPr>
          <w:p>
            <w:pPr>
              <w:spacing w:after="0"/>
              <w:rPr>
                <w:sz w:val="24"/>
                <w:szCs w:val="24"/>
                <w:color w:val="auto"/>
              </w:rPr>
            </w:pPr>
          </w:p>
        </w:tc>
      </w:tr>
      <w:tr>
        <w:trPr>
          <w:trHeight w:val="222"/>
        </w:trPr>
        <w:tc>
          <w:tcPr>
            <w:tcW w:w="5720" w:type="dxa"/>
            <w:vAlign w:val="bottom"/>
          </w:tcPr>
          <w:p>
            <w:pPr>
              <w:spacing w:after="0"/>
              <w:rPr>
                <w:sz w:val="19"/>
                <w:szCs w:val="19"/>
                <w:color w:val="auto"/>
              </w:rPr>
            </w:pP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Robert N. Shuster, Chief Financial Officer of Independent Bank Corporation, certify, to the best of my knowledge and belief, pursuant to Section 906 of the Sarbanes-Oxley Act of 2002 (18 U.S.C. 1350) that:</w:t>
      </w:r>
    </w:p>
    <w:p>
      <w:pPr>
        <w:spacing w:after="0" w:line="224" w:lineRule="exact"/>
        <w:rPr>
          <w:sz w:val="20"/>
          <w:szCs w:val="20"/>
          <w:color w:val="auto"/>
        </w:rPr>
      </w:pPr>
    </w:p>
    <w:p>
      <w:pPr>
        <w:ind w:firstLine="656"/>
        <w:spacing w:after="0" w:line="277" w:lineRule="auto"/>
        <w:tabs>
          <w:tab w:leader="none" w:pos="14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2017, which this statement accompanies, fully complies with requirements of Section 13(a) or 15(d) of the Securities Exchange Act of 1934 and;</w:t>
      </w:r>
    </w:p>
    <w:p>
      <w:pPr>
        <w:spacing w:after="0" w:line="224" w:lineRule="exact"/>
        <w:rPr>
          <w:rFonts w:ascii="Arial" w:cs="Arial" w:eastAsia="Arial" w:hAnsi="Arial"/>
          <w:sz w:val="18"/>
          <w:szCs w:val="18"/>
          <w:color w:val="auto"/>
        </w:rPr>
      </w:pPr>
    </w:p>
    <w:p>
      <w:pPr>
        <w:ind w:right="20" w:firstLine="656"/>
        <w:spacing w:after="0" w:line="277" w:lineRule="auto"/>
        <w:tabs>
          <w:tab w:leader="none" w:pos="14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30, 2017, fairly presents, in all material respects, the financial condition and results of operations of Independent Bank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5060" w:type="dxa"/>
            <w:vAlign w:val="bottom"/>
            <w:gridSpan w:val="3"/>
          </w:tcPr>
          <w:p>
            <w:pPr>
              <w:ind w:left="1940"/>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3780" w:type="dxa"/>
            <w:vAlign w:val="bottom"/>
          </w:tcPr>
          <w:p>
            <w:pPr>
              <w:spacing w:after="0"/>
              <w:rPr>
                <w:sz w:val="20"/>
                <w:szCs w:val="20"/>
                <w:color w:val="auto"/>
              </w:rPr>
            </w:pPr>
            <w:r>
              <w:rPr>
                <w:rFonts w:ascii="Arial" w:cs="Arial" w:eastAsia="Arial" w:hAnsi="Arial"/>
                <w:sz w:val="18"/>
                <w:szCs w:val="18"/>
                <w:color w:val="auto"/>
              </w:rPr>
              <w:t>Date: November 3, 2017</w:t>
            </w:r>
          </w:p>
        </w:tc>
        <w:tc>
          <w:tcPr>
            <w:tcW w:w="1980" w:type="dxa"/>
            <w:vAlign w:val="bottom"/>
          </w:tcPr>
          <w:p>
            <w:pPr>
              <w:spacing w:after="0"/>
              <w:rPr>
                <w:sz w:val="24"/>
                <w:szCs w:val="24"/>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Robert N. Shuster</w:t>
            </w:r>
          </w:p>
        </w:tc>
        <w:tc>
          <w:tcPr>
            <w:tcW w:w="1480" w:type="dxa"/>
            <w:vAlign w:val="bottom"/>
          </w:tcPr>
          <w:p>
            <w:pPr>
              <w:spacing w:after="0"/>
              <w:rPr>
                <w:sz w:val="24"/>
                <w:szCs w:val="24"/>
                <w:color w:val="auto"/>
              </w:rPr>
            </w:pPr>
          </w:p>
        </w:tc>
      </w:tr>
      <w:tr>
        <w:trPr>
          <w:trHeight w:val="222"/>
        </w:trPr>
        <w:tc>
          <w:tcPr>
            <w:tcW w:w="3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080" w:type="dxa"/>
            <w:vAlign w:val="bottom"/>
            <w:gridSpan w:val="2"/>
          </w:tcPr>
          <w:p>
            <w:pPr>
              <w:ind w:left="60"/>
              <w:spacing w:after="0"/>
              <w:rPr>
                <w:sz w:val="20"/>
                <w:szCs w:val="20"/>
                <w:color w:val="auto"/>
              </w:rPr>
            </w:pPr>
            <w:r>
              <w:rPr>
                <w:rFonts w:ascii="Arial" w:cs="Arial" w:eastAsia="Arial" w:hAnsi="Arial"/>
                <w:sz w:val="18"/>
                <w:szCs w:val="18"/>
                <w:color w:val="auto"/>
              </w:rPr>
              <w:t>Robert N. Shuster</w:t>
            </w:r>
          </w:p>
        </w:tc>
      </w:tr>
      <w:tr>
        <w:trPr>
          <w:trHeight w:val="230"/>
        </w:trPr>
        <w:tc>
          <w:tcPr>
            <w:tcW w:w="3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8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4"/>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5"/>
    </w:lvl>
  </w:abstractNum>
  <w:abstractNum w:abstractNumId="9">
    <w:nsid w:val="22221A70"/>
    <w:multiLevelType w:val="hybridMultilevel"/>
    <w:lvl w:ilvl="0">
      <w:lvlJc w:val="left"/>
      <w:lvlText w:val="%1."/>
      <w:numFmt w:val="decimal"/>
      <w:start w:val="6"/>
    </w:lvl>
  </w:abstractNum>
  <w:abstractNum w:abstractNumId="10">
    <w:nsid w:val="4516DDE9"/>
    <w:multiLevelType w:val="hybridMultilevel"/>
    <w:lvl w:ilvl="0">
      <w:lvlJc w:val="left"/>
      <w:lvlText w:val="%1."/>
      <w:numFmt w:val="decimal"/>
      <w:start w:val="7"/>
    </w:lvl>
  </w:abstractNum>
  <w:abstractNum w:abstractNumId="11">
    <w:nsid w:val="3006C83E"/>
    <w:multiLevelType w:val="hybridMultilevel"/>
    <w:lvl w:ilvl="0">
      <w:lvlJc w:val="left"/>
      <w:lvlText w:val="%1."/>
      <w:numFmt w:val="decimal"/>
      <w:start w:val="9"/>
    </w:lvl>
  </w:abstractNum>
  <w:abstractNum w:abstractNumId="12">
    <w:nsid w:val="614FD4A1"/>
    <w:multiLevelType w:val="hybridMultilevel"/>
    <w:lvl w:ilvl="0">
      <w:lvlJc w:val="left"/>
      <w:lvlText w:val="%1."/>
      <w:numFmt w:val="decimal"/>
      <w:start w:val="10"/>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2"/>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3"/>
    </w:lvl>
  </w:abstractNum>
  <w:abstractNum w:abstractNumId="18">
    <w:nsid w:val="77465F01"/>
    <w:multiLevelType w:val="hybridMultilevel"/>
    <w:lvl w:ilvl="0">
      <w:lvlJc w:val="left"/>
      <w:lvlText w:val="$"/>
      <w:numFmt w:val="bullet"/>
      <w:start w:val="1"/>
    </w:lvl>
    <w:lvl w:ilvl="1">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lvl w:ilvl="1">
      <w:lvlJc w:val="left"/>
      <w:lvlText w:val="(%2)"/>
      <w:numFmt w:val="decimal"/>
      <w:start w:val="2"/>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lvl w:ilvl="1">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lvl w:ilvl="1">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lvl w:ilvl="1">
      <w:lvlJc w:val="left"/>
      <w:lvlText w:val="(%2)"/>
      <w:numFmt w:val="decimal"/>
      <w:start w:val="2"/>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lvl w:ilvl="1">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5"/>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decimal"/>
      <w:start w:val="101"/>
    </w:lvl>
  </w:abstractNum>
  <w:abstractNum w:abstractNumId="40">
    <w:nsid w:val="7644A45C"/>
    <w:multiLevelType w:val="hybridMultilevel"/>
    <w:lvl w:ilvl="0">
      <w:lvlJc w:val="left"/>
      <w:lvlText w:val="%1."/>
      <w:numFmt w:val="decimal"/>
      <w:start w:val="101"/>
    </w:lvl>
  </w:abstractNum>
  <w:abstractNum w:abstractNumId="41">
    <w:nsid w:val="32FFF902"/>
    <w:multiLevelType w:val="hybridMultilevel"/>
    <w:lvl w:ilvl="0">
      <w:lvlJc w:val="left"/>
      <w:lvlText w:val="%1."/>
      <w:numFmt w:val="decimal"/>
      <w:start w:val="101"/>
    </w:lvl>
  </w:abstractNum>
  <w:abstractNum w:abstractNumId="42">
    <w:nsid w:val="684A481A"/>
    <w:multiLevelType w:val="hybridMultilevel"/>
    <w:lvl w:ilvl="0">
      <w:lvlJc w:val="left"/>
      <w:lvlText w:val="%1."/>
      <w:numFmt w:val="decimal"/>
      <w:start w:val="101"/>
    </w:lvl>
  </w:abstractNum>
  <w:abstractNum w:abstractNumId="43">
    <w:nsid w:val="579478FE"/>
    <w:multiLevelType w:val="hybridMultilevel"/>
    <w:lvl w:ilvl="0">
      <w:lvlJc w:val="left"/>
      <w:lvlText w:val="%1."/>
      <w:numFmt w:val="decimal"/>
      <w:start w:val="101"/>
    </w:lvl>
  </w:abstractNum>
  <w:abstractNum w:abstractNumId="44">
    <w:nsid w:val="749ABB43"/>
    <w:multiLevelType w:val="hybridMultilevel"/>
    <w:lvl w:ilvl="0">
      <w:lvlJc w:val="left"/>
      <w:lvlText w:val="%1."/>
      <w:numFmt w:val="decimal"/>
      <w:start w:val="10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lvl w:ilvl="1">
      <w:lvlJc w:val="left"/>
      <w:lvlText w:val="(%2)"/>
      <w:numFmt w:val="lowerLetter"/>
      <w:start w:val="1"/>
    </w:lvl>
  </w:abstractNum>
  <w:abstractNum w:abstractNumId="47">
    <w:nsid w:val="79A1DEAA"/>
    <w:multiLevelType w:val="hybridMultilevel"/>
    <w:lvl w:ilvl="0">
      <w:lvlJc w:val="left"/>
      <w:lvlText w:val="%1"/>
      <w:numFmt w:val="decimal"/>
      <w:start w:val="1"/>
    </w:lvl>
    <w:lvl w:ilvl="1">
      <w:lvlJc w:val="left"/>
      <w:lvlText w:val="(%2)"/>
      <w:numFmt w:val="lowerLetter"/>
      <w:start w:val="2"/>
    </w:lvl>
  </w:abstractNum>
  <w:abstractNum w:abstractNumId="48">
    <w:nsid w:val="75C6C33A"/>
    <w:multiLevelType w:val="hybridMultilevel"/>
    <w:lvl w:ilvl="0">
      <w:lvlJc w:val="left"/>
      <w:lvlText w:val="%1."/>
      <w:numFmt w:val="decimal"/>
      <w:start w:val="3"/>
    </w:lvl>
    <w:lvl w:ilvl="1">
      <w:lvlJc w:val="left"/>
      <w:lvlText w:val="(%2)"/>
      <w:numFmt w:val="lowerLetter"/>
      <w:start w:val="1"/>
    </w:lvl>
  </w:abstractNum>
  <w:abstractNum w:abstractNumId="49">
    <w:nsid w:val="12E685FB"/>
    <w:multiLevelType w:val="hybridMultilevel"/>
    <w:lvl w:ilvl="0">
      <w:lvlJc w:val="left"/>
      <w:lvlText w:val="%1."/>
      <w:numFmt w:val="decimal"/>
      <w:start w:val="4"/>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2020-01-18T19:06:12Z</dcterms:created>
  <dcterms:modified xsi:type="dcterms:W3CDTF">2020-01-18T19:06:12Z</dcterms:modified>
</cp:coreProperties>
</file>